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header23.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22.xml" ContentType="application/vnd.openxmlformats-officedocument.wordprocessingml.footer+xml"/>
  <Override PartName="/word/header27.xml" ContentType="application/vnd.openxmlformats-officedocument.wordprocessingml.header+xml"/>
  <Override PartName="/word/footer23.xml" ContentType="application/vnd.openxmlformats-officedocument.wordprocessingml.footer+xml"/>
  <Override PartName="/word/header28.xml" ContentType="application/vnd.openxmlformats-officedocument.wordprocessingml.header+xml"/>
  <Override PartName="/word/footer24.xml" ContentType="application/vnd.openxmlformats-officedocument.wordprocessingml.footer+xml"/>
  <Override PartName="/word/header29.xml" ContentType="application/vnd.openxmlformats-officedocument.wordprocessingml.header+xml"/>
  <Override PartName="/word/footer25.xml" ContentType="application/vnd.openxmlformats-officedocument.wordprocessingml.footer+xml"/>
  <Override PartName="/word/header30.xml" ContentType="application/vnd.openxmlformats-officedocument.wordprocessingml.header+xml"/>
  <Override PartName="/word/footer26.xml" ContentType="application/vnd.openxmlformats-officedocument.wordprocessingml.footer+xml"/>
  <Override PartName="/word/header31.xml" ContentType="application/vnd.openxmlformats-officedocument.wordprocessingml.header+xml"/>
  <Override PartName="/word/footer27.xml" ContentType="application/vnd.openxmlformats-officedocument.wordprocessingml.footer+xml"/>
  <Override PartName="/word/footer28.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header34.xml" ContentType="application/vnd.openxmlformats-officedocument.wordprocessingml.header+xml"/>
  <Override PartName="/word/footer39.xml" ContentType="application/vnd.openxmlformats-officedocument.wordprocessingml.footer+xml"/>
  <Override PartName="/word/header35.xml" ContentType="application/vnd.openxmlformats-officedocument.wordprocessingml.header+xml"/>
  <Override PartName="/word/footer40.xml" ContentType="application/vnd.openxmlformats-officedocument.wordprocessingml.footer+xml"/>
  <Override PartName="/word/header36.xml" ContentType="application/vnd.openxmlformats-officedocument.wordprocessingml.header+xml"/>
  <Override PartName="/word/footer41.xml" ContentType="application/vnd.openxmlformats-officedocument.wordprocessingml.footer+xml"/>
  <Override PartName="/word/header37.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header40.xml" ContentType="application/vnd.openxmlformats-officedocument.wordprocessingml.header+xml"/>
  <Override PartName="/word/footer54.xml" ContentType="application/vnd.openxmlformats-officedocument.wordprocessingml.footer+xml"/>
  <Override PartName="/word/header41.xml" ContentType="application/vnd.openxmlformats-officedocument.wordprocessingml.header+xml"/>
  <Override PartName="/word/footer55.xml" ContentType="application/vnd.openxmlformats-officedocument.wordprocessingml.footer+xml"/>
  <Override PartName="/word/header42.xml" ContentType="application/vnd.openxmlformats-officedocument.wordprocessingml.header+xml"/>
  <Override PartName="/word/footer56.xml" ContentType="application/vnd.openxmlformats-officedocument.wordprocessingml.footer+xml"/>
  <Override PartName="/word/header43.xml" ContentType="application/vnd.openxmlformats-officedocument.wordprocessingml.header+xml"/>
  <Override PartName="/word/footer57.xml" ContentType="application/vnd.openxmlformats-officedocument.wordprocessingml.footer+xml"/>
  <Override PartName="/word/footer58.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footer59.xml" ContentType="application/vnd.openxmlformats-officedocument.wordprocessingml.footer+xml"/>
  <Override PartName="/word/header47.xml" ContentType="application/vnd.openxmlformats-officedocument.wordprocessingml.header+xml"/>
  <Override PartName="/word/footer60.xml" ContentType="application/vnd.openxmlformats-officedocument.wordprocessingml.footer+xml"/>
  <Override PartName="/word/header48.xml" ContentType="application/vnd.openxmlformats-officedocument.wordprocessingml.header+xml"/>
  <Override PartName="/word/footer61.xml" ContentType="application/vnd.openxmlformats-officedocument.wordprocessingml.footer+xml"/>
  <Override PartName="/word/header49.xml" ContentType="application/vnd.openxmlformats-officedocument.wordprocessingml.header+xml"/>
  <Override PartName="/word/footer62.xml" ContentType="application/vnd.openxmlformats-officedocument.wordprocessingml.footer+xml"/>
  <Override PartName="/word/header50.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footer65.xml" ContentType="application/vnd.openxmlformats-officedocument.wordprocessingml.footer+xml"/>
  <Override PartName="/word/header54.xml" ContentType="application/vnd.openxmlformats-officedocument.wordprocessingml.header+xml"/>
  <Override PartName="/word/footer66.xml" ContentType="application/vnd.openxmlformats-officedocument.wordprocessingml.footer+xml"/>
  <Override PartName="/word/header55.xml" ContentType="application/vnd.openxmlformats-officedocument.wordprocessingml.header+xml"/>
  <Override PartName="/word/footer67.xml" ContentType="application/vnd.openxmlformats-officedocument.wordprocessingml.footer+xml"/>
  <Override PartName="/word/footer68.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footer69.xml" ContentType="application/vnd.openxmlformats-officedocument.wordprocessingml.footer+xml"/>
  <Override PartName="/word/header59.xml" ContentType="application/vnd.openxmlformats-officedocument.wordprocessingml.header+xml"/>
  <Override PartName="/word/footer70.xml" ContentType="application/vnd.openxmlformats-officedocument.wordprocessingml.footer+xml"/>
  <Override PartName="/word/header60.xml" ContentType="application/vnd.openxmlformats-officedocument.wordprocessingml.header+xml"/>
  <Override PartName="/word/footer71.xml" ContentType="application/vnd.openxmlformats-officedocument.wordprocessingml.footer+xml"/>
  <Override PartName="/word/header61.xml" ContentType="application/vnd.openxmlformats-officedocument.wordprocessingml.header+xml"/>
  <Override PartName="/word/footer72.xml" ContentType="application/vnd.openxmlformats-officedocument.wordprocessingml.footer+xml"/>
  <Override PartName="/word/header62.xml" ContentType="application/vnd.openxmlformats-officedocument.wordprocessingml.header+xml"/>
  <Override PartName="/word/footer73.xml" ContentType="application/vnd.openxmlformats-officedocument.wordprocessingml.footer+xml"/>
  <Override PartName="/word/footer74.xml" ContentType="application/vnd.openxmlformats-officedocument.wordprocessingml.foot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footer75.xml" ContentType="application/vnd.openxmlformats-officedocument.wordprocessingml.footer+xml"/>
  <Override PartName="/word/header66.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footer78.xml" ContentType="application/vnd.openxmlformats-officedocument.wordprocessingml.footer+xml"/>
  <Override PartName="/word/header70.xml" ContentType="application/vnd.openxmlformats-officedocument.wordprocessingml.header+xml"/>
  <Override PartName="/word/footer79.xml" ContentType="application/vnd.openxmlformats-officedocument.wordprocessingml.footer+xml"/>
  <Override PartName="/word/header71.xml" ContentType="application/vnd.openxmlformats-officedocument.wordprocessingml.header+xml"/>
  <Override PartName="/word/footer80.xml" ContentType="application/vnd.openxmlformats-officedocument.wordprocessingml.footer+xml"/>
  <Override PartName="/word/header72.xml" ContentType="application/vnd.openxmlformats-officedocument.wordprocessingml.header+xml"/>
  <Override PartName="/word/footer8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pict>
          <v:group style="position:absolute;margin-left:1pt;margin-top:1.000016pt;width:467.75pt;height:651.950pt;mso-position-horizontal-relative:page;mso-position-vertical-relative:page;z-index:-153064" coordorigin="20,20" coordsize="9355,13039">
            <v:shape style="position:absolute;left:20;top:20;width:9354;height:13038" type="#_x0000_t75" stroked="false">
              <v:imagedata r:id="rId5" o:title=""/>
            </v:shape>
            <v:shape style="position:absolute;left:867;top:864;width:1738;height:509" coordorigin="867,864" coordsize="1738,509" path="m999,932l994,906,980,885,959,871,933,866,908,871,887,885,873,906,867,932,867,1301,873,1327,887,1348,908,1362,933,1367,959,1362,980,1348,994,1327,999,1301,999,932m1582,928l1562,881,1518,864,1475,880,1454,928,1454,1149,1386,1080,1199,891,1164,870,1127,869,1099,889,1088,928,1088,1300,1107,1353,1150,1373,1194,1355,1213,1300,1213,1080,1484,1350,1508,1367,1529,1372,1546,1367,1561,1358,1574,1344,1580,1330,1582,1316,1582,1149,1582,928m2174,1314l2156,1265,1971,1079,1785,890,1750,869,1714,868,1685,888,1674,927,1674,1299,1694,1352,1737,1371,1780,1354,1800,1299,1800,1079,2070,1349,2117,1372,2156,1355,2174,1314m2605,928l2602,905,2592,885,2574,871,2548,866,2273,866,2247,873,2225,889,2211,909,2206,928,2206,1300,2226,1354,2271,1372,2317,1354,2337,1300,2337,966,2491,966,2491,1100,2416,1100,2379,1115,2366,1147,2379,1179,2416,1193,2555,1193,2574,1188,2590,1175,2601,1156,2605,1135,2605,966,2605,928e" filled="true" fillcolor="#00a94f" stroked="false">
              <v:path arrowok="t"/>
              <v:fill type="solid"/>
            </v:shape>
            <v:shape style="position:absolute;left:2848;top:865;width:1160;height:518" type="#_x0000_t75" stroked="false">
              <v:imagedata r:id="rId6" o:title=""/>
            </v:shape>
            <v:line style="position:absolute" from="2735,694" to="2735,1545" stroked="true" strokeweight="1.0834pt" strokecolor="#45555f"/>
            <v:shape style="position:absolute;left:7024;top:698;width:1285;height:855" type="#_x0000_t75" stroked="false">
              <v:imagedata r:id="rId7" o:title=""/>
            </v:shape>
            <w10:wrap type="none"/>
          </v:group>
        </w:pict>
      </w:r>
      <w:bookmarkStart w:name="Página 1" w:id="1"/>
      <w:bookmarkEnd w:id="1"/>
      <w:r>
        <w:rPr/>
      </w:r>
      <w:r>
        <w:rPr>
          <w:sz w:val="17"/>
        </w:rPr>
      </w:r>
    </w:p>
    <w:p>
      <w:pPr>
        <w:spacing w:after="0"/>
        <w:rPr>
          <w:sz w:val="17"/>
        </w:rPr>
        <w:sectPr>
          <w:type w:val="continuous"/>
          <w:pgSz w:w="9400" w:h="13080"/>
          <w:pgMar w:top="1200" w:bottom="280" w:left="1300" w:right="1300"/>
        </w:sectPr>
      </w:pPr>
    </w:p>
    <w:p>
      <w:pPr>
        <w:pStyle w:val="BodyText"/>
        <w:spacing w:before="4"/>
        <w:rPr>
          <w:sz w:val="17"/>
        </w:rPr>
      </w:pPr>
    </w:p>
    <w:p>
      <w:pPr>
        <w:spacing w:after="0"/>
        <w:rPr>
          <w:sz w:val="17"/>
        </w:rPr>
        <w:sectPr>
          <w:pgSz w:w="9360" w:h="13040"/>
          <w:pgMar w:top="1200" w:bottom="280" w:left="1300" w:right="1300"/>
        </w:sectPr>
      </w:pPr>
    </w:p>
    <w:p>
      <w:pPr>
        <w:pStyle w:val="BodyText"/>
        <w:spacing w:before="4"/>
        <w:rPr>
          <w:sz w:val="17"/>
        </w:rPr>
      </w:pPr>
    </w:p>
    <w:p>
      <w:pPr>
        <w:spacing w:after="0"/>
        <w:rPr>
          <w:sz w:val="17"/>
        </w:rPr>
        <w:sectPr>
          <w:pgSz w:w="9360" w:h="13040"/>
          <w:pgMar w:top="1200" w:bottom="280" w:left="1300" w:right="1300"/>
        </w:sectPr>
      </w:pPr>
    </w:p>
    <w:p>
      <w:pPr>
        <w:spacing w:before="106"/>
        <w:ind w:left="233" w:right="66" w:firstLine="0"/>
        <w:jc w:val="center"/>
        <w:rPr>
          <w:sz w:val="38"/>
        </w:rPr>
      </w:pPr>
      <w:r>
        <w:rPr/>
        <w:pict>
          <v:line style="position:absolute;mso-position-horizontal-relative:page;mso-position-vertical-relative:page;z-index:1144" from="262.1380pt,549.492981pt" to="262.1380pt,581.102981pt" stroked="true" strokeweight="1.028pt" strokecolor="#000000">
            <w10:wrap type="none"/>
          </v:line>
        </w:pict>
      </w:r>
      <w:r>
        <w:rPr>
          <w:sz w:val="38"/>
        </w:rPr>
        <w:t>Joel Mendoza Ruiz</w:t>
      </w:r>
    </w:p>
    <w:p>
      <w:pPr>
        <w:pStyle w:val="BodyText"/>
        <w:rPr>
          <w:sz w:val="38"/>
        </w:rPr>
      </w:pPr>
    </w:p>
    <w:p>
      <w:pPr>
        <w:pStyle w:val="BodyText"/>
        <w:rPr>
          <w:sz w:val="38"/>
        </w:rPr>
      </w:pPr>
    </w:p>
    <w:p>
      <w:pPr>
        <w:pStyle w:val="BodyText"/>
        <w:rPr>
          <w:sz w:val="38"/>
        </w:rPr>
      </w:pPr>
    </w:p>
    <w:p>
      <w:pPr>
        <w:pStyle w:val="BodyText"/>
        <w:rPr>
          <w:sz w:val="38"/>
        </w:rPr>
      </w:pPr>
    </w:p>
    <w:p>
      <w:pPr>
        <w:pStyle w:val="BodyText"/>
        <w:spacing w:before="5"/>
        <w:rPr>
          <w:sz w:val="31"/>
        </w:rPr>
      </w:pPr>
    </w:p>
    <w:p>
      <w:pPr>
        <w:spacing w:line="560" w:lineRule="exact" w:before="0"/>
        <w:ind w:left="771" w:right="600" w:hanging="4"/>
        <w:jc w:val="center"/>
        <w:rPr>
          <w:b/>
          <w:sz w:val="52"/>
        </w:rPr>
      </w:pPr>
      <w:r>
        <w:rPr>
          <w:b/>
          <w:sz w:val="52"/>
        </w:rPr>
        <w:t>Las Capacidades Subsidiarias del Gobierno</w:t>
      </w:r>
    </w:p>
    <w:p>
      <w:pPr>
        <w:spacing w:line="560" w:lineRule="exact" w:before="0"/>
        <w:ind w:left="235" w:right="66" w:firstLine="0"/>
        <w:jc w:val="center"/>
        <w:rPr>
          <w:b/>
          <w:sz w:val="52"/>
        </w:rPr>
      </w:pPr>
      <w:r>
        <w:rPr>
          <w:b/>
          <w:sz w:val="52"/>
        </w:rPr>
        <w:t>Estatal y de los Ayuntamientos del Estado de Hidalgo en</w:t>
      </w:r>
    </w:p>
    <w:p>
      <w:pPr>
        <w:spacing w:line="560" w:lineRule="exact" w:before="0"/>
        <w:ind w:left="235" w:right="63" w:firstLine="0"/>
        <w:jc w:val="center"/>
        <w:rPr>
          <w:b/>
          <w:sz w:val="52"/>
        </w:rPr>
      </w:pPr>
      <w:r>
        <w:rPr>
          <w:b/>
          <w:sz w:val="52"/>
        </w:rPr>
        <w:t>el Contexto Federal: Finanzas Públicas, Políticas Públicas, Organización Social.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22"/>
        </w:rPr>
      </w:pPr>
      <w:r>
        <w:rPr/>
        <w:pict>
          <v:shape style="position:absolute;margin-left:173.499405pt;margin-top:15.113199pt;width:6.3pt;height:23.85pt;mso-position-horizontal-relative:page;mso-position-vertical-relative:paragraph;z-index:1048;mso-wrap-distance-left:0;mso-wrap-distance-right:0" coordorigin="3470,302" coordsize="126,477" path="m3533,302l3508,307,3488,321,3475,341,3470,365,3470,716,3475,740,3488,760,3508,773,3533,778,3557,773,3577,760,3590,740,3595,716,3595,365,3590,341,3577,321,3557,307,3533,302xe" filled="true" fillcolor="#000000" stroked="false">
            <v:path arrowok="t"/>
            <v:fill type="solid"/>
            <w10:wrap type="topAndBottom"/>
          </v:shape>
        </w:pict>
      </w:r>
      <w:r>
        <w:rPr/>
        <w:pict>
          <v:shape style="position:absolute;margin-left:183.946396pt;margin-top:15.063274pt;width:23.5pt;height:24.15pt;mso-position-horizontal-relative:page;mso-position-vertical-relative:paragraph;z-index:1072;mso-wrap-distance-left:0;mso-wrap-distance-right:0" coordorigin="3679,301" coordsize="470,483" path="m3717,306l3690,324,3679,362,3679,715,3698,765,3739,784,3780,767,3798,715,3798,505,3962,505,3784,326,3751,307,3717,306xm3962,505l3798,505,4055,762,4078,779,4098,783,4115,779,4128,770,4141,756,4147,743,4148,729,4148,571,4027,571,3962,505xm4088,301l4046,316,4027,362,4027,571,4148,571,4149,362,4129,317,4088,301xe" filled="true" fillcolor="#000000" stroked="false">
            <v:path arrowok="t"/>
            <v:fill type="solid"/>
            <w10:wrap type="topAndBottom"/>
          </v:shape>
        </w:pict>
      </w:r>
      <w:r>
        <w:rPr/>
        <w:pict>
          <v:group style="position:absolute;margin-left:211.786102pt;margin-top:15.124399pt;width:44.25pt;height:24.05pt;mso-position-horizontal-relative:page;mso-position-vertical-relative:paragraph;z-index:1096;mso-wrap-distance-left:0;mso-wrap-distance-right:0" coordorigin="4236,302" coordsize="885,481">
            <v:shape style="position:absolute;left:4236;top:305;width:475;height:478" coordorigin="4236,305" coordsize="475,478" path="m4518,504l4355,504,4612,761,4656,783,4694,767,4710,728,4693,682,4518,504xm4274,305l4247,323,4236,361,4236,714,4254,764,4295,782,4336,766,4355,714,4355,504,4518,504,4341,325,4308,306,4274,305xe" filled="true" fillcolor="#000000" stroked="false">
              <v:path arrowok="t"/>
              <v:fill type="solid"/>
            </v:shape>
            <v:shape style="position:absolute;left:4740;top:302;width:380;height:481" coordorigin="4740,302" coordsize="380,481" path="m5065,302l4804,302,4779,309,4759,324,4745,343,4740,362,4740,715,4760,766,4803,783,4846,766,4865,714,4865,397,5120,397,5120,362,5116,339,5107,321,5090,307,5065,302xm5120,397l5011,397,5011,525,4940,525,4905,539,4893,569,4905,599,4940,613,5072,613,5090,609,5106,596,5116,578,5120,558,5120,397xe" filled="true" fillcolor="#000000" stroked="false">
              <v:path arrowok="t"/>
              <v:fill type="solid"/>
            </v:shape>
            <w10:wrap type="topAndBottom"/>
          </v:group>
        </w:pict>
      </w:r>
      <w:r>
        <w:rPr/>
        <w:drawing>
          <wp:anchor distT="0" distB="0" distL="0" distR="0" allowOverlap="1" layoutInCell="1" locked="0" behindDoc="0" simplePos="0" relativeHeight="1120">
            <wp:simplePos x="0" y="0"/>
            <wp:positionH relativeFrom="page">
              <wp:posOffset>3397415</wp:posOffset>
            </wp:positionH>
            <wp:positionV relativeFrom="paragraph">
              <wp:posOffset>191505</wp:posOffset>
            </wp:positionV>
            <wp:extent cx="704314" cy="314325"/>
            <wp:effectExtent l="0" t="0" r="0" b="0"/>
            <wp:wrapTopAndBottom/>
            <wp:docPr id="1" name="image4.png" descr=""/>
            <wp:cNvGraphicFramePr>
              <a:graphicFrameLocks noChangeAspect="1"/>
            </wp:cNvGraphicFramePr>
            <a:graphic>
              <a:graphicData uri="http://schemas.openxmlformats.org/drawingml/2006/picture">
                <pic:pic>
                  <pic:nvPicPr>
                    <pic:cNvPr id="2" name="image4.png"/>
                    <pic:cNvPicPr/>
                  </pic:nvPicPr>
                  <pic:blipFill>
                    <a:blip r:embed="rId8" cstate="print"/>
                    <a:stretch>
                      <a:fillRect/>
                    </a:stretch>
                  </pic:blipFill>
                  <pic:spPr>
                    <a:xfrm>
                      <a:off x="0" y="0"/>
                      <a:ext cx="704314" cy="314325"/>
                    </a:xfrm>
                    <a:prstGeom prst="rect">
                      <a:avLst/>
                    </a:prstGeom>
                  </pic:spPr>
                </pic:pic>
              </a:graphicData>
            </a:graphic>
          </wp:anchor>
        </w:drawing>
      </w:r>
    </w:p>
    <w:p>
      <w:pPr>
        <w:spacing w:after="0"/>
        <w:rPr>
          <w:sz w:val="22"/>
        </w:rPr>
        <w:sectPr>
          <w:pgSz w:w="9360" w:h="13040"/>
          <w:pgMar w:top="1200" w:bottom="280" w:left="1300" w:right="9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8"/>
        </w:rPr>
      </w:pPr>
    </w:p>
    <w:p>
      <w:pPr>
        <w:spacing w:before="78"/>
        <w:ind w:left="110" w:right="0" w:firstLine="0"/>
        <w:jc w:val="left"/>
        <w:rPr>
          <w:sz w:val="18"/>
        </w:rPr>
      </w:pPr>
      <w:r>
        <w:rPr>
          <w:sz w:val="18"/>
        </w:rPr>
        <w:t>ISBN: 978-607-9026-30-1</w:t>
      </w:r>
    </w:p>
    <w:p>
      <w:pPr>
        <w:pStyle w:val="BodyText"/>
        <w:spacing w:before="7"/>
        <w:rPr>
          <w:sz w:val="20"/>
        </w:rPr>
      </w:pPr>
    </w:p>
    <w:p>
      <w:pPr>
        <w:spacing w:line="256" w:lineRule="auto" w:before="0"/>
        <w:ind w:left="110" w:right="0" w:firstLine="0"/>
        <w:jc w:val="left"/>
        <w:rPr>
          <w:b/>
          <w:sz w:val="18"/>
        </w:rPr>
      </w:pPr>
      <w:r>
        <w:rPr>
          <w:b/>
          <w:sz w:val="18"/>
        </w:rPr>
        <w:t>Las Capacidades Subsidiarias del Gobierno Estatal y de los Ayuntamientos del Estado de Hidalgo en el Contexto Federal: Finanzas Públicas, Políticas Públicas, Organización  Social.</w:t>
      </w:r>
    </w:p>
    <w:p>
      <w:pPr>
        <w:pStyle w:val="BodyText"/>
        <w:rPr>
          <w:b/>
          <w:sz w:val="18"/>
        </w:rPr>
      </w:pPr>
    </w:p>
    <w:p>
      <w:pPr>
        <w:pStyle w:val="BodyText"/>
        <w:spacing w:before="8"/>
        <w:rPr>
          <w:b/>
          <w:sz w:val="20"/>
        </w:rPr>
      </w:pPr>
    </w:p>
    <w:p>
      <w:pPr>
        <w:spacing w:line="256" w:lineRule="auto" w:before="0"/>
        <w:ind w:left="110" w:right="3806" w:firstLine="0"/>
        <w:jc w:val="left"/>
        <w:rPr>
          <w:sz w:val="18"/>
        </w:rPr>
      </w:pPr>
      <w:r>
        <w:rPr>
          <w:sz w:val="18"/>
        </w:rPr>
        <w:t>Derechos reservados conforme a la Ley Primera edición: 2013</w:t>
      </w:r>
    </w:p>
    <w:p>
      <w:pPr>
        <w:pStyle w:val="BodyText"/>
        <w:spacing w:before="4"/>
        <w:rPr>
          <w:sz w:val="19"/>
        </w:rPr>
      </w:pPr>
    </w:p>
    <w:p>
      <w:pPr>
        <w:spacing w:line="256" w:lineRule="auto" w:before="1"/>
        <w:ind w:left="110" w:right="3088" w:firstLine="0"/>
        <w:jc w:val="left"/>
        <w:rPr>
          <w:sz w:val="18"/>
        </w:rPr>
      </w:pPr>
      <w:r>
        <w:rPr>
          <w:sz w:val="18"/>
        </w:rPr>
        <w:t>©Instituto Nacional de Administración Pública, A.C. Km. 14.5 Carretera México-Toluca No. 2151</w:t>
      </w:r>
    </w:p>
    <w:p>
      <w:pPr>
        <w:spacing w:line="256" w:lineRule="auto" w:before="1"/>
        <w:ind w:left="110" w:right="4444" w:firstLine="0"/>
        <w:jc w:val="left"/>
        <w:rPr>
          <w:sz w:val="18"/>
        </w:rPr>
      </w:pPr>
      <w:r>
        <w:rPr>
          <w:sz w:val="18"/>
        </w:rPr>
        <w:t>Col. Palo Alto, </w:t>
      </w:r>
      <w:r>
        <w:rPr>
          <w:spacing w:val="-6"/>
          <w:sz w:val="18"/>
        </w:rPr>
        <w:t>C.P. </w:t>
      </w:r>
      <w:r>
        <w:rPr>
          <w:sz w:val="18"/>
        </w:rPr>
        <w:t>05110  Delegación Cuajimalpa, México, </w:t>
      </w:r>
      <w:r>
        <w:rPr>
          <w:spacing w:val="-5"/>
          <w:sz w:val="18"/>
        </w:rPr>
        <w:t>D.F. </w:t>
      </w:r>
      <w:r>
        <w:rPr>
          <w:sz w:val="18"/>
        </w:rPr>
        <w:t>50 81 26</w:t>
      </w:r>
      <w:r>
        <w:rPr>
          <w:spacing w:val="7"/>
          <w:sz w:val="18"/>
        </w:rPr>
        <w:t> </w:t>
      </w:r>
      <w:r>
        <w:rPr>
          <w:sz w:val="18"/>
        </w:rPr>
        <w:t>35</w:t>
      </w:r>
    </w:p>
    <w:p>
      <w:pPr>
        <w:spacing w:before="1"/>
        <w:ind w:left="110" w:right="0" w:firstLine="0"/>
        <w:jc w:val="left"/>
        <w:rPr>
          <w:sz w:val="18"/>
        </w:rPr>
      </w:pPr>
      <w:hyperlink r:id="rId9">
        <w:r>
          <w:rPr>
            <w:sz w:val="18"/>
          </w:rPr>
          <w:t>www.inap.org.mx</w:t>
        </w:r>
      </w:hyperlink>
    </w:p>
    <w:p>
      <w:pPr>
        <w:pStyle w:val="BodyText"/>
        <w:rPr>
          <w:sz w:val="18"/>
        </w:rPr>
      </w:pPr>
    </w:p>
    <w:p>
      <w:pPr>
        <w:pStyle w:val="BodyText"/>
        <w:spacing w:before="11"/>
        <w:rPr>
          <w:sz w:val="21"/>
        </w:rPr>
      </w:pPr>
    </w:p>
    <w:p>
      <w:pPr>
        <w:spacing w:line="256" w:lineRule="auto" w:before="0"/>
        <w:ind w:left="110" w:right="2205" w:firstLine="0"/>
        <w:jc w:val="left"/>
        <w:rPr>
          <w:sz w:val="18"/>
        </w:rPr>
      </w:pPr>
      <w:r>
        <w:rPr>
          <w:sz w:val="18"/>
        </w:rPr>
        <w:t>Instituto de Administración Pública del Estado de Hidalgo, A.C. Plaza Independencia # 106, Interior 501,</w:t>
      </w:r>
    </w:p>
    <w:p>
      <w:pPr>
        <w:spacing w:line="256" w:lineRule="auto" w:before="1"/>
        <w:ind w:left="110" w:right="5409" w:firstLine="0"/>
        <w:jc w:val="left"/>
        <w:rPr>
          <w:sz w:val="18"/>
        </w:rPr>
      </w:pPr>
      <w:r>
        <w:rPr>
          <w:sz w:val="18"/>
        </w:rPr>
        <w:t>Col. Centro, C.P. 42000, Pachuca, Hidalgo</w:t>
      </w:r>
    </w:p>
    <w:p>
      <w:pPr>
        <w:spacing w:before="1"/>
        <w:ind w:left="110" w:right="0" w:firstLine="0"/>
        <w:jc w:val="left"/>
        <w:rPr>
          <w:sz w:val="18"/>
        </w:rPr>
      </w:pPr>
      <w:r>
        <w:rPr>
          <w:sz w:val="18"/>
        </w:rPr>
        <w:t>Teléfonos: (771) 715 08 81, Fax: (771) 715 08 82</w:t>
      </w:r>
    </w:p>
    <w:p>
      <w:pPr>
        <w:spacing w:before="15"/>
        <w:ind w:left="110" w:right="0" w:firstLine="0"/>
        <w:jc w:val="left"/>
        <w:rPr>
          <w:sz w:val="18"/>
        </w:rPr>
      </w:pPr>
      <w:hyperlink r:id="rId10">
        <w:r>
          <w:rPr>
            <w:sz w:val="18"/>
          </w:rPr>
          <w:t>http://www.iaphidalgo.org</w:t>
        </w:r>
      </w:hyperlink>
    </w:p>
    <w:p>
      <w:pPr>
        <w:pStyle w:val="BodyText"/>
        <w:rPr>
          <w:sz w:val="18"/>
        </w:rPr>
      </w:pPr>
    </w:p>
    <w:p>
      <w:pPr>
        <w:pStyle w:val="BodyText"/>
        <w:spacing w:before="11"/>
        <w:rPr>
          <w:sz w:val="21"/>
        </w:rPr>
      </w:pPr>
    </w:p>
    <w:p>
      <w:pPr>
        <w:spacing w:before="0"/>
        <w:ind w:left="110" w:right="0" w:firstLine="0"/>
        <w:jc w:val="left"/>
        <w:rPr>
          <w:sz w:val="18"/>
        </w:rPr>
      </w:pPr>
      <w:r>
        <w:rPr>
          <w:sz w:val="18"/>
        </w:rPr>
        <w:t>Se autoriza la reproducción total o parcial de esta obra,</w:t>
      </w:r>
    </w:p>
    <w:p>
      <w:pPr>
        <w:spacing w:before="15"/>
        <w:ind w:left="110" w:right="0" w:firstLine="0"/>
        <w:jc w:val="left"/>
        <w:rPr>
          <w:sz w:val="18"/>
        </w:rPr>
      </w:pPr>
      <w:r>
        <w:rPr>
          <w:sz w:val="18"/>
        </w:rPr>
        <w:t>citando la fuente, siempre y cuando sea sin fines de lucro.</w:t>
      </w:r>
    </w:p>
    <w:p>
      <w:pPr>
        <w:spacing w:after="0"/>
        <w:jc w:val="left"/>
        <w:rPr>
          <w:sz w:val="18"/>
        </w:rPr>
        <w:sectPr>
          <w:pgSz w:w="9360" w:h="13040"/>
          <w:pgMar w:top="1200" w:bottom="280" w:left="740" w:right="1300"/>
        </w:sectPr>
      </w:pPr>
    </w:p>
    <w:p>
      <w:pPr>
        <w:pStyle w:val="Heading2"/>
        <w:spacing w:before="138"/>
        <w:ind w:left="1802" w:right="1576"/>
      </w:pPr>
      <w:r>
        <w:rPr/>
        <w:t>CONSEJO DIRECTIVO 2011-2014</w:t>
      </w:r>
    </w:p>
    <w:p>
      <w:pPr>
        <w:pStyle w:val="BodyText"/>
        <w:rPr>
          <w:b/>
          <w:sz w:val="24"/>
        </w:rPr>
      </w:pPr>
    </w:p>
    <w:p>
      <w:pPr>
        <w:pStyle w:val="BodyText"/>
        <w:spacing w:before="3"/>
        <w:rPr>
          <w:b/>
          <w:sz w:val="21"/>
        </w:rPr>
      </w:pPr>
    </w:p>
    <w:p>
      <w:pPr>
        <w:spacing w:before="1"/>
        <w:ind w:left="1802" w:right="1576" w:firstLine="0"/>
        <w:jc w:val="center"/>
        <w:rPr>
          <w:sz w:val="20"/>
        </w:rPr>
      </w:pPr>
      <w:r>
        <w:rPr>
          <w:sz w:val="20"/>
        </w:rPr>
        <w:t>José R. Castelazo</w:t>
      </w:r>
    </w:p>
    <w:p>
      <w:pPr>
        <w:spacing w:before="10"/>
        <w:ind w:left="1802" w:right="1575" w:firstLine="0"/>
        <w:jc w:val="center"/>
        <w:rPr>
          <w:b/>
          <w:sz w:val="20"/>
        </w:rPr>
      </w:pPr>
      <w:r>
        <w:rPr>
          <w:b/>
          <w:sz w:val="20"/>
        </w:rPr>
        <w:t>Presidente</w:t>
      </w:r>
    </w:p>
    <w:p>
      <w:pPr>
        <w:pStyle w:val="BodyText"/>
        <w:spacing w:before="10"/>
        <w:rPr>
          <w:b/>
          <w:sz w:val="19"/>
        </w:rPr>
      </w:pPr>
    </w:p>
    <w:p>
      <w:pPr>
        <w:tabs>
          <w:tab w:pos="3053" w:val="left" w:leader="none"/>
          <w:tab w:pos="4787" w:val="left" w:leader="none"/>
        </w:tabs>
        <w:spacing w:before="0"/>
        <w:ind w:left="592" w:right="0" w:firstLine="0"/>
        <w:jc w:val="left"/>
        <w:rPr>
          <w:sz w:val="20"/>
        </w:rPr>
      </w:pPr>
      <w:r>
        <w:rPr>
          <w:sz w:val="20"/>
        </w:rPr>
        <w:t>Javier</w:t>
      </w:r>
      <w:r>
        <w:rPr>
          <w:spacing w:val="-1"/>
          <w:sz w:val="20"/>
        </w:rPr>
        <w:t> </w:t>
      </w:r>
      <w:r>
        <w:rPr>
          <w:sz w:val="20"/>
        </w:rPr>
        <w:t>Barros</w:t>
      </w:r>
      <w:r>
        <w:rPr>
          <w:spacing w:val="-5"/>
          <w:sz w:val="20"/>
        </w:rPr>
        <w:t> </w:t>
      </w:r>
      <w:r>
        <w:rPr>
          <w:spacing w:val="-4"/>
          <w:sz w:val="20"/>
        </w:rPr>
        <w:t>Valero</w:t>
        <w:tab/>
      </w:r>
      <w:r>
        <w:rPr>
          <w:sz w:val="20"/>
        </w:rPr>
        <w:t>Diego</w:t>
      </w:r>
      <w:r>
        <w:rPr>
          <w:spacing w:val="-4"/>
          <w:sz w:val="20"/>
        </w:rPr>
        <w:t> Valadés</w:t>
        <w:tab/>
      </w:r>
      <w:r>
        <w:rPr>
          <w:sz w:val="20"/>
        </w:rPr>
        <w:t>Mauricio </w:t>
      </w:r>
      <w:r>
        <w:rPr>
          <w:spacing w:val="-4"/>
          <w:sz w:val="20"/>
        </w:rPr>
        <w:t>Valdés</w:t>
      </w:r>
      <w:r>
        <w:rPr>
          <w:spacing w:val="-11"/>
          <w:sz w:val="20"/>
        </w:rPr>
        <w:t> </w:t>
      </w:r>
      <w:r>
        <w:rPr>
          <w:sz w:val="20"/>
        </w:rPr>
        <w:t>Rodríguez</w:t>
      </w:r>
    </w:p>
    <w:p>
      <w:pPr>
        <w:spacing w:after="0"/>
        <w:jc w:val="left"/>
        <w:rPr>
          <w:sz w:val="20"/>
        </w:rPr>
        <w:sectPr>
          <w:pgSz w:w="9360" w:h="13040"/>
          <w:pgMar w:top="1200" w:bottom="280" w:left="1300" w:right="960"/>
        </w:sectPr>
      </w:pPr>
    </w:p>
    <w:p>
      <w:pPr>
        <w:spacing w:line="249" w:lineRule="auto" w:before="32"/>
        <w:ind w:left="746" w:right="0" w:firstLine="0"/>
        <w:jc w:val="center"/>
        <w:rPr>
          <w:b/>
          <w:sz w:val="20"/>
        </w:rPr>
      </w:pPr>
      <w:r>
        <w:rPr>
          <w:b/>
          <w:sz w:val="20"/>
        </w:rPr>
        <w:t>Vicepresidente para Asuntos </w:t>
      </w:r>
      <w:r>
        <w:rPr>
          <w:b/>
          <w:spacing w:val="-1"/>
          <w:sz w:val="20"/>
        </w:rPr>
        <w:t>Internacionales</w:t>
      </w:r>
    </w:p>
    <w:p>
      <w:pPr>
        <w:tabs>
          <w:tab w:pos="2783" w:val="left" w:leader="none"/>
        </w:tabs>
        <w:spacing w:before="32"/>
        <w:ind w:left="896" w:right="0" w:firstLine="0"/>
        <w:jc w:val="left"/>
        <w:rPr>
          <w:b/>
          <w:sz w:val="20"/>
        </w:rPr>
      </w:pPr>
      <w:r>
        <w:rPr/>
        <w:br w:type="column"/>
      </w:r>
      <w:r>
        <w:rPr>
          <w:b/>
          <w:sz w:val="20"/>
        </w:rPr>
        <w:t>Vicepresidente</w:t>
        <w:tab/>
        <w:t>Vicepresidente para</w:t>
      </w:r>
      <w:r>
        <w:rPr>
          <w:b/>
          <w:spacing w:val="-16"/>
          <w:sz w:val="20"/>
        </w:rPr>
        <w:t> </w:t>
      </w:r>
      <w:r>
        <w:rPr>
          <w:b/>
          <w:sz w:val="20"/>
        </w:rPr>
        <w:t>los</w:t>
      </w:r>
    </w:p>
    <w:p>
      <w:pPr>
        <w:spacing w:line="249" w:lineRule="auto" w:before="10"/>
        <w:ind w:left="3344" w:right="340" w:hanging="433"/>
        <w:jc w:val="left"/>
        <w:rPr>
          <w:b/>
          <w:sz w:val="20"/>
        </w:rPr>
      </w:pPr>
      <w:r>
        <w:rPr>
          <w:b/>
          <w:sz w:val="20"/>
        </w:rPr>
        <w:t>IAP’s de los Estados 2012-2013</w:t>
      </w:r>
    </w:p>
    <w:p>
      <w:pPr>
        <w:pStyle w:val="BodyText"/>
        <w:rPr>
          <w:b/>
          <w:sz w:val="20"/>
        </w:rPr>
      </w:pPr>
    </w:p>
    <w:p>
      <w:pPr>
        <w:spacing w:before="171"/>
        <w:ind w:left="493" w:right="2372" w:firstLine="0"/>
        <w:jc w:val="center"/>
        <w:rPr>
          <w:b/>
          <w:sz w:val="20"/>
        </w:rPr>
      </w:pPr>
      <w:r>
        <w:rPr>
          <w:b/>
          <w:sz w:val="20"/>
        </w:rPr>
        <w:t>CONSEJEROS</w:t>
      </w:r>
    </w:p>
    <w:p>
      <w:pPr>
        <w:pStyle w:val="BodyText"/>
        <w:spacing w:before="8"/>
        <w:rPr>
          <w:b/>
          <w:sz w:val="21"/>
        </w:rPr>
      </w:pPr>
    </w:p>
    <w:p>
      <w:pPr>
        <w:spacing w:line="249" w:lineRule="auto" w:before="0"/>
        <w:ind w:left="680" w:right="2559" w:hanging="1"/>
        <w:jc w:val="center"/>
        <w:rPr>
          <w:sz w:val="20"/>
        </w:rPr>
      </w:pPr>
      <w:r>
        <w:rPr>
          <w:sz w:val="20"/>
        </w:rPr>
        <w:t>Hilda Aburto Muñoz Carlos Almada</w:t>
      </w:r>
      <w:r>
        <w:rPr>
          <w:spacing w:val="-16"/>
          <w:sz w:val="20"/>
        </w:rPr>
        <w:t> </w:t>
      </w:r>
      <w:r>
        <w:rPr>
          <w:sz w:val="20"/>
        </w:rPr>
        <w:t>López</w:t>
      </w:r>
    </w:p>
    <w:p>
      <w:pPr>
        <w:spacing w:line="249" w:lineRule="auto" w:before="1"/>
        <w:ind w:left="491" w:right="1904" w:hanging="456"/>
        <w:jc w:val="left"/>
        <w:rPr>
          <w:sz w:val="20"/>
        </w:rPr>
      </w:pPr>
      <w:r>
        <w:rPr>
          <w:sz w:val="20"/>
        </w:rPr>
        <w:t>José Fernando Franco González Salas Benjamín González Roaro Mauricio Merino Huerta</w:t>
      </w:r>
    </w:p>
    <w:p>
      <w:pPr>
        <w:spacing w:line="249" w:lineRule="auto" w:before="1"/>
        <w:ind w:left="22" w:right="1901" w:hanging="1"/>
        <w:jc w:val="center"/>
        <w:rPr>
          <w:sz w:val="20"/>
        </w:rPr>
      </w:pPr>
      <w:r>
        <w:rPr>
          <w:sz w:val="20"/>
        </w:rPr>
        <w:t>Sergio Hidalgo Monroy Portillo María de los Ángeles Moreno</w:t>
      </w:r>
      <w:r>
        <w:rPr>
          <w:spacing w:val="-22"/>
          <w:sz w:val="20"/>
        </w:rPr>
        <w:t> </w:t>
      </w:r>
      <w:r>
        <w:rPr>
          <w:sz w:val="20"/>
        </w:rPr>
        <w:t>Uriegas Arturo Núñez</w:t>
      </w:r>
      <w:r>
        <w:rPr>
          <w:spacing w:val="-16"/>
          <w:sz w:val="20"/>
        </w:rPr>
        <w:t> </w:t>
      </w:r>
      <w:r>
        <w:rPr>
          <w:sz w:val="20"/>
        </w:rPr>
        <w:t>Jiménez</w:t>
      </w:r>
    </w:p>
    <w:p>
      <w:pPr>
        <w:spacing w:line="249" w:lineRule="auto" w:before="1"/>
        <w:ind w:left="493" w:right="2372" w:firstLine="0"/>
        <w:jc w:val="center"/>
        <w:rPr>
          <w:sz w:val="20"/>
        </w:rPr>
      </w:pPr>
      <w:r>
        <w:rPr>
          <w:sz w:val="20"/>
        </w:rPr>
        <w:t>Fernando Pérez Correa Carlos Reta Martínez Óscar Reyes Retana Héctor Villarreal Ordóñez</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4"/>
        </w:rPr>
      </w:pPr>
    </w:p>
    <w:p>
      <w:pPr>
        <w:spacing w:before="0"/>
        <w:ind w:left="493" w:right="2371" w:firstLine="0"/>
        <w:jc w:val="center"/>
        <w:rPr>
          <w:b/>
          <w:sz w:val="20"/>
        </w:rPr>
      </w:pPr>
      <w:r>
        <w:rPr>
          <w:b/>
          <w:sz w:val="20"/>
        </w:rPr>
        <w:t>CONSEJO DE HONOR</w:t>
      </w:r>
    </w:p>
    <w:p>
      <w:pPr>
        <w:spacing w:after="0"/>
        <w:jc w:val="center"/>
        <w:rPr>
          <w:sz w:val="20"/>
        </w:rPr>
        <w:sectPr>
          <w:type w:val="continuous"/>
          <w:pgSz w:w="9360" w:h="13040"/>
          <w:pgMar w:top="1200" w:bottom="280" w:left="1300" w:right="960"/>
          <w:cols w:num="2" w:equalWidth="0">
            <w:col w:w="2068" w:space="40"/>
            <w:col w:w="4992"/>
          </w:cols>
        </w:sectPr>
      </w:pPr>
    </w:p>
    <w:p>
      <w:pPr>
        <w:pStyle w:val="BodyText"/>
        <w:rPr>
          <w:b/>
          <w:sz w:val="20"/>
        </w:rPr>
      </w:pPr>
    </w:p>
    <w:p>
      <w:pPr>
        <w:pStyle w:val="BodyText"/>
        <w:rPr>
          <w:b/>
          <w:sz w:val="20"/>
        </w:rPr>
      </w:pPr>
    </w:p>
    <w:p>
      <w:pPr>
        <w:spacing w:before="75"/>
        <w:ind w:left="4685" w:right="0" w:firstLine="0"/>
        <w:jc w:val="left"/>
        <w:rPr>
          <w:b/>
          <w:sz w:val="20"/>
        </w:rPr>
      </w:pPr>
      <w:r>
        <w:rPr>
          <w:b/>
          <w:sz w:val="20"/>
        </w:rPr>
        <w:t>IN MEMORIAM</w:t>
      </w:r>
    </w:p>
    <w:p>
      <w:pPr>
        <w:spacing w:before="46"/>
        <w:ind w:left="1022" w:right="0" w:firstLine="0"/>
        <w:jc w:val="left"/>
        <w:rPr>
          <w:sz w:val="20"/>
        </w:rPr>
      </w:pPr>
      <w:r>
        <w:rPr>
          <w:sz w:val="20"/>
        </w:rPr>
        <w:t>Luis García Cárdenas</w:t>
      </w:r>
    </w:p>
    <w:p>
      <w:pPr>
        <w:tabs>
          <w:tab w:pos="4538" w:val="left" w:leader="none"/>
        </w:tabs>
        <w:spacing w:before="45"/>
        <w:ind w:left="900" w:right="0" w:firstLine="0"/>
        <w:jc w:val="left"/>
        <w:rPr>
          <w:sz w:val="20"/>
        </w:rPr>
      </w:pPr>
      <w:r>
        <w:rPr>
          <w:sz w:val="20"/>
        </w:rPr>
        <w:t>Ignacio</w:t>
      </w:r>
      <w:r>
        <w:rPr>
          <w:spacing w:val="-3"/>
          <w:sz w:val="20"/>
        </w:rPr>
        <w:t> </w:t>
      </w:r>
      <w:r>
        <w:rPr>
          <w:sz w:val="20"/>
        </w:rPr>
        <w:t>Pichardo</w:t>
      </w:r>
      <w:r>
        <w:rPr>
          <w:spacing w:val="-3"/>
          <w:sz w:val="20"/>
        </w:rPr>
        <w:t> </w:t>
      </w:r>
      <w:r>
        <w:rPr>
          <w:sz w:val="20"/>
        </w:rPr>
        <w:t>Pagaza</w:t>
        <w:tab/>
        <w:t>Gabino Fraga</w:t>
      </w:r>
      <w:r>
        <w:rPr>
          <w:spacing w:val="-15"/>
          <w:sz w:val="20"/>
        </w:rPr>
        <w:t> </w:t>
      </w:r>
      <w:r>
        <w:rPr>
          <w:sz w:val="20"/>
        </w:rPr>
        <w:t>Magaña</w:t>
      </w:r>
    </w:p>
    <w:p>
      <w:pPr>
        <w:tabs>
          <w:tab w:pos="4349" w:val="left" w:leader="none"/>
          <w:tab w:pos="4476" w:val="left" w:leader="none"/>
        </w:tabs>
        <w:spacing w:line="285" w:lineRule="auto" w:before="45"/>
        <w:ind w:left="653" w:right="578" w:firstLine="315"/>
        <w:jc w:val="left"/>
        <w:rPr>
          <w:sz w:val="20"/>
        </w:rPr>
      </w:pPr>
      <w:r>
        <w:rPr>
          <w:sz w:val="20"/>
        </w:rPr>
        <w:t>Adolfo</w:t>
      </w:r>
      <w:r>
        <w:rPr>
          <w:spacing w:val="-1"/>
          <w:sz w:val="20"/>
        </w:rPr>
        <w:t> </w:t>
      </w:r>
      <w:r>
        <w:rPr>
          <w:sz w:val="20"/>
        </w:rPr>
        <w:t>Lugo</w:t>
      </w:r>
      <w:r>
        <w:rPr>
          <w:spacing w:val="-5"/>
          <w:sz w:val="20"/>
        </w:rPr>
        <w:t> </w:t>
      </w:r>
      <w:r>
        <w:rPr>
          <w:spacing w:val="-3"/>
          <w:sz w:val="20"/>
        </w:rPr>
        <w:t>Verduzco</w:t>
        <w:tab/>
      </w:r>
      <w:r>
        <w:rPr>
          <w:sz w:val="20"/>
        </w:rPr>
        <w:t>Gustavo</w:t>
      </w:r>
      <w:r>
        <w:rPr>
          <w:spacing w:val="-7"/>
          <w:sz w:val="20"/>
        </w:rPr>
        <w:t> </w:t>
      </w:r>
      <w:r>
        <w:rPr>
          <w:sz w:val="20"/>
        </w:rPr>
        <w:t>Martínez</w:t>
      </w:r>
      <w:r>
        <w:rPr>
          <w:spacing w:val="-7"/>
          <w:sz w:val="20"/>
        </w:rPr>
        <w:t> </w:t>
      </w:r>
      <w:r>
        <w:rPr>
          <w:sz w:val="20"/>
        </w:rPr>
        <w:t>Cabañas José Natividad</w:t>
      </w:r>
      <w:r>
        <w:rPr>
          <w:spacing w:val="-9"/>
          <w:sz w:val="20"/>
        </w:rPr>
        <w:t> </w:t>
      </w:r>
      <w:r>
        <w:rPr>
          <w:sz w:val="20"/>
        </w:rPr>
        <w:t>González</w:t>
      </w:r>
      <w:r>
        <w:rPr>
          <w:spacing w:val="-5"/>
          <w:sz w:val="20"/>
        </w:rPr>
        <w:t> </w:t>
      </w:r>
      <w:r>
        <w:rPr>
          <w:sz w:val="20"/>
        </w:rPr>
        <w:t>Parás</w:t>
        <w:tab/>
        <w:tab/>
        <w:t>Andrés Caso</w:t>
      </w:r>
      <w:r>
        <w:rPr>
          <w:spacing w:val="-5"/>
          <w:sz w:val="20"/>
        </w:rPr>
        <w:t> </w:t>
      </w:r>
      <w:r>
        <w:rPr>
          <w:sz w:val="20"/>
        </w:rPr>
        <w:t>Lombardo</w:t>
      </w:r>
    </w:p>
    <w:p>
      <w:pPr>
        <w:tabs>
          <w:tab w:pos="4604" w:val="left" w:leader="none"/>
        </w:tabs>
        <w:spacing w:before="2"/>
        <w:ind w:left="866" w:right="0" w:firstLine="0"/>
        <w:jc w:val="left"/>
        <w:rPr>
          <w:sz w:val="20"/>
        </w:rPr>
      </w:pPr>
      <w:r>
        <w:rPr>
          <w:sz w:val="20"/>
        </w:rPr>
        <w:t>Alejandro</w:t>
      </w:r>
      <w:r>
        <w:rPr>
          <w:spacing w:val="-2"/>
          <w:sz w:val="20"/>
        </w:rPr>
        <w:t> </w:t>
      </w:r>
      <w:r>
        <w:rPr>
          <w:sz w:val="20"/>
        </w:rPr>
        <w:t>Carrillo</w:t>
      </w:r>
      <w:r>
        <w:rPr>
          <w:spacing w:val="-2"/>
          <w:sz w:val="20"/>
        </w:rPr>
        <w:t> </w:t>
      </w:r>
      <w:r>
        <w:rPr>
          <w:sz w:val="20"/>
        </w:rPr>
        <w:t>Castro</w:t>
        <w:tab/>
        <w:t>Raúl Salinas</w:t>
      </w:r>
      <w:r>
        <w:rPr>
          <w:spacing w:val="-6"/>
          <w:sz w:val="20"/>
        </w:rPr>
        <w:t> </w:t>
      </w:r>
      <w:r>
        <w:rPr>
          <w:sz w:val="20"/>
        </w:rPr>
        <w:t>Lozano</w:t>
      </w:r>
    </w:p>
    <w:p>
      <w:pPr>
        <w:spacing w:after="0"/>
        <w:jc w:val="left"/>
        <w:rPr>
          <w:sz w:val="20"/>
        </w:rPr>
        <w:sectPr>
          <w:type w:val="continuous"/>
          <w:pgSz w:w="9360" w:h="13040"/>
          <w:pgMar w:top="1200" w:bottom="280" w:left="1300" w:right="960"/>
        </w:sectPr>
      </w:pPr>
    </w:p>
    <w:p>
      <w:pPr>
        <w:pStyle w:val="Heading2"/>
        <w:ind w:left="1924" w:right="2488"/>
      </w:pPr>
      <w:r>
        <w:rPr/>
        <w:t>FUNDADORES</w:t>
      </w:r>
    </w:p>
    <w:p>
      <w:pPr>
        <w:pStyle w:val="BodyText"/>
        <w:spacing w:before="8"/>
        <w:rPr>
          <w:b/>
          <w:sz w:val="22"/>
        </w:rPr>
      </w:pPr>
    </w:p>
    <w:p>
      <w:pPr>
        <w:spacing w:line="249" w:lineRule="auto" w:before="0"/>
        <w:ind w:left="1986" w:right="2551" w:firstLine="0"/>
        <w:jc w:val="center"/>
        <w:rPr>
          <w:sz w:val="20"/>
        </w:rPr>
      </w:pPr>
      <w:r>
        <w:rPr>
          <w:sz w:val="20"/>
        </w:rPr>
        <w:t>Francisco Apodaca y</w:t>
      </w:r>
      <w:r>
        <w:rPr>
          <w:spacing w:val="-29"/>
          <w:sz w:val="20"/>
        </w:rPr>
        <w:t> </w:t>
      </w:r>
      <w:r>
        <w:rPr>
          <w:sz w:val="20"/>
        </w:rPr>
        <w:t>Osuna José Attolini Aguirre Enrique Caamaño Muñoz Antonio Carrillo Flores Mario Cordera Pastor Daniel Escalante Ortega Gabino Fraga Magaña Jorge Gaxiola Zendejas José Iturriaga Sauco Gilberto Loyo González Rafael Mancera Ortiz Antonio Martínez Báez Lorenzo Mayoral Pardo Alfredo Navarrete Romero Alfonso Noriega Cantú Raúl Ortiz</w:t>
      </w:r>
      <w:r>
        <w:rPr>
          <w:spacing w:val="-8"/>
          <w:sz w:val="20"/>
        </w:rPr>
        <w:t> </w:t>
      </w:r>
      <w:r>
        <w:rPr>
          <w:sz w:val="20"/>
        </w:rPr>
        <w:t>Mena</w:t>
      </w:r>
    </w:p>
    <w:p>
      <w:pPr>
        <w:spacing w:line="249" w:lineRule="auto" w:before="1"/>
        <w:ind w:left="1924" w:right="2489" w:firstLine="0"/>
        <w:jc w:val="center"/>
        <w:rPr>
          <w:sz w:val="20"/>
        </w:rPr>
      </w:pPr>
      <w:r>
        <w:rPr>
          <w:sz w:val="20"/>
        </w:rPr>
        <w:t>Manuel Palavicini Piñeiro Álvaro Rodríguez Reyes Jesús Rodríguez y Rodríguez Raúl Salinas Lozano</w:t>
      </w:r>
    </w:p>
    <w:p>
      <w:pPr>
        <w:spacing w:line="256" w:lineRule="auto" w:before="1"/>
        <w:ind w:left="1995" w:right="2559" w:firstLine="0"/>
        <w:jc w:val="center"/>
        <w:rPr>
          <w:sz w:val="20"/>
        </w:rPr>
      </w:pPr>
      <w:r>
        <w:rPr>
          <w:sz w:val="20"/>
        </w:rPr>
        <w:t>Andrés Serra Rojas Catalina Sierra Casasús Ricardo Torres Gaitán Rafael Urrutia Millán Gustavo R. Velasco Adalid</w:t>
      </w:r>
    </w:p>
    <w:p>
      <w:pPr>
        <w:spacing w:after="0" w:line="256" w:lineRule="auto"/>
        <w:jc w:val="center"/>
        <w:rPr>
          <w:sz w:val="20"/>
        </w:rPr>
        <w:sectPr>
          <w:pgSz w:w="9360" w:h="13040"/>
          <w:pgMar w:top="1200" w:bottom="280" w:left="1300" w:right="1300"/>
        </w:sectPr>
      </w:pPr>
    </w:p>
    <w:p>
      <w:pPr>
        <w:pStyle w:val="Heading2"/>
        <w:ind w:left="359" w:right="73"/>
      </w:pPr>
      <w:r>
        <w:rPr/>
        <w:t>Instituto de Administración Pública del Estado de Hidalgo, A.C.</w:t>
      </w:r>
    </w:p>
    <w:p>
      <w:pPr>
        <w:pStyle w:val="BodyText"/>
        <w:rPr>
          <w:b/>
          <w:sz w:val="24"/>
        </w:rPr>
      </w:pPr>
    </w:p>
    <w:p>
      <w:pPr>
        <w:pStyle w:val="BodyText"/>
        <w:spacing w:before="5"/>
        <w:rPr>
          <w:b/>
          <w:sz w:val="35"/>
        </w:rPr>
      </w:pPr>
    </w:p>
    <w:p>
      <w:pPr>
        <w:spacing w:before="0"/>
        <w:ind w:left="359" w:right="73" w:firstLine="0"/>
        <w:jc w:val="center"/>
        <w:rPr>
          <w:b/>
          <w:sz w:val="24"/>
        </w:rPr>
      </w:pPr>
      <w:r>
        <w:rPr>
          <w:b/>
          <w:sz w:val="24"/>
        </w:rPr>
        <w:t>CONSEJO DIRECTIVO</w:t>
      </w:r>
    </w:p>
    <w:p>
      <w:pPr>
        <w:pStyle w:val="BodyText"/>
        <w:rPr>
          <w:b/>
          <w:sz w:val="24"/>
        </w:rPr>
      </w:pPr>
    </w:p>
    <w:p>
      <w:pPr>
        <w:spacing w:before="205"/>
        <w:ind w:left="359" w:right="72" w:firstLine="0"/>
        <w:jc w:val="center"/>
        <w:rPr>
          <w:b/>
          <w:sz w:val="20"/>
        </w:rPr>
      </w:pPr>
      <w:r>
        <w:rPr>
          <w:b/>
          <w:sz w:val="20"/>
        </w:rPr>
        <w:t>Lic. José Francisco Olvera Ruiz</w:t>
      </w:r>
    </w:p>
    <w:p>
      <w:pPr>
        <w:spacing w:line="249" w:lineRule="auto" w:before="10"/>
        <w:ind w:left="1588" w:right="1299" w:firstLine="0"/>
        <w:jc w:val="center"/>
        <w:rPr>
          <w:sz w:val="20"/>
        </w:rPr>
      </w:pPr>
      <w:r>
        <w:rPr>
          <w:sz w:val="20"/>
        </w:rPr>
        <w:t>Gobernador Constitucional del Estado de Hidalgo y Presidente Honorario del IAPH</w:t>
      </w:r>
    </w:p>
    <w:p>
      <w:pPr>
        <w:pStyle w:val="BodyText"/>
        <w:rPr>
          <w:sz w:val="20"/>
        </w:rPr>
      </w:pPr>
    </w:p>
    <w:p>
      <w:pPr>
        <w:pStyle w:val="BodyText"/>
        <w:spacing w:before="9"/>
        <w:rPr>
          <w:sz w:val="21"/>
        </w:rPr>
      </w:pPr>
    </w:p>
    <w:p>
      <w:pPr>
        <w:spacing w:before="0"/>
        <w:ind w:left="359" w:right="72" w:firstLine="0"/>
        <w:jc w:val="center"/>
        <w:rPr>
          <w:b/>
          <w:sz w:val="20"/>
        </w:rPr>
      </w:pPr>
      <w:r>
        <w:rPr>
          <w:b/>
          <w:sz w:val="20"/>
        </w:rPr>
        <w:t>Lic. Carlos Godínez Téllez</w:t>
      </w:r>
    </w:p>
    <w:p>
      <w:pPr>
        <w:spacing w:before="10"/>
        <w:ind w:left="359" w:right="73" w:firstLine="0"/>
        <w:jc w:val="center"/>
        <w:rPr>
          <w:sz w:val="20"/>
        </w:rPr>
      </w:pPr>
      <w:r>
        <w:rPr>
          <w:sz w:val="20"/>
        </w:rPr>
        <w:t>Presidente del Consejo Directivo</w:t>
      </w:r>
    </w:p>
    <w:p>
      <w:pPr>
        <w:pStyle w:val="BodyText"/>
        <w:rPr>
          <w:sz w:val="20"/>
        </w:rPr>
      </w:pPr>
    </w:p>
    <w:p>
      <w:pPr>
        <w:pStyle w:val="BodyText"/>
        <w:spacing w:before="7"/>
        <w:rPr>
          <w:sz w:val="22"/>
        </w:rPr>
      </w:pPr>
    </w:p>
    <w:p>
      <w:pPr>
        <w:spacing w:before="0"/>
        <w:ind w:left="359" w:right="72" w:firstLine="0"/>
        <w:jc w:val="center"/>
        <w:rPr>
          <w:b/>
          <w:sz w:val="20"/>
        </w:rPr>
      </w:pPr>
      <w:r>
        <w:rPr>
          <w:b/>
          <w:sz w:val="20"/>
        </w:rPr>
        <w:t>Lic. Ramón Ramírez Valtierra</w:t>
      </w:r>
    </w:p>
    <w:p>
      <w:pPr>
        <w:spacing w:before="10"/>
        <w:ind w:left="359" w:right="72" w:firstLine="0"/>
        <w:jc w:val="center"/>
        <w:rPr>
          <w:sz w:val="20"/>
        </w:rPr>
      </w:pPr>
      <w:r>
        <w:rPr>
          <w:sz w:val="20"/>
        </w:rPr>
        <w:t>Vicepresidente</w:t>
      </w:r>
    </w:p>
    <w:p>
      <w:pPr>
        <w:pStyle w:val="BodyText"/>
        <w:rPr>
          <w:sz w:val="20"/>
        </w:rPr>
      </w:pPr>
    </w:p>
    <w:p>
      <w:pPr>
        <w:pStyle w:val="BodyText"/>
        <w:spacing w:before="7"/>
        <w:rPr>
          <w:sz w:val="22"/>
        </w:rPr>
      </w:pPr>
    </w:p>
    <w:p>
      <w:pPr>
        <w:spacing w:before="0"/>
        <w:ind w:left="359" w:right="73" w:firstLine="0"/>
        <w:jc w:val="center"/>
        <w:rPr>
          <w:b/>
          <w:sz w:val="20"/>
        </w:rPr>
      </w:pPr>
      <w:r>
        <w:rPr>
          <w:b/>
          <w:sz w:val="20"/>
        </w:rPr>
        <w:t>L.C. Nuvia Mayorga Delgado</w:t>
      </w:r>
    </w:p>
    <w:p>
      <w:pPr>
        <w:spacing w:before="10"/>
        <w:ind w:left="359" w:right="72" w:firstLine="0"/>
        <w:jc w:val="center"/>
        <w:rPr>
          <w:sz w:val="20"/>
        </w:rPr>
      </w:pPr>
      <w:r>
        <w:rPr>
          <w:sz w:val="20"/>
        </w:rPr>
        <w:t>Tesorera</w:t>
      </w:r>
    </w:p>
    <w:p>
      <w:pPr>
        <w:pStyle w:val="BodyText"/>
        <w:rPr>
          <w:sz w:val="20"/>
        </w:rPr>
      </w:pPr>
    </w:p>
    <w:p>
      <w:pPr>
        <w:pStyle w:val="BodyText"/>
        <w:spacing w:before="7"/>
        <w:rPr>
          <w:sz w:val="22"/>
        </w:rPr>
      </w:pPr>
    </w:p>
    <w:p>
      <w:pPr>
        <w:spacing w:before="0"/>
        <w:ind w:left="359" w:right="72" w:firstLine="0"/>
        <w:jc w:val="center"/>
        <w:rPr>
          <w:b/>
          <w:sz w:val="20"/>
        </w:rPr>
      </w:pPr>
      <w:r>
        <w:rPr>
          <w:b/>
          <w:sz w:val="20"/>
        </w:rPr>
        <w:t>Lic. Gerardo Cruz González</w:t>
      </w:r>
    </w:p>
    <w:p>
      <w:pPr>
        <w:spacing w:before="10"/>
        <w:ind w:left="359" w:right="72" w:firstLine="0"/>
        <w:jc w:val="center"/>
        <w:rPr>
          <w:sz w:val="20"/>
        </w:rPr>
      </w:pPr>
      <w:r>
        <w:rPr>
          <w:sz w:val="20"/>
        </w:rPr>
        <w:t>Secretario Ejecutivo</w:t>
      </w:r>
    </w:p>
    <w:p>
      <w:pPr>
        <w:spacing w:after="0"/>
        <w:jc w:val="center"/>
        <w:rPr>
          <w:sz w:val="20"/>
        </w:rPr>
        <w:sectPr>
          <w:pgSz w:w="9360" w:h="13040"/>
          <w:pgMar w:top="1200" w:bottom="280" w:left="1300" w:right="1020"/>
        </w:sectPr>
      </w:pPr>
    </w:p>
    <w:p>
      <w:pPr>
        <w:pStyle w:val="BodyText"/>
        <w:spacing w:before="4"/>
        <w:rPr>
          <w:sz w:val="17"/>
        </w:rPr>
      </w:pPr>
    </w:p>
    <w:p>
      <w:pPr>
        <w:spacing w:after="0"/>
        <w:rPr>
          <w:sz w:val="17"/>
        </w:rPr>
        <w:sectPr>
          <w:pgSz w:w="9360" w:h="13040"/>
          <w:pgMar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60" w:lineRule="exact" w:before="249"/>
        <w:ind w:left="3497" w:right="107" w:firstLine="2337"/>
        <w:jc w:val="both"/>
        <w:rPr>
          <w:sz w:val="28"/>
        </w:rPr>
      </w:pPr>
      <w:r>
        <w:rPr>
          <w:sz w:val="28"/>
        </w:rPr>
        <w:t>A mi</w:t>
      </w:r>
      <w:r>
        <w:rPr>
          <w:spacing w:val="-16"/>
          <w:sz w:val="28"/>
        </w:rPr>
        <w:t> </w:t>
      </w:r>
      <w:r>
        <w:rPr>
          <w:sz w:val="28"/>
        </w:rPr>
        <w:t>esposa Laura Rebeca Gómez Sánchez Por su alentadora compañía en el áspero campo de la</w:t>
      </w:r>
      <w:r>
        <w:rPr>
          <w:spacing w:val="-13"/>
          <w:sz w:val="28"/>
        </w:rPr>
        <w:t> </w:t>
      </w:r>
      <w:r>
        <w:rPr>
          <w:sz w:val="28"/>
        </w:rPr>
        <w:t>investigación</w:t>
      </w:r>
    </w:p>
    <w:p>
      <w:pPr>
        <w:spacing w:after="0" w:line="260" w:lineRule="exact"/>
        <w:jc w:val="both"/>
        <w:rPr>
          <w:sz w:val="28"/>
        </w:rPr>
        <w:sectPr>
          <w:pgSz w:w="9360" w:h="13040"/>
          <w:pgMar w:top="1200" w:bottom="280" w:left="1300" w:right="740"/>
        </w:sectPr>
      </w:pPr>
    </w:p>
    <w:p>
      <w:pPr>
        <w:pStyle w:val="BodyText"/>
        <w:spacing w:before="4"/>
        <w:rPr>
          <w:sz w:val="17"/>
        </w:rPr>
      </w:pPr>
    </w:p>
    <w:p>
      <w:pPr>
        <w:spacing w:after="0"/>
        <w:rPr>
          <w:sz w:val="17"/>
        </w:rPr>
        <w:sectPr>
          <w:pgSz w:w="9360" w:h="13040"/>
          <w:pgMar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08"/>
        <w:rPr>
          <w:sz w:val="20"/>
        </w:rPr>
      </w:pPr>
      <w:r>
        <w:rPr>
          <w:sz w:val="20"/>
        </w:rPr>
        <w:drawing>
          <wp:inline distT="0" distB="0" distL="0" distR="0">
            <wp:extent cx="3749040" cy="5401056"/>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11" cstate="print"/>
                    <a:stretch>
                      <a:fillRect/>
                    </a:stretch>
                  </pic:blipFill>
                  <pic:spPr>
                    <a:xfrm>
                      <a:off x="0" y="0"/>
                      <a:ext cx="3749040" cy="5401056"/>
                    </a:xfrm>
                    <a:prstGeom prst="rect">
                      <a:avLst/>
                    </a:prstGeom>
                  </pic:spPr>
                </pic:pic>
              </a:graphicData>
            </a:graphic>
          </wp:inline>
        </w:drawing>
      </w:r>
      <w:r>
        <w:rPr>
          <w:sz w:val="20"/>
        </w:rPr>
      </w:r>
    </w:p>
    <w:p>
      <w:pPr>
        <w:pStyle w:val="BodyText"/>
        <w:rPr>
          <w:sz w:val="20"/>
        </w:rPr>
      </w:pPr>
    </w:p>
    <w:p>
      <w:pPr>
        <w:pStyle w:val="BodyText"/>
        <w:spacing w:before="9"/>
        <w:rPr>
          <w:sz w:val="20"/>
        </w:rPr>
      </w:pPr>
    </w:p>
    <w:p>
      <w:pPr>
        <w:pStyle w:val="BodyText"/>
        <w:ind w:left="1924" w:right="1358"/>
        <w:jc w:val="center"/>
      </w:pPr>
      <w:r>
        <w:rPr/>
        <w:t>Actopan</w:t>
      </w:r>
    </w:p>
    <w:p>
      <w:pPr>
        <w:spacing w:after="0"/>
        <w:jc w:val="center"/>
        <w:sectPr>
          <w:pgSz w:w="9360" w:h="13040"/>
          <w:pgMar w:top="1200" w:bottom="280" w:left="1300" w:right="1300"/>
        </w:sectPr>
      </w:pPr>
    </w:p>
    <w:p>
      <w:pPr>
        <w:pStyle w:val="BodyText"/>
        <w:spacing w:before="4"/>
        <w:rPr>
          <w:sz w:val="17"/>
        </w:rPr>
      </w:pPr>
    </w:p>
    <w:p>
      <w:pPr>
        <w:spacing w:after="0"/>
        <w:rPr>
          <w:sz w:val="17"/>
        </w:rPr>
        <w:sectPr>
          <w:pgSz w:w="9360" w:h="13040"/>
          <w:pgMar w:top="1200" w:bottom="280" w:left="1300" w:right="1300"/>
        </w:sectPr>
      </w:pPr>
    </w:p>
    <w:p>
      <w:pPr>
        <w:pStyle w:val="Heading2"/>
        <w:ind w:left="738"/>
      </w:pPr>
      <w:r>
        <w:rPr/>
        <w:t>ÍNDICE</w:t>
      </w:r>
    </w:p>
    <w:p>
      <w:pPr>
        <w:pStyle w:val="BodyText"/>
        <w:spacing w:before="10"/>
        <w:rPr>
          <w:b/>
          <w:sz w:val="20"/>
        </w:rPr>
      </w:pPr>
    </w:p>
    <w:p>
      <w:pPr>
        <w:spacing w:before="0"/>
        <w:ind w:left="0" w:right="108" w:firstLine="0"/>
        <w:jc w:val="right"/>
        <w:rPr>
          <w:i/>
          <w:sz w:val="21"/>
        </w:rPr>
      </w:pPr>
      <w:r>
        <w:rPr>
          <w:i/>
          <w:sz w:val="21"/>
        </w:rPr>
        <w:t>Pág.</w:t>
      </w:r>
    </w:p>
    <w:p>
      <w:pPr>
        <w:spacing w:after="0"/>
        <w:jc w:val="right"/>
        <w:rPr>
          <w:sz w:val="21"/>
        </w:rPr>
        <w:sectPr>
          <w:pgSz w:w="9360" w:h="13040"/>
          <w:pgMar w:top="1200" w:bottom="1369" w:left="1300" w:right="740"/>
        </w:sectPr>
      </w:pPr>
    </w:p>
    <w:sdt>
      <w:sdtPr>
        <w:docPartObj>
          <w:docPartGallery w:val="Table of Contents"/>
          <w:docPartUnique/>
        </w:docPartObj>
      </w:sdtPr>
      <w:sdtEndPr/>
      <w:sdtContent>
        <w:p>
          <w:pPr>
            <w:pStyle w:val="TOC1"/>
            <w:tabs>
              <w:tab w:pos="7203" w:val="right" w:leader="none"/>
            </w:tabs>
            <w:rPr>
              <w:b w:val="0"/>
            </w:rPr>
          </w:pPr>
          <w:hyperlink w:history="true" w:anchor="_TOC_250041">
            <w:r>
              <w:rPr/>
              <w:t>Presentación</w:t>
            </w:r>
            <w:r>
              <w:rPr>
                <w:b w:val="0"/>
              </w:rPr>
              <w:tab/>
              <w:t>17</w:t>
            </w:r>
          </w:hyperlink>
        </w:p>
        <w:p>
          <w:pPr>
            <w:pStyle w:val="TOC1"/>
            <w:tabs>
              <w:tab w:pos="7203" w:val="right" w:leader="none"/>
            </w:tabs>
            <w:spacing w:before="246"/>
            <w:rPr>
              <w:b w:val="0"/>
            </w:rPr>
          </w:pPr>
          <w:hyperlink w:history="true" w:anchor="_TOC_250040">
            <w:r>
              <w:rPr/>
              <w:t>Introducción</w:t>
            </w:r>
            <w:r>
              <w:rPr>
                <w:b w:val="0"/>
              </w:rPr>
              <w:tab/>
              <w:t>21</w:t>
            </w:r>
          </w:hyperlink>
        </w:p>
        <w:p>
          <w:pPr>
            <w:pStyle w:val="TOC1"/>
            <w:spacing w:before="490"/>
          </w:pPr>
          <w:hyperlink w:history="true" w:anchor="_TOC_250039">
            <w:r>
              <w:rPr/>
              <w:t>PRIMERA PARTE.</w:t>
            </w:r>
          </w:hyperlink>
        </w:p>
        <w:p>
          <w:pPr>
            <w:pStyle w:val="TOC1"/>
            <w:spacing w:line="242" w:lineRule="auto"/>
            <w:ind w:right="3088"/>
          </w:pPr>
          <w:hyperlink w:history="true" w:anchor="_TOC_250038">
            <w:r>
              <w:rPr/>
              <w:t>SENTIDO DESCENDENTE O DEL ESTADO MULTIJURISDICCIONAL</w:t>
            </w:r>
          </w:hyperlink>
        </w:p>
        <w:p>
          <w:pPr>
            <w:pStyle w:val="TOC1"/>
            <w:tabs>
              <w:tab w:pos="7203" w:val="right" w:leader="none"/>
            </w:tabs>
            <w:spacing w:before="244"/>
            <w:rPr>
              <w:b w:val="0"/>
            </w:rPr>
          </w:pPr>
          <w:hyperlink w:history="true" w:anchor="_TOC_250037">
            <w:r>
              <w:rPr/>
              <w:t>FINANZAS</w:t>
            </w:r>
            <w:r>
              <w:rPr>
                <w:spacing w:val="-1"/>
              </w:rPr>
              <w:t> </w:t>
            </w:r>
            <w:r>
              <w:rPr/>
              <w:t>PÚBLICAS</w:t>
            </w:r>
            <w:r>
              <w:rPr>
                <w:b w:val="0"/>
              </w:rPr>
              <w:tab/>
              <w:t>31</w:t>
            </w:r>
          </w:hyperlink>
        </w:p>
        <w:p>
          <w:pPr>
            <w:pStyle w:val="TOC1"/>
            <w:spacing w:before="246"/>
          </w:pPr>
          <w:hyperlink w:history="true" w:anchor="_TOC_250036">
            <w:r>
              <w:rPr/>
              <w:t>Capítulo I.</w:t>
            </w:r>
          </w:hyperlink>
        </w:p>
        <w:p>
          <w:pPr>
            <w:pStyle w:val="TOC1"/>
          </w:pPr>
          <w:r>
            <w:rPr/>
            <w:t>La coordinación recaudatoria entre el gobierno federal</w:t>
          </w:r>
        </w:p>
        <w:p>
          <w:pPr>
            <w:pStyle w:val="TOC1"/>
            <w:tabs>
              <w:tab w:pos="7203" w:val="right" w:leader="none"/>
            </w:tabs>
            <w:rPr>
              <w:b w:val="0"/>
            </w:rPr>
          </w:pPr>
          <w:r>
            <w:rPr/>
            <w:t>y el gobierno del Estado</w:t>
          </w:r>
          <w:r>
            <w:rPr>
              <w:spacing w:val="-2"/>
            </w:rPr>
            <w:t> </w:t>
          </w:r>
          <w:r>
            <w:rPr/>
            <w:t>de</w:t>
          </w:r>
          <w:r>
            <w:rPr>
              <w:spacing w:val="-1"/>
            </w:rPr>
            <w:t> </w:t>
          </w:r>
          <w:r>
            <w:rPr/>
            <w:t>Hidalgo.</w:t>
          </w:r>
          <w:r>
            <w:rPr>
              <w:b w:val="0"/>
            </w:rPr>
            <w:tab/>
            <w:t>35</w:t>
          </w:r>
        </w:p>
        <w:p>
          <w:pPr>
            <w:pStyle w:val="TOC2"/>
            <w:tabs>
              <w:tab w:pos="7203" w:val="right" w:leader="none"/>
            </w:tabs>
            <w:spacing w:before="246"/>
          </w:pPr>
          <w:hyperlink w:history="true" w:anchor="_TOC_250035">
            <w:r>
              <w:rPr/>
              <w:t>La colaboración administrativa de la</w:t>
            </w:r>
            <w:r>
              <w:rPr>
                <w:spacing w:val="-2"/>
              </w:rPr>
              <w:t> </w:t>
            </w:r>
            <w:r>
              <w:rPr/>
              <w:t>coordinación</w:t>
            </w:r>
            <w:r>
              <w:rPr>
                <w:spacing w:val="-1"/>
              </w:rPr>
              <w:t> </w:t>
            </w:r>
            <w:r>
              <w:rPr/>
              <w:t>fiscal.</w:t>
              <w:tab/>
              <w:t>35</w:t>
            </w:r>
          </w:hyperlink>
        </w:p>
        <w:p>
          <w:pPr>
            <w:pStyle w:val="TOC2"/>
            <w:tabs>
              <w:tab w:pos="7203" w:val="right" w:leader="none"/>
            </w:tabs>
          </w:pPr>
          <w:hyperlink w:history="true" w:anchor="_TOC_250034">
            <w:r>
              <w:rPr/>
              <w:t>La Secretaría de Finanzas del Gobierno del Estado de</w:t>
            </w:r>
            <w:r>
              <w:rPr>
                <w:spacing w:val="-12"/>
              </w:rPr>
              <w:t> </w:t>
            </w:r>
            <w:r>
              <w:rPr/>
              <w:t>Hidalgo</w:t>
            </w:r>
            <w:r>
              <w:rPr>
                <w:spacing w:val="-2"/>
              </w:rPr>
              <w:t> </w:t>
            </w:r>
            <w:r>
              <w:rPr/>
              <w:t>(SFGEH).</w:t>
              <w:tab/>
              <w:t>39</w:t>
            </w:r>
          </w:hyperlink>
        </w:p>
        <w:p>
          <w:pPr>
            <w:pStyle w:val="TOC3"/>
            <w:tabs>
              <w:tab w:pos="7203" w:val="right" w:leader="none"/>
            </w:tabs>
            <w:rPr>
              <w:b w:val="0"/>
              <w:i w:val="0"/>
              <w:sz w:val="21"/>
            </w:rPr>
          </w:pPr>
          <w:r>
            <w:rPr>
              <w:b w:val="0"/>
              <w:i w:val="0"/>
              <w:sz w:val="21"/>
            </w:rPr>
            <w:t>La coordinación bajo el</w:t>
          </w:r>
          <w:r>
            <w:rPr>
              <w:b w:val="0"/>
              <w:i w:val="0"/>
              <w:spacing w:val="-3"/>
              <w:sz w:val="21"/>
            </w:rPr>
            <w:t> </w:t>
          </w:r>
          <w:r>
            <w:rPr>
              <w:b w:val="0"/>
              <w:i/>
              <w:sz w:val="21"/>
            </w:rPr>
            <w:t>tinte</w:t>
          </w:r>
          <w:r>
            <w:rPr>
              <w:b w:val="0"/>
              <w:i w:val="0"/>
              <w:spacing w:val="-1"/>
              <w:sz w:val="21"/>
            </w:rPr>
            <w:t> </w:t>
          </w:r>
          <w:r>
            <w:rPr>
              <w:b w:val="0"/>
              <w:i/>
              <w:sz w:val="21"/>
            </w:rPr>
            <w:t>político</w:t>
          </w:r>
          <w:r>
            <w:rPr>
              <w:b w:val="0"/>
              <w:i w:val="0"/>
              <w:sz w:val="21"/>
            </w:rPr>
            <w:t>.</w:t>
            <w:tab/>
            <w:t>40</w:t>
          </w:r>
        </w:p>
        <w:p>
          <w:pPr>
            <w:pStyle w:val="TOC2"/>
            <w:tabs>
              <w:tab w:pos="7203" w:val="right" w:leader="none"/>
            </w:tabs>
          </w:pPr>
          <w:hyperlink w:history="true" w:anchor="_TOC_250033">
            <w:r>
              <w:rPr/>
              <w:t>Metas vs incidencias en la</w:t>
            </w:r>
            <w:r>
              <w:rPr>
                <w:spacing w:val="-4"/>
              </w:rPr>
              <w:t> </w:t>
            </w:r>
            <w:r>
              <w:rPr/>
              <w:t>colaboración</w:t>
            </w:r>
            <w:r>
              <w:rPr>
                <w:spacing w:val="-2"/>
              </w:rPr>
              <w:t> </w:t>
            </w:r>
            <w:r>
              <w:rPr/>
              <w:t>administrativa.</w:t>
              <w:tab/>
              <w:t>42</w:t>
            </w:r>
          </w:hyperlink>
        </w:p>
        <w:p>
          <w:pPr>
            <w:pStyle w:val="TOC2"/>
            <w:tabs>
              <w:tab w:pos="7203" w:val="right" w:leader="none"/>
            </w:tabs>
          </w:pPr>
          <w:hyperlink w:history="true" w:anchor="_TOC_250032">
            <w:r>
              <w:rPr/>
              <w:t>La</w:t>
            </w:r>
            <w:r>
              <w:rPr>
                <w:spacing w:val="-1"/>
              </w:rPr>
              <w:t> </w:t>
            </w:r>
            <w:r>
              <w:rPr/>
              <w:t>evaluación</w:t>
            </w:r>
            <w:r>
              <w:rPr>
                <w:spacing w:val="-2"/>
              </w:rPr>
              <w:t> </w:t>
            </w:r>
            <w:r>
              <w:rPr/>
              <w:t>divergente.</w:t>
              <w:tab/>
              <w:t>44</w:t>
            </w:r>
          </w:hyperlink>
        </w:p>
        <w:p>
          <w:pPr>
            <w:pStyle w:val="TOC2"/>
            <w:tabs>
              <w:tab w:pos="7203" w:val="right" w:leader="none"/>
            </w:tabs>
          </w:pPr>
          <w:hyperlink w:history="true" w:anchor="_TOC_250031">
            <w:r>
              <w:rPr/>
              <w:t>Desempeño cuestionable con costo</w:t>
            </w:r>
            <w:r>
              <w:rPr>
                <w:spacing w:val="-1"/>
              </w:rPr>
              <w:t> </w:t>
            </w:r>
            <w:r>
              <w:rPr/>
              <w:t>beneficio</w:t>
            </w:r>
            <w:r>
              <w:rPr>
                <w:spacing w:val="-1"/>
              </w:rPr>
              <w:t> </w:t>
            </w:r>
            <w:r>
              <w:rPr/>
              <w:t>destacado.</w:t>
              <w:tab/>
              <w:t>44</w:t>
            </w:r>
          </w:hyperlink>
        </w:p>
        <w:p>
          <w:pPr>
            <w:pStyle w:val="TOC2"/>
            <w:tabs>
              <w:tab w:pos="7203" w:val="right" w:leader="none"/>
            </w:tabs>
          </w:pPr>
          <w:hyperlink w:history="true" w:anchor="_TOC_250030">
            <w:r>
              <w:rPr/>
              <w:t>Conclusión del Capítulo I.</w:t>
              <w:tab/>
              <w:t>47</w:t>
            </w:r>
          </w:hyperlink>
        </w:p>
        <w:p>
          <w:pPr>
            <w:pStyle w:val="TOC2"/>
            <w:tabs>
              <w:tab w:pos="7203" w:val="right" w:leader="none"/>
            </w:tabs>
          </w:pPr>
          <w:r>
            <w:rPr/>
            <w:t>Anexos del</w:t>
          </w:r>
          <w:r>
            <w:rPr>
              <w:spacing w:val="-1"/>
            </w:rPr>
            <w:t> </w:t>
          </w:r>
          <w:r>
            <w:rPr/>
            <w:t>Capítulo</w:t>
          </w:r>
          <w:r>
            <w:rPr>
              <w:spacing w:val="-1"/>
            </w:rPr>
            <w:t> </w:t>
          </w:r>
          <w:r>
            <w:rPr/>
            <w:t>I.</w:t>
            <w:tab/>
            <w:t>49</w:t>
          </w:r>
        </w:p>
        <w:p>
          <w:pPr>
            <w:pStyle w:val="TOC1"/>
            <w:spacing w:before="246"/>
          </w:pPr>
          <w:hyperlink w:history="true" w:anchor="_TOC_250029">
            <w:r>
              <w:rPr/>
              <w:t>Capítulo II.</w:t>
            </w:r>
          </w:hyperlink>
        </w:p>
        <w:p>
          <w:pPr>
            <w:pStyle w:val="TOC1"/>
          </w:pPr>
          <w:r>
            <w:rPr/>
            <w:t>La coordinación recaudatoria entre el gobierno estatal</w:t>
          </w:r>
        </w:p>
        <w:p>
          <w:pPr>
            <w:pStyle w:val="TOC1"/>
            <w:tabs>
              <w:tab w:pos="7203" w:val="right" w:leader="none"/>
            </w:tabs>
            <w:rPr>
              <w:b w:val="0"/>
            </w:rPr>
          </w:pPr>
          <w:r>
            <w:rPr/>
            <w:t>y los</w:t>
          </w:r>
          <w:r>
            <w:rPr>
              <w:spacing w:val="-2"/>
            </w:rPr>
            <w:t> </w:t>
          </w:r>
          <w:r>
            <w:rPr/>
            <w:t>ayuntamientos</w:t>
          </w:r>
          <w:r>
            <w:rPr>
              <w:spacing w:val="-2"/>
            </w:rPr>
            <w:t> </w:t>
          </w:r>
          <w:r>
            <w:rPr/>
            <w:t>hidalguenses.</w:t>
          </w:r>
          <w:r>
            <w:rPr>
              <w:b w:val="0"/>
            </w:rPr>
            <w:tab/>
            <w:t>53</w:t>
          </w:r>
        </w:p>
        <w:p>
          <w:pPr>
            <w:pStyle w:val="TOC2"/>
            <w:tabs>
              <w:tab w:pos="7203" w:val="right" w:leader="none"/>
            </w:tabs>
            <w:spacing w:before="246"/>
          </w:pPr>
          <w:hyperlink w:history="true" w:anchor="_TOC_250028">
            <w:r>
              <w:rPr/>
              <w:t>Los sistemas estatales de</w:t>
            </w:r>
            <w:r>
              <w:rPr>
                <w:spacing w:val="-1"/>
              </w:rPr>
              <w:t> </w:t>
            </w:r>
            <w:r>
              <w:rPr/>
              <w:t>coordinación</w:t>
            </w:r>
            <w:r>
              <w:rPr>
                <w:spacing w:val="-1"/>
              </w:rPr>
              <w:t> </w:t>
            </w:r>
            <w:r>
              <w:rPr/>
              <w:t>fiscal.</w:t>
              <w:tab/>
              <w:t>53</w:t>
            </w:r>
          </w:hyperlink>
        </w:p>
        <w:p>
          <w:pPr>
            <w:pStyle w:val="TOC2"/>
          </w:pPr>
          <w:r>
            <w:rPr/>
            <w:t>La letra muerta de la Ley de Coordinación Fiscal</w:t>
          </w:r>
        </w:p>
        <w:p>
          <w:pPr>
            <w:pStyle w:val="TOC2"/>
            <w:tabs>
              <w:tab w:pos="7203" w:val="right" w:leader="none"/>
            </w:tabs>
          </w:pPr>
          <w:r>
            <w:rPr/>
            <w:t>para el Estado</w:t>
          </w:r>
          <w:r>
            <w:rPr>
              <w:spacing w:val="-2"/>
            </w:rPr>
            <w:t> </w:t>
          </w:r>
          <w:r>
            <w:rPr/>
            <w:t>de</w:t>
          </w:r>
          <w:r>
            <w:rPr>
              <w:spacing w:val="-1"/>
            </w:rPr>
            <w:t> </w:t>
          </w:r>
          <w:r>
            <w:rPr/>
            <w:t>Hidalgo.</w:t>
            <w:tab/>
            <w:t>57</w:t>
          </w:r>
        </w:p>
        <w:p>
          <w:pPr>
            <w:pStyle w:val="TOC2"/>
            <w:tabs>
              <w:tab w:pos="7203" w:val="right" w:leader="none"/>
            </w:tabs>
          </w:pPr>
          <w:hyperlink w:history="true" w:anchor="_TOC_250027">
            <w:r>
              <w:rPr/>
              <w:t>Conclusiones del Capítulo II.</w:t>
              <w:tab/>
              <w:t>58</w:t>
            </w:r>
          </w:hyperlink>
        </w:p>
        <w:p>
          <w:pPr>
            <w:pStyle w:val="TOC1"/>
            <w:spacing w:before="246"/>
          </w:pPr>
          <w:hyperlink w:history="true" w:anchor="_TOC_250026">
            <w:r>
              <w:rPr/>
              <w:t>Capítulo III.</w:t>
            </w:r>
          </w:hyperlink>
        </w:p>
        <w:p>
          <w:pPr>
            <w:pStyle w:val="TOC1"/>
          </w:pPr>
          <w:r>
            <w:rPr/>
            <w:t>El gasto cofinanciado en servicios públicos entre el gobierno</w:t>
          </w:r>
        </w:p>
        <w:p>
          <w:pPr>
            <w:pStyle w:val="TOC1"/>
            <w:tabs>
              <w:tab w:pos="7203" w:val="right" w:leader="none"/>
            </w:tabs>
            <w:rPr>
              <w:b w:val="0"/>
            </w:rPr>
          </w:pPr>
          <w:r>
            <w:rPr/>
            <w:t>federal, el gobierno estatal y los</w:t>
          </w:r>
          <w:r>
            <w:rPr>
              <w:spacing w:val="-5"/>
            </w:rPr>
            <w:t> </w:t>
          </w:r>
          <w:r>
            <w:rPr/>
            <w:t>ayuntamientos</w:t>
          </w:r>
          <w:r>
            <w:rPr>
              <w:spacing w:val="-2"/>
            </w:rPr>
            <w:t> </w:t>
          </w:r>
          <w:r>
            <w:rPr/>
            <w:t>hidalguenses.</w:t>
          </w:r>
          <w:r>
            <w:rPr>
              <w:b w:val="0"/>
            </w:rPr>
            <w:tab/>
            <w:t>63</w:t>
          </w:r>
        </w:p>
        <w:p>
          <w:pPr>
            <w:pStyle w:val="TOC2"/>
            <w:spacing w:before="246"/>
          </w:pPr>
          <w:r>
            <w:rPr/>
            <w:t>La asimetría entre la inversión federal con respecto a</w:t>
          </w:r>
        </w:p>
        <w:p>
          <w:pPr>
            <w:pStyle w:val="TOC2"/>
            <w:tabs>
              <w:tab w:pos="7203" w:val="right" w:leader="none"/>
            </w:tabs>
            <w:spacing w:before="8"/>
          </w:pPr>
          <w:r>
            <w:rPr/>
            <w:t>la estatal, la municipal y</w:t>
          </w:r>
          <w:r>
            <w:rPr>
              <w:spacing w:val="-2"/>
            </w:rPr>
            <w:t> </w:t>
          </w:r>
          <w:r>
            <w:rPr/>
            <w:t>la privada.</w:t>
            <w:tab/>
            <w:t>63</w:t>
          </w:r>
        </w:p>
        <w:p>
          <w:pPr>
            <w:pStyle w:val="TOC2"/>
            <w:tabs>
              <w:tab w:pos="7196" w:val="right" w:leader="none"/>
            </w:tabs>
            <w:spacing w:line="241" w:lineRule="exact" w:before="147"/>
            <w:ind w:left="110"/>
          </w:pPr>
          <w:hyperlink w:history="true" w:anchor="_TOC_250025">
            <w:r>
              <w:rPr/>
              <w:t>En Hidalgo, un caso extremo de la inercia “no</w:t>
            </w:r>
            <w:r>
              <w:rPr>
                <w:spacing w:val="-4"/>
              </w:rPr>
              <w:t> </w:t>
            </w:r>
            <w:r>
              <w:rPr/>
              <w:t>cofinanciera”</w:t>
            </w:r>
            <w:r>
              <w:rPr>
                <w:spacing w:val="-1"/>
              </w:rPr>
              <w:t> </w:t>
            </w:r>
            <w:r>
              <w:rPr/>
              <w:t>nacional.</w:t>
              <w:tab/>
              <w:t>68</w:t>
            </w:r>
          </w:hyperlink>
        </w:p>
        <w:p>
          <w:pPr>
            <w:pStyle w:val="TOC2"/>
            <w:tabs>
              <w:tab w:pos="7196" w:val="right" w:leader="none"/>
            </w:tabs>
            <w:spacing w:line="241" w:lineRule="exact" w:before="0"/>
            <w:ind w:left="110"/>
          </w:pPr>
          <w:hyperlink w:history="true" w:anchor="_TOC_250024">
            <w:r>
              <w:rPr/>
              <w:t>Conclusiones del Capítulo III.</w:t>
              <w:tab/>
              <w:t>72</w:t>
            </w:r>
          </w:hyperlink>
        </w:p>
        <w:p>
          <w:pPr>
            <w:pStyle w:val="TOC1"/>
            <w:spacing w:line="241" w:lineRule="exact" w:before="438"/>
            <w:ind w:left="110"/>
          </w:pPr>
          <w:hyperlink w:history="true" w:anchor="_TOC_250023">
            <w:r>
              <w:rPr/>
              <w:t>SEGUNDA PARTE.</w:t>
            </w:r>
          </w:hyperlink>
        </w:p>
        <w:p>
          <w:pPr>
            <w:pStyle w:val="TOC1"/>
            <w:spacing w:before="0"/>
            <w:ind w:left="110" w:right="2205"/>
          </w:pPr>
          <w:r>
            <w:rPr/>
            <w:t>SENTIDO DESCENDENTE O DEL ESTADO MULTIJURISDICCIONAL</w:t>
          </w:r>
        </w:p>
        <w:p>
          <w:pPr>
            <w:pStyle w:val="TOC1"/>
            <w:tabs>
              <w:tab w:pos="7196" w:val="right" w:leader="none"/>
            </w:tabs>
            <w:spacing w:before="238"/>
            <w:ind w:left="110"/>
            <w:rPr>
              <w:b w:val="0"/>
            </w:rPr>
          </w:pPr>
          <w:r>
            <w:rPr/>
            <w:t>POLÍTICAS</w:t>
          </w:r>
          <w:r>
            <w:rPr>
              <w:spacing w:val="-1"/>
            </w:rPr>
            <w:t> </w:t>
          </w:r>
          <w:r>
            <w:rPr/>
            <w:t>PÚBLICAS</w:t>
          </w:r>
          <w:r>
            <w:rPr>
              <w:b w:val="0"/>
            </w:rPr>
            <w:tab/>
            <w:t>75</w:t>
          </w:r>
        </w:p>
        <w:p>
          <w:pPr>
            <w:pStyle w:val="TOC1"/>
            <w:spacing w:line="241" w:lineRule="exact" w:before="238"/>
            <w:ind w:left="110"/>
          </w:pPr>
          <w:hyperlink w:history="true" w:anchor="_TOC_250022">
            <w:r>
              <w:rPr/>
              <w:t>Capítulo IV.</w:t>
            </w:r>
          </w:hyperlink>
        </w:p>
        <w:p>
          <w:pPr>
            <w:pStyle w:val="TOC1"/>
            <w:spacing w:line="240" w:lineRule="exact" w:before="0"/>
            <w:ind w:left="110"/>
          </w:pPr>
          <w:r>
            <w:rPr/>
            <w:t>La coordinación intergubernamental en la</w:t>
          </w:r>
        </w:p>
        <w:p>
          <w:pPr>
            <w:pStyle w:val="TOC1"/>
            <w:tabs>
              <w:tab w:pos="7196" w:val="right" w:leader="none"/>
            </w:tabs>
            <w:spacing w:line="241" w:lineRule="exact" w:before="0"/>
            <w:ind w:left="110"/>
            <w:rPr>
              <w:b w:val="0"/>
            </w:rPr>
          </w:pPr>
          <w:r>
            <w:rPr/>
            <w:t>planeación y el desarrollo regional del Estado</w:t>
          </w:r>
          <w:r>
            <w:rPr>
              <w:spacing w:val="-7"/>
            </w:rPr>
            <w:t> </w:t>
          </w:r>
          <w:r>
            <w:rPr/>
            <w:t>de</w:t>
          </w:r>
          <w:r>
            <w:rPr>
              <w:spacing w:val="-1"/>
            </w:rPr>
            <w:t> </w:t>
          </w:r>
          <w:r>
            <w:rPr/>
            <w:t>Hidalgo.</w:t>
          </w:r>
          <w:r>
            <w:rPr>
              <w:b w:val="0"/>
            </w:rPr>
            <w:tab/>
            <w:t>79</w:t>
          </w:r>
        </w:p>
        <w:p>
          <w:pPr>
            <w:pStyle w:val="TOC2"/>
            <w:spacing w:line="241" w:lineRule="exact" w:before="238"/>
            <w:ind w:left="110"/>
          </w:pPr>
          <w:r>
            <w:rPr/>
            <w:t>La disyuntiva entre la desconcentración del gasto</w:t>
          </w:r>
        </w:p>
        <w:p>
          <w:pPr>
            <w:pStyle w:val="TOC2"/>
            <w:tabs>
              <w:tab w:pos="7196" w:val="right" w:leader="none"/>
            </w:tabs>
            <w:spacing w:line="240" w:lineRule="exact" w:before="0"/>
            <w:ind w:left="110"/>
          </w:pPr>
          <w:r>
            <w:rPr/>
            <w:t>sectorial federal o la</w:t>
          </w:r>
          <w:r>
            <w:rPr>
              <w:spacing w:val="-1"/>
            </w:rPr>
            <w:t> </w:t>
          </w:r>
          <w:r>
            <w:rPr/>
            <w:t>coordinación</w:t>
          </w:r>
          <w:r>
            <w:rPr>
              <w:spacing w:val="-2"/>
            </w:rPr>
            <w:t> </w:t>
          </w:r>
          <w:r>
            <w:rPr/>
            <w:t>estratégica.</w:t>
            <w:tab/>
            <w:t>79</w:t>
          </w:r>
        </w:p>
        <w:p>
          <w:pPr>
            <w:pStyle w:val="TOC2"/>
            <w:tabs>
              <w:tab w:pos="7196" w:val="right" w:leader="none"/>
            </w:tabs>
            <w:spacing w:line="240" w:lineRule="exact" w:before="0"/>
            <w:ind w:left="110"/>
          </w:pPr>
          <w:hyperlink w:history="true" w:anchor="_TOC_250021">
            <w:r>
              <w:rPr/>
              <w:t>El gasto sectorial reasignado al gobierno del Estado</w:t>
            </w:r>
            <w:r>
              <w:rPr>
                <w:spacing w:val="-5"/>
              </w:rPr>
              <w:t> </w:t>
            </w:r>
            <w:r>
              <w:rPr/>
              <w:t>de</w:t>
            </w:r>
            <w:r>
              <w:rPr>
                <w:spacing w:val="-1"/>
              </w:rPr>
              <w:t> </w:t>
            </w:r>
            <w:r>
              <w:rPr/>
              <w:t>Hidalgo.</w:t>
              <w:tab/>
              <w:t>83</w:t>
            </w:r>
          </w:hyperlink>
        </w:p>
        <w:p>
          <w:pPr>
            <w:pStyle w:val="TOC2"/>
            <w:tabs>
              <w:tab w:pos="7196" w:val="right" w:leader="none"/>
            </w:tabs>
            <w:spacing w:line="240" w:lineRule="exact" w:before="0"/>
            <w:ind w:left="110"/>
          </w:pPr>
          <w:hyperlink w:history="true" w:anchor="_TOC_250020">
            <w:r>
              <w:rPr/>
              <w:t>La nueva refinería petrolera</w:t>
            </w:r>
            <w:r>
              <w:rPr>
                <w:spacing w:val="-1"/>
              </w:rPr>
              <w:t> </w:t>
            </w:r>
            <w:r>
              <w:rPr/>
              <w:t>de</w:t>
            </w:r>
            <w:r>
              <w:rPr>
                <w:spacing w:val="-6"/>
              </w:rPr>
              <w:t> </w:t>
            </w:r>
            <w:r>
              <w:rPr/>
              <w:t>Tula.</w:t>
              <w:tab/>
              <w:t>85</w:t>
            </w:r>
          </w:hyperlink>
        </w:p>
        <w:p>
          <w:pPr>
            <w:pStyle w:val="TOC2"/>
            <w:spacing w:line="240" w:lineRule="exact" w:before="0"/>
            <w:ind w:left="110"/>
          </w:pPr>
          <w:r>
            <w:rPr/>
            <w:t>El proyecto plataforma logística de Tizayuca</w:t>
          </w:r>
        </w:p>
        <w:p>
          <w:pPr>
            <w:pStyle w:val="TOC2"/>
            <w:tabs>
              <w:tab w:pos="7196" w:val="right" w:leader="none"/>
            </w:tabs>
            <w:spacing w:line="240" w:lineRule="exact" w:before="0"/>
            <w:ind w:left="110"/>
          </w:pPr>
          <w:r>
            <w:rPr>
              <w:spacing w:val="-5"/>
            </w:rPr>
            <w:t>(PLATAH).</w:t>
            <w:tab/>
          </w:r>
          <w:r>
            <w:rPr/>
            <w:t>89</w:t>
          </w:r>
        </w:p>
        <w:p>
          <w:pPr>
            <w:pStyle w:val="TOC2"/>
            <w:spacing w:line="240" w:lineRule="exact" w:before="0"/>
            <w:ind w:left="110"/>
          </w:pPr>
          <w:r>
            <w:rPr/>
            <w:t>El proyecto puerto interior de carga Tepeji del Río</w:t>
          </w:r>
        </w:p>
        <w:p>
          <w:pPr>
            <w:pStyle w:val="TOC2"/>
            <w:tabs>
              <w:tab w:pos="7196" w:val="right" w:leader="none"/>
            </w:tabs>
            <w:spacing w:line="240" w:lineRule="exact" w:before="0"/>
            <w:ind w:left="110"/>
          </w:pPr>
          <w:r>
            <w:rPr/>
            <w:t>(Hudchinson</w:t>
          </w:r>
          <w:r>
            <w:rPr>
              <w:spacing w:val="-1"/>
            </w:rPr>
            <w:t> </w:t>
          </w:r>
          <w:r>
            <w:rPr/>
            <w:t>Port</w:t>
          </w:r>
          <w:r>
            <w:rPr>
              <w:spacing w:val="-1"/>
            </w:rPr>
            <w:t> </w:t>
          </w:r>
          <w:r>
            <w:rPr/>
            <w:t>Holdings).</w:t>
            <w:tab/>
            <w:t>95</w:t>
          </w:r>
        </w:p>
        <w:p>
          <w:pPr>
            <w:pStyle w:val="TOC2"/>
            <w:tabs>
              <w:tab w:pos="7196" w:val="right" w:leader="none"/>
            </w:tabs>
            <w:spacing w:line="240" w:lineRule="exact" w:before="0"/>
            <w:ind w:left="110"/>
          </w:pPr>
          <w:hyperlink w:history="true" w:anchor="_TOC_250019">
            <w:r>
              <w:rPr/>
              <w:t>La intención de proyectar un tren</w:t>
            </w:r>
            <w:r>
              <w:rPr>
                <w:spacing w:val="-6"/>
              </w:rPr>
              <w:t> </w:t>
            </w:r>
            <w:r>
              <w:rPr/>
              <w:t>suburbano</w:t>
            </w:r>
            <w:r>
              <w:rPr>
                <w:spacing w:val="-1"/>
              </w:rPr>
              <w:t> </w:t>
            </w:r>
            <w:r>
              <w:rPr/>
              <w:t>México-Pachuca.</w:t>
              <w:tab/>
              <w:t>98</w:t>
            </w:r>
          </w:hyperlink>
        </w:p>
        <w:p>
          <w:pPr>
            <w:pStyle w:val="TOC2"/>
            <w:tabs>
              <w:tab w:pos="7196" w:val="right" w:leader="none"/>
            </w:tabs>
            <w:spacing w:line="240" w:lineRule="exact" w:before="0"/>
            <w:ind w:left="110"/>
          </w:pPr>
          <w:hyperlink w:history="true" w:anchor="_TOC_250018">
            <w:r>
              <w:rPr/>
              <w:t>Conclusiones del Capítulo </w:t>
            </w:r>
            <w:r>
              <w:rPr>
                <w:spacing w:val="-10"/>
              </w:rPr>
              <w:t>IV.</w:t>
              <w:tab/>
            </w:r>
            <w:r>
              <w:rPr/>
              <w:t>103</w:t>
            </w:r>
          </w:hyperlink>
        </w:p>
        <w:p>
          <w:pPr>
            <w:pStyle w:val="TOC2"/>
            <w:tabs>
              <w:tab w:pos="7196" w:val="right" w:leader="none"/>
            </w:tabs>
            <w:spacing w:line="241" w:lineRule="exact" w:before="0"/>
            <w:ind w:left="110"/>
          </w:pPr>
          <w:r>
            <w:rPr/>
            <w:t>Anexos del</w:t>
          </w:r>
          <w:r>
            <w:rPr>
              <w:spacing w:val="-1"/>
            </w:rPr>
            <w:t> </w:t>
          </w:r>
          <w:r>
            <w:rPr/>
            <w:t>Capítulo</w:t>
          </w:r>
          <w:r>
            <w:rPr>
              <w:spacing w:val="-1"/>
            </w:rPr>
            <w:t> </w:t>
          </w:r>
          <w:r>
            <w:rPr>
              <w:spacing w:val="-10"/>
            </w:rPr>
            <w:t>IV.</w:t>
            <w:tab/>
          </w:r>
          <w:r>
            <w:rPr/>
            <w:t>107</w:t>
          </w:r>
        </w:p>
        <w:p>
          <w:pPr>
            <w:pStyle w:val="TOC1"/>
            <w:spacing w:line="241" w:lineRule="exact" w:before="238"/>
            <w:ind w:left="110"/>
          </w:pPr>
          <w:hyperlink w:history="true" w:anchor="_TOC_250017">
            <w:r>
              <w:rPr/>
              <w:t>Capítulo V.</w:t>
            </w:r>
          </w:hyperlink>
        </w:p>
        <w:p>
          <w:pPr>
            <w:pStyle w:val="TOC1"/>
            <w:spacing w:line="240" w:lineRule="exact" w:before="0"/>
            <w:ind w:left="110"/>
          </w:pPr>
          <w:r>
            <w:rPr/>
            <w:t>El ejercicio descentralizado de la política compensatoria</w:t>
          </w:r>
        </w:p>
        <w:p>
          <w:pPr>
            <w:pStyle w:val="TOC1"/>
            <w:tabs>
              <w:tab w:pos="7196" w:val="right" w:leader="none"/>
            </w:tabs>
            <w:spacing w:line="241" w:lineRule="exact" w:before="0"/>
            <w:ind w:left="110"/>
            <w:rPr>
              <w:b w:val="0"/>
            </w:rPr>
          </w:pPr>
          <w:r>
            <w:rPr/>
            <w:t>según el gobierno del Estado</w:t>
          </w:r>
          <w:r>
            <w:rPr>
              <w:spacing w:val="-2"/>
            </w:rPr>
            <w:t> </w:t>
          </w:r>
          <w:r>
            <w:rPr/>
            <w:t>de</w:t>
          </w:r>
          <w:r>
            <w:rPr>
              <w:spacing w:val="-1"/>
            </w:rPr>
            <w:t> </w:t>
          </w:r>
          <w:r>
            <w:rPr/>
            <w:t>Hidalgo.</w:t>
          </w:r>
          <w:r>
            <w:rPr>
              <w:b w:val="0"/>
            </w:rPr>
            <w:tab/>
          </w:r>
          <w:r>
            <w:rPr>
              <w:b w:val="0"/>
              <w:spacing w:val="-3"/>
            </w:rPr>
            <w:t>119</w:t>
          </w:r>
        </w:p>
        <w:p>
          <w:pPr>
            <w:pStyle w:val="TOC2"/>
            <w:tabs>
              <w:tab w:pos="7196" w:val="right" w:leader="none"/>
            </w:tabs>
            <w:spacing w:line="241" w:lineRule="exact" w:before="238"/>
            <w:ind w:left="110"/>
          </w:pPr>
          <w:hyperlink w:history="true" w:anchor="_TOC_250016">
            <w:r>
              <w:rPr/>
              <w:t>La multitud de acciones sin una estrategia</w:t>
            </w:r>
            <w:r>
              <w:rPr>
                <w:spacing w:val="-4"/>
              </w:rPr>
              <w:t> </w:t>
            </w:r>
            <w:r>
              <w:rPr/>
              <w:t>estatal</w:t>
            </w:r>
            <w:r>
              <w:rPr>
                <w:spacing w:val="-1"/>
              </w:rPr>
              <w:t> </w:t>
            </w:r>
            <w:r>
              <w:rPr/>
              <w:t>precisa.</w:t>
              <w:tab/>
            </w:r>
            <w:r>
              <w:rPr>
                <w:spacing w:val="-3"/>
              </w:rPr>
              <w:t>119</w:t>
            </w:r>
          </w:hyperlink>
        </w:p>
        <w:p>
          <w:pPr>
            <w:pStyle w:val="TOC2"/>
            <w:spacing w:line="240" w:lineRule="exact" w:before="0"/>
            <w:ind w:left="110"/>
          </w:pPr>
          <w:r>
            <w:rPr/>
            <w:t>La asociación estratégica general, la sectorial</w:t>
          </w:r>
        </w:p>
        <w:p>
          <w:pPr>
            <w:pStyle w:val="TOC2"/>
            <w:tabs>
              <w:tab w:pos="7196" w:val="right" w:leader="none"/>
            </w:tabs>
            <w:spacing w:line="240" w:lineRule="exact" w:before="0"/>
            <w:ind w:left="110"/>
          </w:pPr>
          <w:r>
            <w:rPr/>
            <w:t>y</w:t>
          </w:r>
          <w:r>
            <w:rPr>
              <w:spacing w:val="-1"/>
            </w:rPr>
            <w:t> </w:t>
          </w:r>
          <w:r>
            <w:rPr/>
            <w:t>la</w:t>
          </w:r>
          <w:r>
            <w:rPr>
              <w:spacing w:val="-1"/>
            </w:rPr>
            <w:t> </w:t>
          </w:r>
          <w:r>
            <w:rPr/>
            <w:t>intergubernamental.</w:t>
            <w:tab/>
            <w:t>124</w:t>
          </w:r>
        </w:p>
        <w:p>
          <w:pPr>
            <w:pStyle w:val="TOC2"/>
            <w:spacing w:line="240" w:lineRule="exact" w:before="0"/>
            <w:ind w:left="110"/>
          </w:pPr>
          <w:r>
            <w:rPr/>
            <w:t>El Instituto para la Atención de los Adultos Mayores</w:t>
          </w:r>
        </w:p>
        <w:p>
          <w:pPr>
            <w:pStyle w:val="TOC2"/>
            <w:tabs>
              <w:tab w:pos="7196" w:val="right" w:leader="none"/>
            </w:tabs>
            <w:spacing w:line="240" w:lineRule="exact" w:before="0"/>
            <w:ind w:left="110"/>
          </w:pPr>
          <w:r>
            <w:rPr/>
            <w:t>(IAAM).</w:t>
            <w:tab/>
            <w:t>127</w:t>
          </w:r>
        </w:p>
        <w:p>
          <w:pPr>
            <w:pStyle w:val="TOC2"/>
            <w:spacing w:line="240" w:lineRule="exact" w:before="0"/>
            <w:ind w:left="110"/>
          </w:pPr>
          <w:r>
            <w:rPr/>
            <w:t>El Instituto Hidalguense de la Juventud</w:t>
          </w:r>
        </w:p>
        <w:p>
          <w:pPr>
            <w:pStyle w:val="TOC2"/>
            <w:tabs>
              <w:tab w:pos="7196" w:val="right" w:leader="none"/>
            </w:tabs>
            <w:spacing w:line="240" w:lineRule="exact" w:before="0"/>
            <w:ind w:left="110"/>
          </w:pPr>
          <w:r>
            <w:rPr/>
            <w:t>(IHJ).</w:t>
            <w:tab/>
            <w:t>129</w:t>
          </w:r>
        </w:p>
        <w:p>
          <w:pPr>
            <w:pStyle w:val="TOC2"/>
            <w:spacing w:line="240" w:lineRule="exact" w:before="0"/>
            <w:ind w:left="110"/>
          </w:pPr>
          <w:r>
            <w:rPr/>
            <w:t>El Instituto Hidalguense de las Mujeres</w:t>
          </w:r>
        </w:p>
        <w:p>
          <w:pPr>
            <w:pStyle w:val="TOC2"/>
            <w:tabs>
              <w:tab w:pos="7196" w:val="right" w:leader="none"/>
            </w:tabs>
            <w:spacing w:line="240" w:lineRule="exact" w:before="0"/>
            <w:ind w:left="110"/>
          </w:pPr>
          <w:r>
            <w:rPr/>
            <w:t>(IHM).</w:t>
            <w:tab/>
            <w:t>130</w:t>
          </w:r>
        </w:p>
        <w:p>
          <w:pPr>
            <w:pStyle w:val="TOC2"/>
            <w:spacing w:line="240" w:lineRule="exact" w:before="0"/>
            <w:ind w:left="110"/>
          </w:pPr>
          <w:r>
            <w:rPr/>
            <w:t>La Secretaría de Desarrollo Social del Estado de Hidalgo</w:t>
          </w:r>
        </w:p>
        <w:p>
          <w:pPr>
            <w:pStyle w:val="TOC2"/>
            <w:tabs>
              <w:tab w:pos="7196" w:val="right" w:leader="none"/>
            </w:tabs>
            <w:spacing w:line="240" w:lineRule="exact" w:before="0"/>
            <w:ind w:left="110"/>
          </w:pPr>
          <w:r>
            <w:rPr/>
            <w:t>(SEDESO).</w:t>
            <w:tab/>
            <w:t>132</w:t>
          </w:r>
        </w:p>
        <w:p>
          <w:pPr>
            <w:pStyle w:val="TOC2"/>
            <w:spacing w:line="240" w:lineRule="exact" w:before="0"/>
            <w:ind w:left="110"/>
          </w:pPr>
          <w:r>
            <w:rPr/>
            <w:t>La Secretaría de Educación Pública del Estado de Hidalgo</w:t>
          </w:r>
        </w:p>
        <w:p>
          <w:pPr>
            <w:pStyle w:val="TOC2"/>
            <w:tabs>
              <w:tab w:pos="7196" w:val="right" w:leader="none"/>
            </w:tabs>
            <w:spacing w:line="241" w:lineRule="exact" w:before="0"/>
            <w:ind w:left="110"/>
          </w:pPr>
          <w:r>
            <w:rPr/>
            <w:t>(SEPH).</w:t>
            <w:tab/>
            <w:t>134</w:t>
          </w:r>
        </w:p>
        <w:p>
          <w:pPr>
            <w:pStyle w:val="TOC2"/>
            <w:spacing w:before="147"/>
          </w:pPr>
          <w:r>
            <w:rPr/>
            <w:t>El Centro Estatal de Lenguas y Culturas Indígenas</w:t>
          </w:r>
        </w:p>
        <w:p>
          <w:pPr>
            <w:pStyle w:val="TOC2"/>
            <w:tabs>
              <w:tab w:pos="6888" w:val="left" w:leader="none"/>
            </w:tabs>
          </w:pPr>
          <w:r>
            <w:rPr/>
            <w:t>(CELCI).</w:t>
            <w:tab/>
            <w:t>136</w:t>
          </w:r>
        </w:p>
        <w:p>
          <w:pPr>
            <w:pStyle w:val="TOC2"/>
          </w:pPr>
          <w:r>
            <w:rPr/>
            <w:t>El Bachillerato del Estado de Hidalgo</w:t>
          </w:r>
        </w:p>
        <w:p>
          <w:pPr>
            <w:pStyle w:val="TOC2"/>
            <w:tabs>
              <w:tab w:pos="6888" w:val="left" w:leader="none"/>
            </w:tabs>
          </w:pPr>
          <w:r>
            <w:rPr/>
            <w:t>(BEH).</w:t>
            <w:tab/>
            <w:t>136</w:t>
          </w:r>
        </w:p>
        <w:p>
          <w:pPr>
            <w:pStyle w:val="TOC2"/>
          </w:pPr>
          <w:r>
            <w:rPr/>
            <w:t>El Instituto Hidalguense de Financiamiento a la Educación Superior</w:t>
          </w:r>
        </w:p>
        <w:p>
          <w:pPr>
            <w:pStyle w:val="TOC2"/>
            <w:tabs>
              <w:tab w:pos="6888" w:val="left" w:leader="none"/>
            </w:tabs>
          </w:pPr>
          <w:r>
            <w:rPr/>
            <w:t>(IHFES).</w:t>
            <w:tab/>
            <w:t>137</w:t>
          </w:r>
        </w:p>
        <w:p>
          <w:pPr>
            <w:pStyle w:val="TOC2"/>
          </w:pPr>
          <w:r>
            <w:rPr/>
            <w:t>La Secretaría de Salud del Estado de Hidalgo</w:t>
          </w:r>
        </w:p>
        <w:p>
          <w:pPr>
            <w:pStyle w:val="TOC2"/>
            <w:tabs>
              <w:tab w:pos="6888" w:val="left" w:leader="none"/>
            </w:tabs>
          </w:pPr>
          <w:r>
            <w:rPr/>
            <w:t>(SSH).</w:t>
            <w:tab/>
            <w:t>138</w:t>
          </w:r>
        </w:p>
        <w:p>
          <w:pPr>
            <w:pStyle w:val="TOC2"/>
          </w:pPr>
          <w:r>
            <w:rPr/>
            <w:t>El Sistema Estatal para el Desarrollo Integral de la Familia</w:t>
          </w:r>
        </w:p>
        <w:p>
          <w:pPr>
            <w:pStyle w:val="TOC2"/>
            <w:tabs>
              <w:tab w:pos="6888" w:val="left" w:leader="none"/>
            </w:tabs>
          </w:pPr>
          <w:r>
            <w:rPr/>
            <w:t>(DIFEH).</w:t>
            <w:tab/>
            <w:t>139</w:t>
          </w:r>
        </w:p>
        <w:p>
          <w:pPr>
            <w:pStyle w:val="TOC2"/>
          </w:pPr>
          <w:r>
            <w:rPr/>
            <w:t>La Junta General de Asistencia Privada del Estado de Hidalgo</w:t>
          </w:r>
        </w:p>
        <w:p>
          <w:pPr>
            <w:pStyle w:val="TOC2"/>
            <w:tabs>
              <w:tab w:pos="6888" w:val="left" w:leader="none"/>
            </w:tabs>
          </w:pPr>
          <w:r>
            <w:rPr/>
            <w:t>(JGAPEH).</w:t>
            <w:tab/>
            <w:t>141</w:t>
          </w:r>
        </w:p>
        <w:p>
          <w:pPr>
            <w:pStyle w:val="TOC2"/>
          </w:pPr>
          <w:r>
            <w:rPr/>
            <w:t>La Promotora de Vivienda del Estado de Hidalgo</w:t>
          </w:r>
        </w:p>
        <w:p>
          <w:pPr>
            <w:pStyle w:val="TOC2"/>
            <w:tabs>
              <w:tab w:pos="6888" w:val="left" w:leader="none"/>
            </w:tabs>
          </w:pPr>
          <w:r>
            <w:rPr/>
            <w:t>(PROVIH).</w:t>
            <w:tab/>
            <w:t>143</w:t>
          </w:r>
        </w:p>
        <w:p>
          <w:pPr>
            <w:pStyle w:val="TOC2"/>
            <w:spacing w:line="242" w:lineRule="auto"/>
            <w:ind w:right="2205"/>
          </w:pPr>
          <w:r>
            <w:rPr/>
            <w:t>El Programa de Regularización de la Tenencia de la Tierra del Estado de Hidalgo</w:t>
          </w:r>
        </w:p>
        <w:p>
          <w:pPr>
            <w:pStyle w:val="TOC2"/>
            <w:tabs>
              <w:tab w:pos="6888" w:val="left" w:leader="none"/>
            </w:tabs>
            <w:spacing w:before="0"/>
          </w:pPr>
          <w:r>
            <w:rPr/>
            <w:t>(PRTTEH).</w:t>
            <w:tab/>
            <w:t>144</w:t>
          </w:r>
        </w:p>
        <w:p>
          <w:pPr>
            <w:pStyle w:val="TOC2"/>
          </w:pPr>
          <w:r>
            <w:rPr/>
            <w:t>La Secretaría del Trabajo y Previsión Social del Estado de Hidalgo</w:t>
          </w:r>
        </w:p>
        <w:p>
          <w:pPr>
            <w:pStyle w:val="TOC2"/>
            <w:tabs>
              <w:tab w:pos="6888" w:val="left" w:leader="none"/>
            </w:tabs>
          </w:pPr>
          <w:r>
            <w:rPr/>
            <w:t>(STPSEH).</w:t>
            <w:tab/>
            <w:t>144</w:t>
          </w:r>
        </w:p>
        <w:p>
          <w:pPr>
            <w:pStyle w:val="TOC2"/>
          </w:pPr>
          <w:r>
            <w:rPr/>
            <w:t>El Instituto de Capacitación para el Trabajo del Estado de Hidalgo</w:t>
          </w:r>
        </w:p>
        <w:p>
          <w:pPr>
            <w:pStyle w:val="TOC2"/>
            <w:tabs>
              <w:tab w:pos="6888" w:val="left" w:leader="none"/>
            </w:tabs>
          </w:pPr>
          <w:r>
            <w:rPr>
              <w:spacing w:val="-3"/>
            </w:rPr>
            <w:t>(ICATHI).</w:t>
            <w:tab/>
          </w:r>
          <w:r>
            <w:rPr/>
            <w:t>145</w:t>
          </w:r>
        </w:p>
        <w:p>
          <w:pPr>
            <w:pStyle w:val="TOC2"/>
            <w:tabs>
              <w:tab w:pos="6888" w:val="left" w:leader="none"/>
            </w:tabs>
          </w:pPr>
          <w:hyperlink w:history="true" w:anchor="_TOC_250015">
            <w:r>
              <w:rPr/>
              <w:t>Conclusiones del Capítulo</w:t>
            </w:r>
            <w:r>
              <w:rPr>
                <w:spacing w:val="-4"/>
              </w:rPr>
              <w:t> </w:t>
            </w:r>
            <w:r>
              <w:rPr>
                <w:spacing w:val="-14"/>
              </w:rPr>
              <w:t>V.</w:t>
              <w:tab/>
            </w:r>
            <w:r>
              <w:rPr/>
              <w:t>145</w:t>
            </w:r>
          </w:hyperlink>
        </w:p>
        <w:p>
          <w:pPr>
            <w:pStyle w:val="TOC2"/>
            <w:tabs>
              <w:tab w:pos="6888" w:val="left" w:leader="none"/>
            </w:tabs>
          </w:pPr>
          <w:hyperlink w:history="true" w:anchor="_TOC_250014">
            <w:r>
              <w:rPr/>
              <w:t>Anexos del</w:t>
            </w:r>
            <w:r>
              <w:rPr>
                <w:spacing w:val="-2"/>
              </w:rPr>
              <w:t> </w:t>
            </w:r>
            <w:r>
              <w:rPr/>
              <w:t>Capítulo</w:t>
            </w:r>
            <w:r>
              <w:rPr>
                <w:spacing w:val="-5"/>
              </w:rPr>
              <w:t> </w:t>
            </w:r>
            <w:r>
              <w:rPr>
                <w:spacing w:val="-14"/>
              </w:rPr>
              <w:t>V.</w:t>
              <w:tab/>
            </w:r>
            <w:r>
              <w:rPr/>
              <w:t>150</w:t>
            </w:r>
          </w:hyperlink>
        </w:p>
        <w:p>
          <w:pPr>
            <w:pStyle w:val="TOC1"/>
            <w:spacing w:before="246"/>
          </w:pPr>
          <w:hyperlink w:history="true" w:anchor="_TOC_250013">
            <w:r>
              <w:rPr/>
              <w:t>Capítulo VI.</w:t>
            </w:r>
          </w:hyperlink>
        </w:p>
        <w:p>
          <w:pPr>
            <w:pStyle w:val="TOC1"/>
          </w:pPr>
          <w:r>
            <w:rPr/>
            <w:t>La política intergubernamental de lo urbano</w:t>
          </w:r>
        </w:p>
        <w:p>
          <w:pPr>
            <w:pStyle w:val="TOC1"/>
            <w:tabs>
              <w:tab w:pos="6888" w:val="left" w:leader="none"/>
            </w:tabs>
            <w:rPr>
              <w:b w:val="0"/>
            </w:rPr>
          </w:pPr>
          <w:r>
            <w:rPr/>
            <w:t>y de la vivienda social en el Estado</w:t>
          </w:r>
          <w:r>
            <w:rPr>
              <w:spacing w:val="-8"/>
            </w:rPr>
            <w:t> </w:t>
          </w:r>
          <w:r>
            <w:rPr/>
            <w:t>de</w:t>
          </w:r>
          <w:r>
            <w:rPr>
              <w:spacing w:val="-1"/>
            </w:rPr>
            <w:t> </w:t>
          </w:r>
          <w:r>
            <w:rPr/>
            <w:t>Hidalgo.</w:t>
          </w:r>
          <w:r>
            <w:rPr>
              <w:b w:val="0"/>
            </w:rPr>
            <w:tab/>
            <w:t>155</w:t>
          </w:r>
        </w:p>
        <w:p>
          <w:pPr>
            <w:pStyle w:val="TOC2"/>
            <w:tabs>
              <w:tab w:pos="6888" w:val="left" w:leader="none"/>
            </w:tabs>
            <w:spacing w:before="246"/>
          </w:pPr>
          <w:hyperlink w:history="true" w:anchor="_TOC_250012">
            <w:r>
              <w:rPr/>
              <w:t>La vivienda y el suelo urbano como</w:t>
            </w:r>
            <w:r>
              <w:rPr>
                <w:spacing w:val="-4"/>
              </w:rPr>
              <w:t> </w:t>
            </w:r>
            <w:r>
              <w:rPr/>
              <w:t>insumos</w:t>
            </w:r>
            <w:r>
              <w:rPr>
                <w:spacing w:val="-2"/>
              </w:rPr>
              <w:t> </w:t>
            </w:r>
            <w:r>
              <w:rPr/>
              <w:t>inconcurrentes.</w:t>
              <w:tab/>
              <w:t>155</w:t>
            </w:r>
          </w:hyperlink>
        </w:p>
        <w:p>
          <w:pPr>
            <w:pStyle w:val="TOC2"/>
          </w:pPr>
          <w:r>
            <w:rPr/>
            <w:t>El rezago hidalguense con respecto a la definición de una</w:t>
          </w:r>
        </w:p>
        <w:p>
          <w:pPr>
            <w:pStyle w:val="TOC2"/>
            <w:tabs>
              <w:tab w:pos="6888" w:val="left" w:leader="none"/>
            </w:tabs>
          </w:pPr>
          <w:r>
            <w:rPr/>
            <w:t>política</w:t>
          </w:r>
          <w:r>
            <w:rPr>
              <w:spacing w:val="-4"/>
            </w:rPr>
            <w:t> </w:t>
          </w:r>
          <w:r>
            <w:rPr/>
            <w:t>habitacional</w:t>
          </w:r>
          <w:r>
            <w:rPr>
              <w:spacing w:val="-4"/>
            </w:rPr>
            <w:t> </w:t>
          </w:r>
          <w:r>
            <w:rPr/>
            <w:t>popular.</w:t>
            <w:tab/>
            <w:t>159</w:t>
          </w:r>
        </w:p>
        <w:p>
          <w:pPr>
            <w:pStyle w:val="TOC2"/>
            <w:tabs>
              <w:tab w:pos="6888" w:val="left" w:leader="none"/>
            </w:tabs>
          </w:pPr>
          <w:hyperlink w:history="true" w:anchor="_TOC_250011">
            <w:r>
              <w:rPr/>
              <w:t>Conclusiones del</w:t>
            </w:r>
            <w:r>
              <w:rPr>
                <w:spacing w:val="-2"/>
              </w:rPr>
              <w:t> </w:t>
            </w:r>
            <w:r>
              <w:rPr/>
              <w:t>Capítulo</w:t>
            </w:r>
            <w:r>
              <w:rPr>
                <w:spacing w:val="-5"/>
              </w:rPr>
              <w:t> </w:t>
            </w:r>
            <w:r>
              <w:rPr/>
              <w:t>VI.</w:t>
              <w:tab/>
              <w:t>160</w:t>
            </w:r>
          </w:hyperlink>
        </w:p>
        <w:p>
          <w:pPr>
            <w:pStyle w:val="TOC2"/>
            <w:tabs>
              <w:tab w:pos="6888" w:val="left" w:leader="none"/>
            </w:tabs>
          </w:pPr>
          <w:hyperlink w:history="true" w:anchor="_TOC_250010">
            <w:r>
              <w:rPr/>
              <w:t>Anexos del</w:t>
            </w:r>
            <w:r>
              <w:rPr>
                <w:spacing w:val="-3"/>
              </w:rPr>
              <w:t> </w:t>
            </w:r>
            <w:r>
              <w:rPr/>
              <w:t>Capítulo</w:t>
            </w:r>
            <w:r>
              <w:rPr>
                <w:spacing w:val="-6"/>
              </w:rPr>
              <w:t> </w:t>
            </w:r>
            <w:r>
              <w:rPr/>
              <w:t>VI</w:t>
              <w:tab/>
              <w:t>162</w:t>
            </w:r>
          </w:hyperlink>
        </w:p>
        <w:p>
          <w:pPr>
            <w:pStyle w:val="TOC1"/>
            <w:spacing w:before="490"/>
          </w:pPr>
          <w:hyperlink w:history="true" w:anchor="_TOC_250009">
            <w:r>
              <w:rPr/>
              <w:t>TERCERA PARTE.</w:t>
            </w:r>
          </w:hyperlink>
        </w:p>
        <w:p>
          <w:pPr>
            <w:pStyle w:val="TOC1"/>
          </w:pPr>
          <w:r>
            <w:rPr/>
            <w:t>SENTIDO ASCENDENTE O CLÁSICO</w:t>
          </w:r>
        </w:p>
        <w:p>
          <w:pPr>
            <w:pStyle w:val="TOC1"/>
            <w:tabs>
              <w:tab w:pos="6888" w:val="left" w:leader="none"/>
            </w:tabs>
            <w:spacing w:before="246"/>
            <w:rPr>
              <w:b w:val="0"/>
            </w:rPr>
          </w:pPr>
          <w:r>
            <w:rPr/>
            <w:t>ORGANIZACIÓN</w:t>
          </w:r>
          <w:r>
            <w:rPr>
              <w:spacing w:val="-4"/>
            </w:rPr>
            <w:t> </w:t>
          </w:r>
          <w:r>
            <w:rPr/>
            <w:t>CIUDADANA.</w:t>
          </w:r>
          <w:r>
            <w:rPr>
              <w:b w:val="0"/>
            </w:rPr>
            <w:tab/>
            <w:t>163</w:t>
          </w:r>
        </w:p>
        <w:p>
          <w:pPr>
            <w:pStyle w:val="TOC1"/>
            <w:spacing w:before="246"/>
          </w:pPr>
          <w:hyperlink w:history="true" w:anchor="_TOC_250008">
            <w:r>
              <w:rPr/>
              <w:t>Capítulo VII.</w:t>
            </w:r>
          </w:hyperlink>
        </w:p>
        <w:p>
          <w:pPr>
            <w:pStyle w:val="TOC1"/>
            <w:tabs>
              <w:tab w:pos="6888" w:val="left" w:leader="none"/>
            </w:tabs>
            <w:spacing w:before="8"/>
            <w:rPr>
              <w:b w:val="0"/>
            </w:rPr>
          </w:pPr>
          <w:hyperlink w:history="true" w:anchor="_TOC_250007">
            <w:r>
              <w:rPr/>
              <w:t>Las obras comunitarias en los</w:t>
            </w:r>
            <w:r>
              <w:rPr>
                <w:spacing w:val="-13"/>
              </w:rPr>
              <w:t> </w:t>
            </w:r>
            <w:r>
              <w:rPr/>
              <w:t>municipios</w:t>
            </w:r>
            <w:r>
              <w:rPr>
                <w:spacing w:val="-2"/>
              </w:rPr>
              <w:t> </w:t>
            </w:r>
            <w:r>
              <w:rPr/>
              <w:t>hidalguenses.</w:t>
            </w:r>
            <w:r>
              <w:rPr>
                <w:b w:val="0"/>
              </w:rPr>
              <w:tab/>
              <w:t>167</w:t>
            </w:r>
          </w:hyperlink>
        </w:p>
        <w:p>
          <w:pPr>
            <w:pStyle w:val="TOC2"/>
            <w:tabs>
              <w:tab w:pos="7196" w:val="right" w:leader="none"/>
            </w:tabs>
            <w:spacing w:before="147"/>
            <w:ind w:left="110"/>
          </w:pPr>
          <w:hyperlink w:history="true" w:anchor="_TOC_250006">
            <w:r>
              <w:rPr/>
              <w:t>La sustitución del orden</w:t>
            </w:r>
            <w:r>
              <w:rPr>
                <w:spacing w:val="-1"/>
              </w:rPr>
              <w:t> </w:t>
            </w:r>
            <w:r>
              <w:rPr/>
              <w:t>social</w:t>
            </w:r>
            <w:r>
              <w:rPr>
                <w:spacing w:val="-1"/>
              </w:rPr>
              <w:t> </w:t>
            </w:r>
            <w:r>
              <w:rPr/>
              <w:t>municipal.</w:t>
              <w:tab/>
              <w:t>167</w:t>
            </w:r>
          </w:hyperlink>
        </w:p>
        <w:p>
          <w:pPr>
            <w:pStyle w:val="TOC2"/>
            <w:spacing w:before="8"/>
            <w:ind w:left="110"/>
          </w:pPr>
          <w:r>
            <w:rPr/>
            <w:t>El carácter coyuntural de la acción comunitaria</w:t>
          </w:r>
        </w:p>
        <w:p>
          <w:pPr>
            <w:pStyle w:val="TOC2"/>
            <w:tabs>
              <w:tab w:pos="7196" w:val="right" w:leader="none"/>
            </w:tabs>
            <w:spacing w:before="8"/>
            <w:ind w:left="110"/>
          </w:pPr>
          <w:r>
            <w:rPr/>
            <w:t>en los</w:t>
          </w:r>
          <w:r>
            <w:rPr>
              <w:spacing w:val="-2"/>
            </w:rPr>
            <w:t> </w:t>
          </w:r>
          <w:r>
            <w:rPr/>
            <w:t>municipios</w:t>
          </w:r>
          <w:r>
            <w:rPr>
              <w:spacing w:val="-1"/>
            </w:rPr>
            <w:t> </w:t>
          </w:r>
          <w:r>
            <w:rPr/>
            <w:t>hidalguenses.</w:t>
            <w:tab/>
            <w:t>170</w:t>
          </w:r>
        </w:p>
        <w:p>
          <w:pPr>
            <w:pStyle w:val="TOC2"/>
            <w:tabs>
              <w:tab w:pos="7196" w:val="right" w:leader="none"/>
            </w:tabs>
            <w:spacing w:before="8"/>
            <w:ind w:left="110"/>
          </w:pPr>
          <w:hyperlink w:history="true" w:anchor="_TOC_250005">
            <w:r>
              <w:rPr/>
              <w:t>Conclusiones del</w:t>
            </w:r>
            <w:r>
              <w:rPr>
                <w:spacing w:val="-1"/>
              </w:rPr>
              <w:t> </w:t>
            </w:r>
            <w:r>
              <w:rPr/>
              <w:t>Capítulo</w:t>
            </w:r>
            <w:r>
              <w:rPr>
                <w:spacing w:val="-5"/>
              </w:rPr>
              <w:t> </w:t>
            </w:r>
            <w:r>
              <w:rPr/>
              <w:t>VII.</w:t>
              <w:tab/>
              <w:t>173</w:t>
            </w:r>
          </w:hyperlink>
        </w:p>
        <w:p>
          <w:pPr>
            <w:pStyle w:val="TOC1"/>
            <w:spacing w:before="258"/>
            <w:ind w:left="110"/>
          </w:pPr>
          <w:hyperlink w:history="true" w:anchor="_TOC_250004">
            <w:r>
              <w:rPr/>
              <w:t>Capítulo VIII.</w:t>
            </w:r>
          </w:hyperlink>
        </w:p>
        <w:p>
          <w:pPr>
            <w:pStyle w:val="TOC1"/>
            <w:spacing w:before="8"/>
            <w:ind w:left="110"/>
          </w:pPr>
          <w:r>
            <w:rPr/>
            <w:t>La incidencia de la ciudadanía hidalguense</w:t>
          </w:r>
        </w:p>
        <w:p>
          <w:pPr>
            <w:pStyle w:val="TOC1"/>
            <w:tabs>
              <w:tab w:pos="7196" w:val="right" w:leader="none"/>
            </w:tabs>
            <w:spacing w:before="8"/>
            <w:ind w:left="110"/>
            <w:rPr>
              <w:b w:val="0"/>
            </w:rPr>
          </w:pPr>
          <w:r>
            <w:rPr/>
            <w:t>en la definición de las</w:t>
          </w:r>
          <w:r>
            <w:rPr>
              <w:spacing w:val="-1"/>
            </w:rPr>
            <w:t> </w:t>
          </w:r>
          <w:r>
            <w:rPr/>
            <w:t>políticas</w:t>
          </w:r>
          <w:r>
            <w:rPr>
              <w:spacing w:val="-1"/>
            </w:rPr>
            <w:t> </w:t>
          </w:r>
          <w:r>
            <w:rPr/>
            <w:t>públicas.</w:t>
          </w:r>
          <w:r>
            <w:rPr>
              <w:b w:val="0"/>
            </w:rPr>
            <w:tab/>
            <w:t>177</w:t>
          </w:r>
        </w:p>
        <w:p>
          <w:pPr>
            <w:pStyle w:val="TOC2"/>
            <w:spacing w:before="258"/>
            <w:ind w:left="110"/>
          </w:pPr>
          <w:r>
            <w:rPr/>
            <w:t>La simulación y la falta de estrategia en las convocatorias</w:t>
          </w:r>
        </w:p>
        <w:p>
          <w:pPr>
            <w:pStyle w:val="TOC2"/>
            <w:tabs>
              <w:tab w:pos="7196" w:val="right" w:leader="none"/>
            </w:tabs>
            <w:spacing w:before="8"/>
            <w:ind w:left="110"/>
          </w:pPr>
          <w:r>
            <w:rPr/>
            <w:t>ciudadanas.</w:t>
            <w:tab/>
            <w:t>177</w:t>
          </w:r>
        </w:p>
        <w:p>
          <w:pPr>
            <w:pStyle w:val="TOC2"/>
            <w:tabs>
              <w:tab w:pos="7196" w:val="right" w:leader="none"/>
            </w:tabs>
            <w:spacing w:before="8"/>
            <w:ind w:left="110"/>
          </w:pPr>
          <w:hyperlink w:history="true" w:anchor="_TOC_250003">
            <w:r>
              <w:rPr/>
              <w:t>Simplemente: la</w:t>
            </w:r>
            <w:r>
              <w:rPr>
                <w:spacing w:val="-1"/>
              </w:rPr>
              <w:t> </w:t>
            </w:r>
            <w:r>
              <w:rPr/>
              <w:t>simulación</w:t>
            </w:r>
            <w:r>
              <w:rPr>
                <w:spacing w:val="-1"/>
              </w:rPr>
              <w:t> </w:t>
            </w:r>
            <w:r>
              <w:rPr/>
              <w:t>hidalguense.</w:t>
              <w:tab/>
              <w:t>180</w:t>
            </w:r>
          </w:hyperlink>
        </w:p>
        <w:p>
          <w:pPr>
            <w:pStyle w:val="TOC2"/>
            <w:tabs>
              <w:tab w:pos="7196" w:val="right" w:leader="none"/>
            </w:tabs>
            <w:spacing w:before="8"/>
            <w:ind w:left="110"/>
          </w:pPr>
          <w:hyperlink w:history="true" w:anchor="_TOC_250002">
            <w:r>
              <w:rPr/>
              <w:t>Conclusiones del</w:t>
            </w:r>
            <w:r>
              <w:rPr>
                <w:spacing w:val="-1"/>
              </w:rPr>
              <w:t> </w:t>
            </w:r>
            <w:r>
              <w:rPr/>
              <w:t>Capítulo</w:t>
            </w:r>
            <w:r>
              <w:rPr>
                <w:spacing w:val="-5"/>
              </w:rPr>
              <w:t> </w:t>
            </w:r>
            <w:r>
              <w:rPr/>
              <w:t>VIII.</w:t>
              <w:tab/>
              <w:t>183</w:t>
            </w:r>
          </w:hyperlink>
        </w:p>
        <w:p>
          <w:pPr>
            <w:pStyle w:val="TOC1"/>
            <w:tabs>
              <w:tab w:pos="7196" w:val="right" w:leader="none"/>
            </w:tabs>
            <w:spacing w:before="258"/>
            <w:ind w:left="110"/>
            <w:rPr>
              <w:b w:val="0"/>
            </w:rPr>
          </w:pPr>
          <w:hyperlink w:history="true" w:anchor="_TOC_250001">
            <w:r>
              <w:rPr/>
              <w:t>Conclusiones</w:t>
            </w:r>
            <w:r>
              <w:rPr>
                <w:spacing w:val="-1"/>
              </w:rPr>
              <w:t> </w:t>
            </w:r>
            <w:r>
              <w:rPr/>
              <w:t>Generales.</w:t>
            </w:r>
            <w:r>
              <w:rPr>
                <w:b w:val="0"/>
              </w:rPr>
              <w:tab/>
              <w:t>185</w:t>
            </w:r>
          </w:hyperlink>
        </w:p>
        <w:p>
          <w:pPr>
            <w:pStyle w:val="TOC1"/>
            <w:tabs>
              <w:tab w:pos="7196" w:val="right" w:leader="none"/>
            </w:tabs>
            <w:spacing w:before="258"/>
            <w:ind w:left="110"/>
            <w:rPr>
              <w:b w:val="0"/>
            </w:rPr>
          </w:pPr>
          <w:hyperlink w:history="true" w:anchor="_TOC_250000">
            <w:r>
              <w:rPr/>
              <w:t>Fuentes</w:t>
            </w:r>
            <w:r>
              <w:rPr>
                <w:spacing w:val="-2"/>
              </w:rPr>
              <w:t> </w:t>
            </w:r>
            <w:r>
              <w:rPr/>
              <w:t>de</w:t>
            </w:r>
            <w:r>
              <w:rPr>
                <w:spacing w:val="-1"/>
              </w:rPr>
              <w:t> </w:t>
            </w:r>
            <w:r>
              <w:rPr/>
              <w:t>Consulta.</w:t>
            </w:r>
            <w:r>
              <w:rPr>
                <w:b w:val="0"/>
              </w:rPr>
              <w:tab/>
              <w:t>195</w:t>
            </w:r>
          </w:hyperlink>
        </w:p>
      </w:sdtContent>
    </w:sdt>
    <w:p>
      <w:pPr>
        <w:spacing w:after="0"/>
        <w:sectPr>
          <w:type w:val="continuous"/>
          <w:pgSz w:w="9360" w:h="13040"/>
          <w:pgMar w:top="1220" w:bottom="1369" w:left="1300" w:right="740"/>
        </w:sectPr>
      </w:pPr>
    </w:p>
    <w:p>
      <w:pPr>
        <w:pStyle w:val="Heading3"/>
        <w:spacing w:before="139"/>
        <w:ind w:left="738" w:right="732"/>
        <w:jc w:val="center"/>
      </w:pPr>
      <w:bookmarkStart w:name="_TOC_250041" w:id="2"/>
      <w:bookmarkEnd w:id="2"/>
      <w:r>
        <w:rPr/>
        <w:t>PRESENTACIÓN</w:t>
      </w:r>
    </w:p>
    <w:p>
      <w:pPr>
        <w:pStyle w:val="BodyText"/>
        <w:rPr>
          <w:b/>
          <w:sz w:val="22"/>
        </w:rPr>
      </w:pPr>
    </w:p>
    <w:p>
      <w:pPr>
        <w:pStyle w:val="BodyText"/>
        <w:rPr>
          <w:b/>
          <w:sz w:val="28"/>
        </w:rPr>
      </w:pPr>
    </w:p>
    <w:p>
      <w:pPr>
        <w:spacing w:line="254" w:lineRule="auto" w:before="0"/>
        <w:ind w:left="117" w:right="104" w:firstLine="0"/>
        <w:jc w:val="both"/>
        <w:rPr>
          <w:sz w:val="23"/>
        </w:rPr>
      </w:pPr>
      <w:r>
        <w:rPr>
          <w:sz w:val="23"/>
        </w:rPr>
        <w:t>Para nuestra casa, el Instituto Nacional de Administración Pública, es una tarea permanente el promover el estudio y análisis de las mejores prácticas público administrativas, en cada uno de los ámbitos gubernamental. Por ello, nos es grato presentar el libro: </w:t>
      </w:r>
      <w:r>
        <w:rPr>
          <w:i/>
          <w:sz w:val="23"/>
        </w:rPr>
        <w:t>Las Capacidades Subsidiarias del Gobierno </w:t>
      </w:r>
      <w:r>
        <w:rPr>
          <w:i/>
          <w:sz w:val="23"/>
        </w:rPr>
        <w:t>Estatal y de los Ayuntamientos del Estado de Hidalgo en el Contexto Fe- deral: Finanzas Públicas, Políticas Públicas, Organización Social</w:t>
      </w:r>
      <w:r>
        <w:rPr>
          <w:b/>
          <w:sz w:val="23"/>
        </w:rPr>
        <w:t>, </w:t>
      </w:r>
      <w:r>
        <w:rPr>
          <w:sz w:val="23"/>
        </w:rPr>
        <w:t>de Joel Mendoza Ruiz.</w:t>
      </w:r>
    </w:p>
    <w:p>
      <w:pPr>
        <w:pStyle w:val="BodyText"/>
        <w:spacing w:before="4"/>
        <w:rPr>
          <w:sz w:val="24"/>
        </w:rPr>
      </w:pPr>
    </w:p>
    <w:p>
      <w:pPr>
        <w:spacing w:line="254" w:lineRule="auto" w:before="0"/>
        <w:ind w:left="117" w:right="104" w:firstLine="0"/>
        <w:jc w:val="both"/>
        <w:rPr>
          <w:sz w:val="23"/>
        </w:rPr>
      </w:pPr>
      <w:r>
        <w:rPr>
          <w:sz w:val="23"/>
        </w:rPr>
        <w:t>Esta obra estudia un tema poco analizado en nuestro país, el concepto </w:t>
      </w:r>
      <w:r>
        <w:rPr>
          <w:i/>
          <w:sz w:val="23"/>
        </w:rPr>
        <w:t>subsidiariedad </w:t>
      </w:r>
      <w:r>
        <w:rPr>
          <w:sz w:val="23"/>
        </w:rPr>
        <w:t>como “</w:t>
      </w:r>
      <w:r>
        <w:rPr>
          <w:i/>
          <w:sz w:val="23"/>
        </w:rPr>
        <w:t>un principio de ética social que sistematiza cons- </w:t>
      </w:r>
      <w:r>
        <w:rPr>
          <w:i/>
          <w:sz w:val="23"/>
        </w:rPr>
        <w:t>tructivamente la relación entre unidades desiguales” </w:t>
      </w:r>
      <w:r>
        <w:rPr>
          <w:sz w:val="23"/>
        </w:rPr>
        <w:t>y su ámbito específico de</w:t>
      </w:r>
      <w:r>
        <w:rPr>
          <w:spacing w:val="-6"/>
          <w:sz w:val="23"/>
        </w:rPr>
        <w:t> </w:t>
      </w:r>
      <w:r>
        <w:rPr>
          <w:sz w:val="23"/>
        </w:rPr>
        <w:t>interpretación</w:t>
      </w:r>
      <w:r>
        <w:rPr>
          <w:spacing w:val="-6"/>
          <w:sz w:val="23"/>
        </w:rPr>
        <w:t> </w:t>
      </w:r>
      <w:r>
        <w:rPr>
          <w:sz w:val="23"/>
        </w:rPr>
        <w:t>dentro</w:t>
      </w:r>
      <w:r>
        <w:rPr>
          <w:spacing w:val="-5"/>
          <w:sz w:val="23"/>
        </w:rPr>
        <w:t> </w:t>
      </w:r>
      <w:r>
        <w:rPr>
          <w:sz w:val="23"/>
        </w:rPr>
        <w:t>de</w:t>
      </w:r>
      <w:r>
        <w:rPr>
          <w:spacing w:val="-5"/>
          <w:sz w:val="23"/>
        </w:rPr>
        <w:t> </w:t>
      </w:r>
      <w:r>
        <w:rPr>
          <w:sz w:val="23"/>
        </w:rPr>
        <w:t>los</w:t>
      </w:r>
      <w:r>
        <w:rPr>
          <w:spacing w:val="-6"/>
          <w:sz w:val="23"/>
        </w:rPr>
        <w:t> </w:t>
      </w:r>
      <w:r>
        <w:rPr>
          <w:sz w:val="23"/>
        </w:rPr>
        <w:t>sistemas</w:t>
      </w:r>
      <w:r>
        <w:rPr>
          <w:spacing w:val="-5"/>
          <w:sz w:val="23"/>
        </w:rPr>
        <w:t> </w:t>
      </w:r>
      <w:r>
        <w:rPr>
          <w:sz w:val="23"/>
        </w:rPr>
        <w:t>federales:</w:t>
      </w:r>
      <w:r>
        <w:rPr>
          <w:spacing w:val="-6"/>
          <w:sz w:val="23"/>
        </w:rPr>
        <w:t> </w:t>
      </w:r>
      <w:r>
        <w:rPr>
          <w:sz w:val="23"/>
        </w:rPr>
        <w:t>el</w:t>
      </w:r>
      <w:r>
        <w:rPr>
          <w:spacing w:val="-6"/>
          <w:sz w:val="23"/>
        </w:rPr>
        <w:t> </w:t>
      </w:r>
      <w:r>
        <w:rPr>
          <w:i/>
          <w:sz w:val="23"/>
        </w:rPr>
        <w:t>federalismo</w:t>
      </w:r>
      <w:r>
        <w:rPr>
          <w:i/>
          <w:spacing w:val="-6"/>
          <w:sz w:val="23"/>
        </w:rPr>
        <w:t> </w:t>
      </w:r>
      <w:r>
        <w:rPr>
          <w:i/>
          <w:sz w:val="23"/>
        </w:rPr>
        <w:t>subsidiario</w:t>
      </w:r>
      <w:r>
        <w:rPr>
          <w:sz w:val="23"/>
        </w:rPr>
        <w:t>. En la aplicación conceptual aborda el estudio de caso del Gobierno Estatal   y de los Ayuntamientos del Estado de Hidalgo, considerando un periodo administrativo reciente y ampliamente </w:t>
      </w:r>
      <w:r>
        <w:rPr>
          <w:spacing w:val="17"/>
          <w:sz w:val="23"/>
        </w:rPr>
        <w:t> </w:t>
      </w:r>
      <w:r>
        <w:rPr>
          <w:spacing w:val="2"/>
          <w:sz w:val="23"/>
        </w:rPr>
        <w:t>documentado.</w:t>
      </w:r>
    </w:p>
    <w:p>
      <w:pPr>
        <w:pStyle w:val="BodyText"/>
        <w:spacing w:before="4"/>
        <w:rPr>
          <w:sz w:val="24"/>
        </w:rPr>
      </w:pPr>
    </w:p>
    <w:p>
      <w:pPr>
        <w:pStyle w:val="BodyText"/>
        <w:spacing w:line="254" w:lineRule="auto"/>
        <w:ind w:left="117" w:right="104"/>
        <w:jc w:val="both"/>
      </w:pPr>
      <w:r>
        <w:rPr/>
        <w:t>El documento nos aporta el conocimiento puntual del acontecer hidalguense, en relación con el de la nación, a fin de orientar mejores decisiones en el funcionamiento federal. En ese sentido, este libro incluye propuestas innovadoras en el tema, presenta una estructura que permite adentrarse paulatinamente en el mismo e ir entendiendo los distintos grados de apego subsidiario en la operación de los sistemas federales. Para ello, se consideró el esquema organizativo y de distribución de recursos entre los órdenes de gobierno federal, estatal y  municipal.</w:t>
      </w:r>
    </w:p>
    <w:p>
      <w:pPr>
        <w:pStyle w:val="BodyText"/>
        <w:spacing w:before="4"/>
        <w:rPr>
          <w:sz w:val="24"/>
        </w:rPr>
      </w:pPr>
    </w:p>
    <w:p>
      <w:pPr>
        <w:pStyle w:val="BodyText"/>
        <w:spacing w:line="254" w:lineRule="auto"/>
        <w:ind w:left="117" w:right="104"/>
        <w:jc w:val="both"/>
      </w:pPr>
      <w:r>
        <w:rPr/>
        <w:t>En las conclusiones del trabajo se señalan las endebles capacidades subsidiarias en el contexto gubernamental hidalguense –estado y muni- cipios– haciendo énfasis en los ámbitos más críticos. En contraparte, se destacan también los aspectos que presentan cierta proyección subsidiaria, por mínima que sea.</w:t>
      </w:r>
    </w:p>
    <w:p>
      <w:pPr>
        <w:pStyle w:val="BodyText"/>
        <w:spacing w:before="4"/>
        <w:rPr>
          <w:sz w:val="24"/>
        </w:rPr>
      </w:pPr>
    </w:p>
    <w:p>
      <w:pPr>
        <w:pStyle w:val="BodyText"/>
        <w:spacing w:line="254" w:lineRule="auto"/>
        <w:ind w:left="117" w:right="104"/>
        <w:jc w:val="both"/>
      </w:pPr>
      <w:r>
        <w:rPr/>
        <w:t>Esta obra constituye un plausible esfuerzo de análisis y valoración de un aspecto  crucial  de  las  relaciones  intergubernamentales,  el      federalismo</w:t>
      </w:r>
    </w:p>
    <w:p>
      <w:pPr>
        <w:spacing w:after="0" w:line="254" w:lineRule="auto"/>
        <w:jc w:val="both"/>
        <w:sectPr>
          <w:footerReference w:type="default" r:id="rId12"/>
          <w:footerReference w:type="even" r:id="rId13"/>
          <w:pgSz w:w="9360" w:h="13040"/>
          <w:pgMar w:footer="515" w:header="0" w:top="1200" w:bottom="700" w:left="1300" w:right="740"/>
          <w:pgNumType w:start="17"/>
        </w:sectPr>
      </w:pPr>
    </w:p>
    <w:p>
      <w:pPr>
        <w:pStyle w:val="BodyText"/>
        <w:rPr>
          <w:sz w:val="20"/>
        </w:rPr>
      </w:pPr>
    </w:p>
    <w:p>
      <w:pPr>
        <w:pStyle w:val="BodyText"/>
        <w:spacing w:before="1"/>
        <w:rPr>
          <w:sz w:val="29"/>
        </w:rPr>
      </w:pPr>
    </w:p>
    <w:p>
      <w:pPr>
        <w:pStyle w:val="BodyText"/>
        <w:spacing w:line="254" w:lineRule="auto" w:before="70"/>
        <w:ind w:left="110" w:right="112"/>
        <w:jc w:val="both"/>
      </w:pPr>
      <w:r>
        <w:rPr/>
        <w:t>subsidiario. Se constituye en un interesante aporte que el Instituto Nacional de Administración Pública y el Instituto de Administración Pública del Estado de Hidalgo ponen a disposición de los administradores públicos y estudiosos de los temas de nuestra  disciplina.</w:t>
      </w:r>
    </w:p>
    <w:p>
      <w:pPr>
        <w:pStyle w:val="BodyText"/>
        <w:spacing w:before="7"/>
      </w:pPr>
    </w:p>
    <w:p>
      <w:pPr>
        <w:pStyle w:val="Heading3"/>
        <w:ind w:left="0" w:right="113"/>
        <w:jc w:val="right"/>
      </w:pPr>
      <w:r>
        <w:rPr/>
        <w:t>José R. Castelazo</w:t>
      </w:r>
    </w:p>
    <w:p>
      <w:pPr>
        <w:spacing w:before="11"/>
        <w:ind w:left="0" w:right="112" w:firstLine="0"/>
        <w:jc w:val="right"/>
        <w:rPr>
          <w:b/>
          <w:sz w:val="23"/>
        </w:rPr>
      </w:pPr>
      <w:r>
        <w:rPr>
          <w:b/>
          <w:sz w:val="23"/>
        </w:rPr>
        <w:t>Presidente</w:t>
      </w:r>
    </w:p>
    <w:p>
      <w:pPr>
        <w:spacing w:after="0"/>
        <w:jc w:val="right"/>
        <w:rPr>
          <w:sz w:val="23"/>
        </w:rPr>
        <w:sectPr>
          <w:headerReference w:type="default" r:id="rId14"/>
          <w:pgSz w:w="9360" w:h="13040"/>
          <w:pgMar w:header="527" w:footer="515" w:top="720" w:bottom="700" w:left="74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11"/>
        </w:rPr>
      </w:pPr>
    </w:p>
    <w:p>
      <w:pPr>
        <w:pStyle w:val="BodyText"/>
        <w:ind w:left="833"/>
        <w:rPr>
          <w:sz w:val="20"/>
        </w:rPr>
      </w:pPr>
      <w:r>
        <w:rPr>
          <w:sz w:val="20"/>
        </w:rPr>
        <w:drawing>
          <wp:inline distT="0" distB="0" distL="0" distR="0">
            <wp:extent cx="3592304" cy="5169408"/>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6" cstate="print"/>
                    <a:stretch>
                      <a:fillRect/>
                    </a:stretch>
                  </pic:blipFill>
                  <pic:spPr>
                    <a:xfrm>
                      <a:off x="0" y="0"/>
                      <a:ext cx="3592304" cy="5169408"/>
                    </a:xfrm>
                    <a:prstGeom prst="rect">
                      <a:avLst/>
                    </a:prstGeom>
                  </pic:spPr>
                </pic:pic>
              </a:graphicData>
            </a:graphic>
          </wp:inline>
        </w:drawing>
      </w:r>
      <w:r>
        <w:rPr>
          <w:sz w:val="20"/>
        </w:rPr>
      </w:r>
    </w:p>
    <w:p>
      <w:pPr>
        <w:pStyle w:val="BodyText"/>
        <w:rPr>
          <w:b/>
          <w:sz w:val="20"/>
        </w:rPr>
      </w:pPr>
    </w:p>
    <w:p>
      <w:pPr>
        <w:pStyle w:val="BodyText"/>
        <w:spacing w:before="9"/>
        <w:rPr>
          <w:b/>
        </w:rPr>
      </w:pPr>
    </w:p>
    <w:p>
      <w:pPr>
        <w:pStyle w:val="BodyText"/>
        <w:spacing w:before="70"/>
        <w:ind w:left="739" w:right="732"/>
        <w:jc w:val="center"/>
      </w:pPr>
      <w:r>
        <w:rPr/>
        <w:t>Mineral El Chico.</w:t>
      </w:r>
    </w:p>
    <w:p>
      <w:pPr>
        <w:spacing w:after="0"/>
        <w:jc w:val="center"/>
        <w:sectPr>
          <w:headerReference w:type="even" r:id="rId15"/>
          <w:pgSz w:w="9360" w:h="13040"/>
          <w:pgMar w:header="0" w:footer="515" w:top="1200" w:bottom="700" w:left="1300" w:right="740"/>
        </w:sectPr>
      </w:pPr>
    </w:p>
    <w:p>
      <w:pPr>
        <w:pStyle w:val="BodyText"/>
        <w:spacing w:before="4"/>
        <w:rPr>
          <w:sz w:val="17"/>
        </w:rPr>
      </w:pPr>
    </w:p>
    <w:p>
      <w:pPr>
        <w:spacing w:after="0"/>
        <w:rPr>
          <w:sz w:val="17"/>
        </w:rPr>
        <w:sectPr>
          <w:headerReference w:type="default" r:id="rId17"/>
          <w:footerReference w:type="default" r:id="rId18"/>
          <w:pgSz w:w="9360" w:h="13040"/>
          <w:pgMar w:header="0" w:footer="0" w:top="1200" w:bottom="280" w:left="1300" w:right="1300"/>
        </w:sectPr>
      </w:pPr>
    </w:p>
    <w:p>
      <w:pPr>
        <w:pStyle w:val="Heading3"/>
        <w:spacing w:before="139"/>
        <w:ind w:left="738" w:right="732"/>
        <w:jc w:val="center"/>
      </w:pPr>
      <w:bookmarkStart w:name="_TOC_250040" w:id="3"/>
      <w:bookmarkEnd w:id="3"/>
      <w:r>
        <w:rPr/>
        <w:t>Introducción.</w:t>
      </w:r>
    </w:p>
    <w:p>
      <w:pPr>
        <w:pStyle w:val="BodyText"/>
        <w:spacing w:before="6"/>
        <w:rPr>
          <w:b/>
          <w:sz w:val="22"/>
        </w:rPr>
      </w:pPr>
    </w:p>
    <w:p>
      <w:pPr>
        <w:spacing w:line="235" w:lineRule="auto" w:before="1"/>
        <w:ind w:left="117" w:right="104" w:firstLine="0"/>
        <w:jc w:val="both"/>
        <w:rPr>
          <w:sz w:val="23"/>
        </w:rPr>
      </w:pPr>
      <w:r>
        <w:rPr>
          <w:sz w:val="23"/>
        </w:rPr>
        <w:t>La subsidiariedad es un principio de ética social que sistematiza cons- tructivamente</w:t>
      </w:r>
      <w:r>
        <w:rPr>
          <w:spacing w:val="-26"/>
          <w:sz w:val="23"/>
        </w:rPr>
        <w:t> </w:t>
      </w:r>
      <w:r>
        <w:rPr>
          <w:sz w:val="23"/>
        </w:rPr>
        <w:t>la</w:t>
      </w:r>
      <w:r>
        <w:rPr>
          <w:spacing w:val="-25"/>
          <w:sz w:val="23"/>
        </w:rPr>
        <w:t> </w:t>
      </w:r>
      <w:r>
        <w:rPr>
          <w:sz w:val="23"/>
        </w:rPr>
        <w:t>relación</w:t>
      </w:r>
      <w:r>
        <w:rPr>
          <w:spacing w:val="-25"/>
          <w:sz w:val="23"/>
        </w:rPr>
        <w:t> </w:t>
      </w:r>
      <w:r>
        <w:rPr>
          <w:sz w:val="23"/>
        </w:rPr>
        <w:t>entre</w:t>
      </w:r>
      <w:r>
        <w:rPr>
          <w:spacing w:val="-25"/>
          <w:sz w:val="23"/>
        </w:rPr>
        <w:t> </w:t>
      </w:r>
      <w:r>
        <w:rPr>
          <w:sz w:val="23"/>
        </w:rPr>
        <w:t>unidades</w:t>
      </w:r>
      <w:r>
        <w:rPr>
          <w:spacing w:val="-25"/>
          <w:sz w:val="23"/>
        </w:rPr>
        <w:t> </w:t>
      </w:r>
      <w:r>
        <w:rPr>
          <w:sz w:val="23"/>
        </w:rPr>
        <w:t>desiguales:</w:t>
      </w:r>
      <w:r>
        <w:rPr>
          <w:spacing w:val="-25"/>
          <w:sz w:val="23"/>
        </w:rPr>
        <w:t> </w:t>
      </w:r>
      <w:r>
        <w:rPr>
          <w:sz w:val="23"/>
        </w:rPr>
        <w:t>persona</w:t>
      </w:r>
      <w:r>
        <w:rPr>
          <w:spacing w:val="-25"/>
          <w:sz w:val="23"/>
        </w:rPr>
        <w:t> </w:t>
      </w:r>
      <w:r>
        <w:rPr>
          <w:sz w:val="23"/>
        </w:rPr>
        <w:t>y</w:t>
      </w:r>
      <w:r>
        <w:rPr>
          <w:spacing w:val="-25"/>
          <w:sz w:val="23"/>
        </w:rPr>
        <w:t> </w:t>
      </w:r>
      <w:r>
        <w:rPr>
          <w:sz w:val="23"/>
        </w:rPr>
        <w:t>persona,</w:t>
      </w:r>
      <w:r>
        <w:rPr>
          <w:spacing w:val="-25"/>
          <w:sz w:val="23"/>
        </w:rPr>
        <w:t> </w:t>
      </w:r>
      <w:r>
        <w:rPr>
          <w:sz w:val="23"/>
        </w:rPr>
        <w:t>persona y sociedad, persona y Estado, sociedades simples y complejas, sociedad y Estado,</w:t>
      </w:r>
      <w:r>
        <w:rPr>
          <w:spacing w:val="-15"/>
          <w:sz w:val="23"/>
        </w:rPr>
        <w:t> </w:t>
      </w:r>
      <w:r>
        <w:rPr>
          <w:sz w:val="23"/>
        </w:rPr>
        <w:t>distintos</w:t>
      </w:r>
      <w:r>
        <w:rPr>
          <w:spacing w:val="-14"/>
          <w:sz w:val="23"/>
        </w:rPr>
        <w:t> </w:t>
      </w:r>
      <w:r>
        <w:rPr>
          <w:sz w:val="23"/>
        </w:rPr>
        <w:t>niveles</w:t>
      </w:r>
      <w:r>
        <w:rPr>
          <w:spacing w:val="-14"/>
          <w:sz w:val="23"/>
        </w:rPr>
        <w:t> </w:t>
      </w:r>
      <w:r>
        <w:rPr>
          <w:sz w:val="23"/>
        </w:rPr>
        <w:t>del</w:t>
      </w:r>
      <w:r>
        <w:rPr>
          <w:spacing w:val="-14"/>
          <w:sz w:val="23"/>
        </w:rPr>
        <w:t> </w:t>
      </w:r>
      <w:r>
        <w:rPr>
          <w:sz w:val="23"/>
        </w:rPr>
        <w:t>Estado</w:t>
      </w:r>
      <w:r>
        <w:rPr>
          <w:spacing w:val="-15"/>
          <w:sz w:val="23"/>
        </w:rPr>
        <w:t> </w:t>
      </w:r>
      <w:r>
        <w:rPr>
          <w:sz w:val="23"/>
        </w:rPr>
        <w:t>federal,</w:t>
      </w:r>
      <w:r>
        <w:rPr>
          <w:spacing w:val="-14"/>
          <w:sz w:val="23"/>
        </w:rPr>
        <w:t> </w:t>
      </w:r>
      <w:r>
        <w:rPr>
          <w:sz w:val="23"/>
        </w:rPr>
        <w:t>estados</w:t>
      </w:r>
      <w:r>
        <w:rPr>
          <w:spacing w:val="-15"/>
          <w:sz w:val="23"/>
        </w:rPr>
        <w:t> </w:t>
      </w:r>
      <w:r>
        <w:rPr>
          <w:sz w:val="23"/>
        </w:rPr>
        <w:t>nacionales</w:t>
      </w:r>
      <w:r>
        <w:rPr>
          <w:spacing w:val="-14"/>
          <w:sz w:val="23"/>
        </w:rPr>
        <w:t> </w:t>
      </w:r>
      <w:r>
        <w:rPr>
          <w:sz w:val="23"/>
        </w:rPr>
        <w:t>y</w:t>
      </w:r>
      <w:r>
        <w:rPr>
          <w:spacing w:val="-14"/>
          <w:sz w:val="23"/>
        </w:rPr>
        <w:t> </w:t>
      </w:r>
      <w:r>
        <w:rPr>
          <w:sz w:val="23"/>
        </w:rPr>
        <w:t>comunidades internacionales,</w:t>
      </w:r>
      <w:r>
        <w:rPr>
          <w:spacing w:val="-21"/>
          <w:sz w:val="23"/>
        </w:rPr>
        <w:t> </w:t>
      </w:r>
      <w:r>
        <w:rPr>
          <w:sz w:val="23"/>
        </w:rPr>
        <w:t>comunidades</w:t>
      </w:r>
      <w:r>
        <w:rPr>
          <w:spacing w:val="-19"/>
          <w:sz w:val="23"/>
        </w:rPr>
        <w:t> </w:t>
      </w:r>
      <w:r>
        <w:rPr>
          <w:sz w:val="23"/>
        </w:rPr>
        <w:t>internacionales</w:t>
      </w:r>
      <w:r>
        <w:rPr>
          <w:spacing w:val="-21"/>
          <w:sz w:val="23"/>
        </w:rPr>
        <w:t> </w:t>
      </w:r>
      <w:r>
        <w:rPr>
          <w:sz w:val="23"/>
        </w:rPr>
        <w:t>diversas.</w:t>
      </w:r>
      <w:r>
        <w:rPr>
          <w:spacing w:val="-20"/>
          <w:sz w:val="23"/>
        </w:rPr>
        <w:t> </w:t>
      </w:r>
      <w:r>
        <w:rPr>
          <w:sz w:val="23"/>
        </w:rPr>
        <w:t>De</w:t>
      </w:r>
      <w:r>
        <w:rPr>
          <w:spacing w:val="-20"/>
          <w:sz w:val="23"/>
        </w:rPr>
        <w:t> </w:t>
      </w:r>
      <w:r>
        <w:rPr>
          <w:sz w:val="23"/>
        </w:rPr>
        <w:t>tal</w:t>
      </w:r>
      <w:r>
        <w:rPr>
          <w:spacing w:val="-20"/>
          <w:sz w:val="23"/>
        </w:rPr>
        <w:t> </w:t>
      </w:r>
      <w:r>
        <w:rPr>
          <w:sz w:val="23"/>
        </w:rPr>
        <w:t>modo</w:t>
      </w:r>
      <w:r>
        <w:rPr>
          <w:spacing w:val="-20"/>
          <w:sz w:val="23"/>
        </w:rPr>
        <w:t> </w:t>
      </w:r>
      <w:r>
        <w:rPr>
          <w:sz w:val="23"/>
        </w:rPr>
        <w:t>que</w:t>
      </w:r>
      <w:r>
        <w:rPr>
          <w:spacing w:val="-20"/>
          <w:sz w:val="23"/>
        </w:rPr>
        <w:t> </w:t>
      </w:r>
      <w:r>
        <w:rPr>
          <w:sz w:val="23"/>
        </w:rPr>
        <w:t>en</w:t>
      </w:r>
      <w:r>
        <w:rPr>
          <w:spacing w:val="-20"/>
          <w:sz w:val="23"/>
        </w:rPr>
        <w:t> </w:t>
      </w:r>
      <w:r>
        <w:rPr>
          <w:sz w:val="23"/>
        </w:rPr>
        <w:t>esa estratificación se hace evidente la desigualdad de capacidades y la necesidad de mutua complementación, por lo que el Principio de Subsidiariedad puede definirse como una </w:t>
      </w:r>
      <w:r>
        <w:rPr>
          <w:i/>
          <w:sz w:val="23"/>
        </w:rPr>
        <w:t>solidaridad entre desiguales</w:t>
      </w:r>
      <w:r>
        <w:rPr>
          <w:position w:val="8"/>
          <w:sz w:val="13"/>
        </w:rPr>
        <w:t>1</w:t>
      </w:r>
      <w:r>
        <w:rPr>
          <w:sz w:val="23"/>
        </w:rPr>
        <w:t>, claramente orientada  hacia </w:t>
      </w:r>
      <w:r>
        <w:rPr>
          <w:i/>
          <w:sz w:val="23"/>
        </w:rPr>
        <w:t>el individuo humano como criterio supremo</w:t>
      </w:r>
      <w:r>
        <w:rPr>
          <w:sz w:val="23"/>
        </w:rPr>
        <w:t>. Por ello, la  fórmula básica del Principio de Subsidiariedad tiene un doble contenido: </w:t>
      </w:r>
      <w:r>
        <w:rPr>
          <w:i/>
          <w:sz w:val="23"/>
        </w:rPr>
        <w:t>de acuerdo </w:t>
      </w:r>
      <w:r>
        <w:rPr>
          <w:i/>
          <w:sz w:val="23"/>
        </w:rPr>
        <w:t>con el costado constructivo, la sociedad no tiene ningún derecho propio,     se encuentra más bien al servicio </w:t>
      </w:r>
      <w:r>
        <w:rPr>
          <w:sz w:val="23"/>
        </w:rPr>
        <w:t>(ajeno)</w:t>
      </w:r>
      <w:r>
        <w:rPr>
          <w:i/>
          <w:sz w:val="23"/>
        </w:rPr>
        <w:t>… y el costado crítico impone a </w:t>
      </w:r>
      <w:r>
        <w:rPr>
          <w:i/>
          <w:sz w:val="23"/>
        </w:rPr>
        <w:t>toda actividad social un límite absoluto; en ningún caso puede destruir a los miembros del cuerpo social, y ni siquiera privarlos de su independencia</w:t>
      </w:r>
      <w:r>
        <w:rPr>
          <w:position w:val="8"/>
          <w:sz w:val="13"/>
        </w:rPr>
        <w:t>2</w:t>
      </w:r>
      <w:r>
        <w:rPr>
          <w:i/>
          <w:sz w:val="23"/>
        </w:rPr>
        <w:t>. </w:t>
      </w:r>
      <w:r>
        <w:rPr>
          <w:sz w:val="23"/>
        </w:rPr>
        <w:t>En otras palabras, el Principio de Subsidiariedad impone un equilibrio en la intervención complementaria y auxiliar de las formaciones sociales mayo- res</w:t>
      </w:r>
      <w:r>
        <w:rPr>
          <w:spacing w:val="-6"/>
          <w:sz w:val="23"/>
        </w:rPr>
        <w:t> </w:t>
      </w:r>
      <w:r>
        <w:rPr>
          <w:sz w:val="23"/>
        </w:rPr>
        <w:t>o</w:t>
      </w:r>
      <w:r>
        <w:rPr>
          <w:spacing w:val="-6"/>
          <w:sz w:val="23"/>
        </w:rPr>
        <w:t> </w:t>
      </w:r>
      <w:r>
        <w:rPr>
          <w:sz w:val="23"/>
        </w:rPr>
        <w:t>más</w:t>
      </w:r>
      <w:r>
        <w:rPr>
          <w:spacing w:val="-8"/>
          <w:sz w:val="23"/>
        </w:rPr>
        <w:t> </w:t>
      </w:r>
      <w:r>
        <w:rPr>
          <w:sz w:val="23"/>
        </w:rPr>
        <w:t>complejas</w:t>
      </w:r>
      <w:r>
        <w:rPr>
          <w:spacing w:val="-8"/>
          <w:sz w:val="23"/>
        </w:rPr>
        <w:t> </w:t>
      </w:r>
      <w:r>
        <w:rPr>
          <w:sz w:val="23"/>
        </w:rPr>
        <w:t>a</w:t>
      </w:r>
      <w:r>
        <w:rPr>
          <w:spacing w:val="-6"/>
          <w:sz w:val="23"/>
        </w:rPr>
        <w:t> </w:t>
      </w:r>
      <w:r>
        <w:rPr>
          <w:sz w:val="23"/>
        </w:rPr>
        <w:t>favor,</w:t>
      </w:r>
      <w:r>
        <w:rPr>
          <w:spacing w:val="-6"/>
          <w:sz w:val="23"/>
        </w:rPr>
        <w:t> </w:t>
      </w:r>
      <w:r>
        <w:rPr>
          <w:sz w:val="23"/>
        </w:rPr>
        <w:t>en</w:t>
      </w:r>
      <w:r>
        <w:rPr>
          <w:spacing w:val="-6"/>
          <w:sz w:val="23"/>
        </w:rPr>
        <w:t> </w:t>
      </w:r>
      <w:r>
        <w:rPr>
          <w:sz w:val="23"/>
        </w:rPr>
        <w:t>primerísima</w:t>
      </w:r>
      <w:r>
        <w:rPr>
          <w:spacing w:val="-6"/>
          <w:sz w:val="23"/>
        </w:rPr>
        <w:t> </w:t>
      </w:r>
      <w:r>
        <w:rPr>
          <w:sz w:val="23"/>
        </w:rPr>
        <w:t>instancia,</w:t>
      </w:r>
      <w:r>
        <w:rPr>
          <w:spacing w:val="-8"/>
          <w:sz w:val="23"/>
        </w:rPr>
        <w:t> </w:t>
      </w:r>
      <w:r>
        <w:rPr>
          <w:sz w:val="23"/>
        </w:rPr>
        <w:t>de</w:t>
      </w:r>
      <w:r>
        <w:rPr>
          <w:spacing w:val="-6"/>
          <w:sz w:val="23"/>
        </w:rPr>
        <w:t> </w:t>
      </w:r>
      <w:r>
        <w:rPr>
          <w:sz w:val="23"/>
        </w:rPr>
        <w:t>la</w:t>
      </w:r>
      <w:r>
        <w:rPr>
          <w:spacing w:val="-6"/>
          <w:sz w:val="23"/>
        </w:rPr>
        <w:t> </w:t>
      </w:r>
      <w:r>
        <w:rPr>
          <w:sz w:val="23"/>
        </w:rPr>
        <w:t>autonomía</w:t>
      </w:r>
      <w:r>
        <w:rPr>
          <w:spacing w:val="-8"/>
          <w:sz w:val="23"/>
        </w:rPr>
        <w:t> </w:t>
      </w:r>
      <w:r>
        <w:rPr>
          <w:sz w:val="23"/>
        </w:rPr>
        <w:t>de</w:t>
      </w:r>
      <w:r>
        <w:rPr>
          <w:spacing w:val="-6"/>
          <w:sz w:val="23"/>
        </w:rPr>
        <w:t> </w:t>
      </w:r>
      <w:r>
        <w:rPr>
          <w:sz w:val="23"/>
        </w:rPr>
        <w:t>los individuos humanos </w:t>
      </w:r>
      <w:r>
        <w:rPr>
          <w:spacing w:val="-7"/>
          <w:sz w:val="23"/>
        </w:rPr>
        <w:t>y, </w:t>
      </w:r>
      <w:r>
        <w:rPr>
          <w:sz w:val="23"/>
        </w:rPr>
        <w:t>correlativamente, de la autosuficiencia de las demás unidades sociales en el orden de una complejidad </w:t>
      </w:r>
      <w:r>
        <w:rPr>
          <w:spacing w:val="11"/>
          <w:sz w:val="23"/>
        </w:rPr>
        <w:t> </w:t>
      </w:r>
      <w:r>
        <w:rPr>
          <w:sz w:val="23"/>
        </w:rPr>
        <w:t>ascendente.</w:t>
      </w:r>
    </w:p>
    <w:p>
      <w:pPr>
        <w:pStyle w:val="BodyText"/>
        <w:spacing w:before="10"/>
        <w:rPr>
          <w:sz w:val="22"/>
        </w:rPr>
      </w:pPr>
    </w:p>
    <w:p>
      <w:pPr>
        <w:pStyle w:val="BodyText"/>
        <w:spacing w:line="260" w:lineRule="exact"/>
        <w:ind w:left="117" w:right="107"/>
        <w:jc w:val="both"/>
      </w:pPr>
      <w:r>
        <w:rPr/>
        <w:pict>
          <v:line style="position:absolute;mso-position-horizontal-relative:page;mso-position-vertical-relative:paragraph;z-index:1168;mso-wrap-distance-left:0;mso-wrap-distance-right:0" from="70.866096pt,173.271393pt" to="142.866096pt,173.271393pt" stroked="true" strokeweight="1pt" strokecolor="#000000">
            <w10:wrap type="topAndBottom"/>
          </v:line>
        </w:pict>
      </w:r>
      <w:r>
        <w:rPr/>
        <w:t>Como</w:t>
      </w:r>
      <w:r>
        <w:rPr>
          <w:spacing w:val="-11"/>
        </w:rPr>
        <w:t> </w:t>
      </w:r>
      <w:r>
        <w:rPr/>
        <w:t>término</w:t>
      </w:r>
      <w:r>
        <w:rPr>
          <w:spacing w:val="-12"/>
        </w:rPr>
        <w:t> </w:t>
      </w:r>
      <w:r>
        <w:rPr/>
        <w:t>exacto,</w:t>
      </w:r>
      <w:r>
        <w:rPr>
          <w:spacing w:val="-11"/>
        </w:rPr>
        <w:t> </w:t>
      </w:r>
      <w:r>
        <w:rPr/>
        <w:t>el</w:t>
      </w:r>
      <w:r>
        <w:rPr>
          <w:spacing w:val="-11"/>
        </w:rPr>
        <w:t> </w:t>
      </w:r>
      <w:r>
        <w:rPr/>
        <w:t>Principio</w:t>
      </w:r>
      <w:r>
        <w:rPr>
          <w:spacing w:val="-11"/>
        </w:rPr>
        <w:t> </w:t>
      </w:r>
      <w:r>
        <w:rPr/>
        <w:t>de</w:t>
      </w:r>
      <w:r>
        <w:rPr>
          <w:spacing w:val="-11"/>
        </w:rPr>
        <w:t> </w:t>
      </w:r>
      <w:r>
        <w:rPr/>
        <w:t>Subsidiariedad</w:t>
      </w:r>
      <w:r>
        <w:rPr>
          <w:spacing w:val="-10"/>
        </w:rPr>
        <w:t> </w:t>
      </w:r>
      <w:r>
        <w:rPr/>
        <w:t>fue</w:t>
      </w:r>
      <w:r>
        <w:rPr>
          <w:spacing w:val="-11"/>
        </w:rPr>
        <w:t> </w:t>
      </w:r>
      <w:r>
        <w:rPr/>
        <w:t>incluido</w:t>
      </w:r>
      <w:r>
        <w:rPr>
          <w:spacing w:val="-12"/>
        </w:rPr>
        <w:t> </w:t>
      </w:r>
      <w:r>
        <w:rPr/>
        <w:t>por</w:t>
      </w:r>
      <w:r>
        <w:rPr>
          <w:spacing w:val="-11"/>
        </w:rPr>
        <w:t> </w:t>
      </w:r>
      <w:r>
        <w:rPr/>
        <w:t>primera vez en la </w:t>
      </w:r>
      <w:r>
        <w:rPr>
          <w:i/>
        </w:rPr>
        <w:t>Carta Encíclica Quadragesimo Anno</w:t>
      </w:r>
      <w:r>
        <w:rPr/>
        <w:t>, un documento pontificio de la iglesia católica publicado en 1931. La fundamentación filosófica de ese principio consumó la labor epistemológica milenaria del clero católico, partiendo desde el punto en el cual Santo </w:t>
      </w:r>
      <w:r>
        <w:rPr>
          <w:spacing w:val="-4"/>
        </w:rPr>
        <w:t>Tomás </w:t>
      </w:r>
      <w:r>
        <w:rPr/>
        <w:t>de Aquino (1225-1274) sintetizó</w:t>
      </w:r>
      <w:r>
        <w:rPr>
          <w:spacing w:val="-29"/>
        </w:rPr>
        <w:t> </w:t>
      </w:r>
      <w:r>
        <w:rPr/>
        <w:t>filosófica</w:t>
      </w:r>
      <w:r>
        <w:rPr>
          <w:spacing w:val="-29"/>
        </w:rPr>
        <w:t> </w:t>
      </w:r>
      <w:r>
        <w:rPr>
          <w:spacing w:val="3"/>
        </w:rPr>
        <w:t>yteológicamenteal</w:t>
      </w:r>
      <w:r>
        <w:rPr>
          <w:spacing w:val="-28"/>
        </w:rPr>
        <w:t> </w:t>
      </w:r>
      <w:r>
        <w:rPr>
          <w:i/>
        </w:rPr>
        <w:t>aristotelismo</w:t>
      </w:r>
      <w:r>
        <w:rPr/>
        <w:t>.</w:t>
      </w:r>
      <w:r>
        <w:rPr>
          <w:spacing w:val="-29"/>
        </w:rPr>
        <w:t> </w:t>
      </w:r>
      <w:r>
        <w:rPr/>
        <w:t>Comoaplicación</w:t>
      </w:r>
      <w:r>
        <w:rPr>
          <w:spacing w:val="-29"/>
        </w:rPr>
        <w:t> </w:t>
      </w:r>
      <w:r>
        <w:rPr/>
        <w:t>práctica, la aparición del Principio de Subsidiariedad obedeció al combate ideológico que la iglesia católica universal emprendió contra el socialismo durante el periodo comprendido entre las dos guerras mundiales, en esa coyuntura histórica el uso primario del ideal subsidiario fue compeler la delimitación exacta de las competencias estatales para privilegiar la autorrealización de   la persona humana. Por tal comportamiento, se considera que la misma sede eclesiástica</w:t>
      </w:r>
      <w:r>
        <w:rPr>
          <w:spacing w:val="-12"/>
        </w:rPr>
        <w:t> </w:t>
      </w:r>
      <w:r>
        <w:rPr/>
        <w:t>dio</w:t>
      </w:r>
      <w:r>
        <w:rPr>
          <w:spacing w:val="-11"/>
        </w:rPr>
        <w:t> </w:t>
      </w:r>
      <w:r>
        <w:rPr/>
        <w:t>origen</w:t>
      </w:r>
      <w:r>
        <w:rPr>
          <w:spacing w:val="-11"/>
        </w:rPr>
        <w:t> </w:t>
      </w:r>
      <w:r>
        <w:rPr/>
        <w:t>a</w:t>
      </w:r>
      <w:r>
        <w:rPr>
          <w:spacing w:val="-11"/>
        </w:rPr>
        <w:t> </w:t>
      </w:r>
      <w:r>
        <w:rPr/>
        <w:t>la</w:t>
      </w:r>
      <w:r>
        <w:rPr>
          <w:spacing w:val="-11"/>
        </w:rPr>
        <w:t> </w:t>
      </w:r>
      <w:r>
        <w:rPr/>
        <w:t>práctica,</w:t>
      </w:r>
      <w:r>
        <w:rPr>
          <w:spacing w:val="-11"/>
        </w:rPr>
        <w:t> </w:t>
      </w:r>
      <w:r>
        <w:rPr/>
        <w:t>posteriormente</w:t>
      </w:r>
      <w:r>
        <w:rPr>
          <w:spacing w:val="-11"/>
        </w:rPr>
        <w:t> </w:t>
      </w:r>
      <w:r>
        <w:rPr/>
        <w:t>generalizada,</w:t>
      </w:r>
      <w:r>
        <w:rPr>
          <w:spacing w:val="-11"/>
        </w:rPr>
        <w:t> </w:t>
      </w:r>
      <w:r>
        <w:rPr/>
        <w:t>de</w:t>
      </w:r>
      <w:r>
        <w:rPr>
          <w:spacing w:val="-11"/>
        </w:rPr>
        <w:t> </w:t>
      </w:r>
      <w:r>
        <w:rPr/>
        <w:t>utilizar</w:t>
      </w:r>
      <w:r>
        <w:rPr>
          <w:spacing w:val="-11"/>
        </w:rPr>
        <w:t> </w:t>
      </w:r>
      <w:r>
        <w:rPr/>
        <w:t>al</w:t>
      </w:r>
    </w:p>
    <w:p>
      <w:pPr>
        <w:spacing w:line="200" w:lineRule="exact" w:before="1"/>
        <w:ind w:left="344" w:right="108" w:hanging="227"/>
        <w:jc w:val="both"/>
        <w:rPr>
          <w:sz w:val="18"/>
        </w:rPr>
      </w:pPr>
      <w:r>
        <w:rPr>
          <w:position w:val="7"/>
          <w:sz w:val="11"/>
        </w:rPr>
        <w:t>1 </w:t>
      </w:r>
      <w:r>
        <w:rPr>
          <w:sz w:val="18"/>
        </w:rPr>
        <w:t>González Morfín, Efraín; </w:t>
      </w:r>
      <w:r>
        <w:rPr>
          <w:i/>
          <w:sz w:val="18"/>
        </w:rPr>
        <w:t>Subsidiariedad, </w:t>
      </w:r>
      <w:r>
        <w:rPr>
          <w:sz w:val="18"/>
        </w:rPr>
        <w:t>México, Instituto Mexicano de Doctrina Social Cristiana, 2009, p. 5-6.</w:t>
      </w:r>
    </w:p>
    <w:p>
      <w:pPr>
        <w:spacing w:line="249" w:lineRule="auto" w:before="27"/>
        <w:ind w:left="344" w:right="108" w:hanging="227"/>
        <w:jc w:val="both"/>
        <w:rPr>
          <w:sz w:val="18"/>
        </w:rPr>
      </w:pPr>
      <w:r>
        <w:rPr>
          <w:position w:val="7"/>
          <w:sz w:val="11"/>
        </w:rPr>
        <w:t>2 </w:t>
      </w:r>
      <w:r>
        <w:rPr>
          <w:sz w:val="18"/>
        </w:rPr>
        <w:t>Höffe, Otfried; </w:t>
      </w:r>
      <w:r>
        <w:rPr>
          <w:i/>
          <w:sz w:val="18"/>
        </w:rPr>
        <w:t>La subsidiariedad como principio de la filosofía política. </w:t>
      </w:r>
      <w:r>
        <w:rPr>
          <w:sz w:val="18"/>
        </w:rPr>
        <w:t>En Höffe, Otfried; Ícense, Josef (compiladores); </w:t>
      </w:r>
      <w:r>
        <w:rPr>
          <w:i/>
          <w:sz w:val="18"/>
        </w:rPr>
        <w:t>Panoramas de filosofía política, </w:t>
      </w:r>
      <w:r>
        <w:rPr>
          <w:sz w:val="18"/>
        </w:rPr>
        <w:t>Alemania, Konrad Adenauer Stiftung, 2002, p. 476.</w:t>
      </w:r>
    </w:p>
    <w:p>
      <w:pPr>
        <w:spacing w:after="0" w:line="249" w:lineRule="auto"/>
        <w:jc w:val="both"/>
        <w:rPr>
          <w:sz w:val="18"/>
        </w:rPr>
        <w:sectPr>
          <w:headerReference w:type="default" r:id="rId19"/>
          <w:footerReference w:type="default" r:id="rId20"/>
          <w:footerReference w:type="even" r:id="rId21"/>
          <w:pgSz w:w="9360" w:h="13040"/>
          <w:pgMar w:header="0" w:footer="515" w:top="1200" w:bottom="700" w:left="1300" w:right="740"/>
          <w:pgNumType w:start="21"/>
        </w:sectPr>
      </w:pPr>
    </w:p>
    <w:p>
      <w:pPr>
        <w:pStyle w:val="BodyText"/>
        <w:rPr>
          <w:sz w:val="20"/>
        </w:rPr>
      </w:pPr>
    </w:p>
    <w:p>
      <w:pPr>
        <w:pStyle w:val="BodyText"/>
        <w:spacing w:before="1"/>
        <w:rPr>
          <w:sz w:val="29"/>
        </w:rPr>
      </w:pPr>
    </w:p>
    <w:p>
      <w:pPr>
        <w:pStyle w:val="BodyText"/>
        <w:spacing w:line="250" w:lineRule="exact" w:before="85"/>
        <w:ind w:left="110" w:right="114"/>
        <w:jc w:val="both"/>
        <w:rPr>
          <w:i/>
        </w:rPr>
      </w:pPr>
      <w:r>
        <w:rPr/>
        <w:t>Principio</w:t>
      </w:r>
      <w:r>
        <w:rPr>
          <w:spacing w:val="-14"/>
        </w:rPr>
        <w:t> </w:t>
      </w:r>
      <w:r>
        <w:rPr/>
        <w:t>de</w:t>
      </w:r>
      <w:r>
        <w:rPr>
          <w:spacing w:val="-15"/>
        </w:rPr>
        <w:t> </w:t>
      </w:r>
      <w:r>
        <w:rPr/>
        <w:t>Subsidiariedad</w:t>
      </w:r>
      <w:r>
        <w:rPr>
          <w:spacing w:val="-14"/>
        </w:rPr>
        <w:t> </w:t>
      </w:r>
      <w:r>
        <w:rPr/>
        <w:t>como</w:t>
      </w:r>
      <w:r>
        <w:rPr>
          <w:spacing w:val="-15"/>
        </w:rPr>
        <w:t> </w:t>
      </w:r>
      <w:r>
        <w:rPr/>
        <w:t>instrumento</w:t>
      </w:r>
      <w:r>
        <w:rPr>
          <w:spacing w:val="-16"/>
        </w:rPr>
        <w:t> </w:t>
      </w:r>
      <w:r>
        <w:rPr/>
        <w:t>controversial</w:t>
      </w:r>
      <w:r>
        <w:rPr>
          <w:spacing w:val="-15"/>
        </w:rPr>
        <w:t> </w:t>
      </w:r>
      <w:r>
        <w:rPr/>
        <w:t>entre</w:t>
      </w:r>
      <w:r>
        <w:rPr>
          <w:spacing w:val="-15"/>
        </w:rPr>
        <w:t> </w:t>
      </w:r>
      <w:r>
        <w:rPr/>
        <w:t>autoridades en</w:t>
      </w:r>
      <w:r>
        <w:rPr>
          <w:spacing w:val="-28"/>
        </w:rPr>
        <w:t> </w:t>
      </w:r>
      <w:r>
        <w:rPr/>
        <w:t>lugar</w:t>
      </w:r>
      <w:r>
        <w:rPr>
          <w:spacing w:val="-28"/>
        </w:rPr>
        <w:t> </w:t>
      </w:r>
      <w:r>
        <w:rPr/>
        <w:t>de</w:t>
      </w:r>
      <w:r>
        <w:rPr>
          <w:spacing w:val="-28"/>
        </w:rPr>
        <w:t> </w:t>
      </w:r>
      <w:r>
        <w:rPr/>
        <w:t>orientarle</w:t>
      </w:r>
      <w:r>
        <w:rPr>
          <w:spacing w:val="-28"/>
        </w:rPr>
        <w:t> </w:t>
      </w:r>
      <w:r>
        <w:rPr/>
        <w:t>como</w:t>
      </w:r>
      <w:r>
        <w:rPr>
          <w:spacing w:val="-28"/>
        </w:rPr>
        <w:t> </w:t>
      </w:r>
      <w:r>
        <w:rPr/>
        <w:t>causa</w:t>
      </w:r>
      <w:r>
        <w:rPr>
          <w:spacing w:val="-28"/>
        </w:rPr>
        <w:t> </w:t>
      </w:r>
      <w:r>
        <w:rPr/>
        <w:t>socio-formativa.</w:t>
      </w:r>
      <w:r>
        <w:rPr>
          <w:spacing w:val="-27"/>
        </w:rPr>
        <w:t> </w:t>
      </w:r>
      <w:r>
        <w:rPr/>
        <w:t>En</w:t>
      </w:r>
      <w:r>
        <w:rPr>
          <w:spacing w:val="-28"/>
        </w:rPr>
        <w:t> </w:t>
      </w:r>
      <w:r>
        <w:rPr/>
        <w:t>comparativa,</w:t>
      </w:r>
      <w:r>
        <w:rPr>
          <w:spacing w:val="-29"/>
        </w:rPr>
        <w:t> </w:t>
      </w:r>
      <w:r>
        <w:rPr/>
        <w:t>tuvo</w:t>
      </w:r>
      <w:r>
        <w:rPr>
          <w:spacing w:val="-28"/>
        </w:rPr>
        <w:t> </w:t>
      </w:r>
      <w:r>
        <w:rPr/>
        <w:t>mayor congruencia ética el mérito como socialista cristiano del edil municipal y obispo</w:t>
      </w:r>
      <w:r>
        <w:rPr>
          <w:spacing w:val="-13"/>
        </w:rPr>
        <w:t> </w:t>
      </w:r>
      <w:r>
        <w:rPr/>
        <w:t>alemán</w:t>
      </w:r>
      <w:r>
        <w:rPr>
          <w:spacing w:val="-16"/>
        </w:rPr>
        <w:t> </w:t>
      </w:r>
      <w:r>
        <w:rPr/>
        <w:t>Wilhelm</w:t>
      </w:r>
      <w:r>
        <w:rPr>
          <w:spacing w:val="-13"/>
        </w:rPr>
        <w:t> </w:t>
      </w:r>
      <w:r>
        <w:rPr/>
        <w:t>Emmanuel</w:t>
      </w:r>
      <w:r>
        <w:rPr>
          <w:spacing w:val="-13"/>
        </w:rPr>
        <w:t> </w:t>
      </w:r>
      <w:r>
        <w:rPr/>
        <w:t>von</w:t>
      </w:r>
      <w:r>
        <w:rPr>
          <w:spacing w:val="-13"/>
        </w:rPr>
        <w:t> </w:t>
      </w:r>
      <w:r>
        <w:rPr/>
        <w:t>Ketteler</w:t>
      </w:r>
      <w:r>
        <w:rPr>
          <w:spacing w:val="-12"/>
        </w:rPr>
        <w:t> </w:t>
      </w:r>
      <w:r>
        <w:rPr/>
        <w:t>(1811-1877),</w:t>
      </w:r>
      <w:r>
        <w:rPr>
          <w:spacing w:val="-13"/>
        </w:rPr>
        <w:t> </w:t>
      </w:r>
      <w:r>
        <w:rPr/>
        <w:t>cuyo</w:t>
      </w:r>
      <w:r>
        <w:rPr>
          <w:spacing w:val="-13"/>
        </w:rPr>
        <w:t> </w:t>
      </w:r>
      <w:r>
        <w:rPr/>
        <w:t>activismo a favor de lo que él denominó </w:t>
      </w:r>
      <w:r>
        <w:rPr>
          <w:i/>
        </w:rPr>
        <w:t>la cuestión laboral </w:t>
      </w:r>
      <w:r>
        <w:rPr/>
        <w:t>(1848) fue reprimido de inicio por la autoridad eclesiástica, pero traducido en herencia intelectual fue la base de la </w:t>
      </w:r>
      <w:r>
        <w:rPr>
          <w:i/>
        </w:rPr>
        <w:t>doctrina social de la iglesia católica </w:t>
      </w:r>
      <w:r>
        <w:rPr/>
        <w:t>que consagró la </w:t>
      </w:r>
      <w:r>
        <w:rPr>
          <w:i/>
        </w:rPr>
        <w:t>Carta </w:t>
      </w:r>
      <w:r>
        <w:rPr>
          <w:i/>
        </w:rPr>
        <w:t>Encíclica Rerum Novarum </w:t>
      </w:r>
      <w:r>
        <w:rPr/>
        <w:t>(1891), antecedente de la </w:t>
      </w:r>
      <w:r>
        <w:rPr>
          <w:i/>
        </w:rPr>
        <w:t>Quadragesimo</w:t>
      </w:r>
      <w:r>
        <w:rPr>
          <w:i/>
          <w:spacing w:val="-20"/>
        </w:rPr>
        <w:t> </w:t>
      </w:r>
      <w:r>
        <w:rPr>
          <w:i/>
        </w:rPr>
        <w:t>Anno.</w:t>
      </w:r>
    </w:p>
    <w:p>
      <w:pPr>
        <w:pStyle w:val="BodyText"/>
        <w:spacing w:before="8"/>
        <w:rPr>
          <w:i/>
          <w:sz w:val="21"/>
        </w:rPr>
      </w:pPr>
    </w:p>
    <w:p>
      <w:pPr>
        <w:pStyle w:val="BodyText"/>
        <w:spacing w:line="250" w:lineRule="exact"/>
        <w:ind w:left="110" w:right="114"/>
        <w:jc w:val="both"/>
      </w:pPr>
      <w:r>
        <w:rPr/>
        <w:t>Por el mismo origen y secuencia, nuevas cartas pontificias han continuado interpretando al Principio de Subsidiariedad en función del acontecer en las relaciones</w:t>
      </w:r>
      <w:r>
        <w:rPr>
          <w:spacing w:val="-21"/>
        </w:rPr>
        <w:t> </w:t>
      </w:r>
      <w:r>
        <w:rPr/>
        <w:t>sociales</w:t>
      </w:r>
      <w:r>
        <w:rPr>
          <w:spacing w:val="-21"/>
        </w:rPr>
        <w:t> </w:t>
      </w:r>
      <w:r>
        <w:rPr/>
        <w:t>universales,</w:t>
      </w:r>
      <w:r>
        <w:rPr>
          <w:spacing w:val="-21"/>
        </w:rPr>
        <w:t> </w:t>
      </w:r>
      <w:r>
        <w:rPr/>
        <w:t>de</w:t>
      </w:r>
      <w:r>
        <w:rPr>
          <w:spacing w:val="-21"/>
        </w:rPr>
        <w:t> </w:t>
      </w:r>
      <w:r>
        <w:rPr/>
        <w:t>manera</w:t>
      </w:r>
      <w:r>
        <w:rPr>
          <w:spacing w:val="-21"/>
        </w:rPr>
        <w:t> </w:t>
      </w:r>
      <w:r>
        <w:rPr/>
        <w:t>que</w:t>
      </w:r>
      <w:r>
        <w:rPr>
          <w:spacing w:val="-21"/>
        </w:rPr>
        <w:t> </w:t>
      </w:r>
      <w:r>
        <w:rPr/>
        <w:t>su</w:t>
      </w:r>
      <w:r>
        <w:rPr>
          <w:spacing w:val="-21"/>
        </w:rPr>
        <w:t> </w:t>
      </w:r>
      <w:r>
        <w:rPr/>
        <w:t>fundamentación</w:t>
      </w:r>
      <w:r>
        <w:rPr>
          <w:spacing w:val="-21"/>
        </w:rPr>
        <w:t> </w:t>
      </w:r>
      <w:r>
        <w:rPr/>
        <w:t>filosófica</w:t>
      </w:r>
      <w:r>
        <w:rPr>
          <w:spacing w:val="-21"/>
        </w:rPr>
        <w:t> </w:t>
      </w:r>
      <w:r>
        <w:rPr/>
        <w:t>ha proyectado mayores aplicaciones prácticas aunque el sentido de delimitación estatal es reiterativo. El proceso de integración europea incluyó en 1992 al Principio</w:t>
      </w:r>
      <w:r>
        <w:rPr>
          <w:spacing w:val="-14"/>
        </w:rPr>
        <w:t> </w:t>
      </w:r>
      <w:r>
        <w:rPr/>
        <w:t>de</w:t>
      </w:r>
      <w:r>
        <w:rPr>
          <w:spacing w:val="-14"/>
        </w:rPr>
        <w:t> </w:t>
      </w:r>
      <w:r>
        <w:rPr/>
        <w:t>Subsidiariedad</w:t>
      </w:r>
      <w:r>
        <w:rPr>
          <w:spacing w:val="-14"/>
        </w:rPr>
        <w:t> </w:t>
      </w:r>
      <w:r>
        <w:rPr/>
        <w:t>dentro</w:t>
      </w:r>
      <w:r>
        <w:rPr>
          <w:spacing w:val="-14"/>
        </w:rPr>
        <w:t> </w:t>
      </w:r>
      <w:r>
        <w:rPr/>
        <w:t>de</w:t>
      </w:r>
      <w:r>
        <w:rPr>
          <w:spacing w:val="-14"/>
        </w:rPr>
        <w:t> </w:t>
      </w:r>
      <w:r>
        <w:rPr/>
        <w:t>los</w:t>
      </w:r>
      <w:r>
        <w:rPr>
          <w:spacing w:val="-15"/>
        </w:rPr>
        <w:t> </w:t>
      </w:r>
      <w:r>
        <w:rPr/>
        <w:t>documentos</w:t>
      </w:r>
      <w:r>
        <w:rPr>
          <w:spacing w:val="-14"/>
        </w:rPr>
        <w:t> </w:t>
      </w:r>
      <w:r>
        <w:rPr/>
        <w:t>de</w:t>
      </w:r>
      <w:r>
        <w:rPr>
          <w:spacing w:val="-14"/>
        </w:rPr>
        <w:t> </w:t>
      </w:r>
      <w:r>
        <w:rPr/>
        <w:t>derecho</w:t>
      </w:r>
      <w:r>
        <w:rPr>
          <w:spacing w:val="-14"/>
        </w:rPr>
        <w:t> </w:t>
      </w:r>
      <w:r>
        <w:rPr/>
        <w:t>comunitario (Tratado</w:t>
      </w:r>
      <w:r>
        <w:rPr>
          <w:spacing w:val="-21"/>
        </w:rPr>
        <w:t> </w:t>
      </w:r>
      <w:r>
        <w:rPr/>
        <w:t>de</w:t>
      </w:r>
      <w:r>
        <w:rPr>
          <w:spacing w:val="-21"/>
        </w:rPr>
        <w:t> </w:t>
      </w:r>
      <w:r>
        <w:rPr/>
        <w:t>Maastricht),</w:t>
      </w:r>
      <w:r>
        <w:rPr>
          <w:spacing w:val="-20"/>
        </w:rPr>
        <w:t> </w:t>
      </w:r>
      <w:r>
        <w:rPr/>
        <w:t>el</w:t>
      </w:r>
      <w:r>
        <w:rPr>
          <w:spacing w:val="-21"/>
        </w:rPr>
        <w:t> </w:t>
      </w:r>
      <w:r>
        <w:rPr/>
        <w:t>campo</w:t>
      </w:r>
      <w:r>
        <w:rPr>
          <w:spacing w:val="-21"/>
        </w:rPr>
        <w:t> </w:t>
      </w:r>
      <w:r>
        <w:rPr/>
        <w:t>de</w:t>
      </w:r>
      <w:r>
        <w:rPr>
          <w:spacing w:val="-21"/>
        </w:rPr>
        <w:t> </w:t>
      </w:r>
      <w:r>
        <w:rPr/>
        <w:t>acción</w:t>
      </w:r>
      <w:r>
        <w:rPr>
          <w:spacing w:val="-21"/>
        </w:rPr>
        <w:t> </w:t>
      </w:r>
      <w:r>
        <w:rPr/>
        <w:t>es</w:t>
      </w:r>
      <w:r>
        <w:rPr>
          <w:spacing w:val="-21"/>
        </w:rPr>
        <w:t> </w:t>
      </w:r>
      <w:r>
        <w:rPr/>
        <w:t>de</w:t>
      </w:r>
      <w:r>
        <w:rPr>
          <w:spacing w:val="-21"/>
        </w:rPr>
        <w:t> </w:t>
      </w:r>
      <w:r>
        <w:rPr/>
        <w:t>carácter</w:t>
      </w:r>
      <w:r>
        <w:rPr>
          <w:spacing w:val="-21"/>
        </w:rPr>
        <w:t> </w:t>
      </w:r>
      <w:r>
        <w:rPr/>
        <w:t>legislativo</w:t>
      </w:r>
      <w:r>
        <w:rPr>
          <w:spacing w:val="-21"/>
        </w:rPr>
        <w:t> </w:t>
      </w:r>
      <w:r>
        <w:rPr/>
        <w:t>y</w:t>
      </w:r>
      <w:r>
        <w:rPr>
          <w:spacing w:val="-21"/>
        </w:rPr>
        <w:t> </w:t>
      </w:r>
      <w:r>
        <w:rPr/>
        <w:t>judicial aunque reincide en la práctica de utilizar ese principio como instrumento controversial ahora entre Estados multijurisdiccionales. Para lograr la mejor interpretación</w:t>
      </w:r>
      <w:r>
        <w:rPr>
          <w:spacing w:val="-19"/>
        </w:rPr>
        <w:t> </w:t>
      </w:r>
      <w:r>
        <w:rPr/>
        <w:t>de</w:t>
      </w:r>
      <w:r>
        <w:rPr>
          <w:spacing w:val="-19"/>
        </w:rPr>
        <w:t> </w:t>
      </w:r>
      <w:r>
        <w:rPr/>
        <w:t>la</w:t>
      </w:r>
      <w:r>
        <w:rPr>
          <w:spacing w:val="-19"/>
        </w:rPr>
        <w:t> </w:t>
      </w:r>
      <w:r>
        <w:rPr/>
        <w:t>fundamentación</w:t>
      </w:r>
      <w:r>
        <w:rPr>
          <w:spacing w:val="-19"/>
        </w:rPr>
        <w:t> </w:t>
      </w:r>
      <w:r>
        <w:rPr/>
        <w:t>filosófica</w:t>
      </w:r>
      <w:r>
        <w:rPr>
          <w:spacing w:val="-19"/>
        </w:rPr>
        <w:t> </w:t>
      </w:r>
      <w:r>
        <w:rPr/>
        <w:t>del</w:t>
      </w:r>
      <w:r>
        <w:rPr>
          <w:spacing w:val="-19"/>
        </w:rPr>
        <w:t> </w:t>
      </w:r>
      <w:r>
        <w:rPr/>
        <w:t>Principio</w:t>
      </w:r>
      <w:r>
        <w:rPr>
          <w:spacing w:val="-19"/>
        </w:rPr>
        <w:t> </w:t>
      </w:r>
      <w:r>
        <w:rPr/>
        <w:t>de</w:t>
      </w:r>
      <w:r>
        <w:rPr>
          <w:spacing w:val="-19"/>
        </w:rPr>
        <w:t> </w:t>
      </w:r>
      <w:r>
        <w:rPr/>
        <w:t>Subsidiariedad, éste se resume en cuatro elementos acumulados</w:t>
      </w:r>
      <w:r>
        <w:rPr>
          <w:spacing w:val="-6"/>
        </w:rPr>
        <w:t> </w:t>
      </w:r>
      <w:r>
        <w:rPr/>
        <w:t>históricamente:</w:t>
      </w:r>
    </w:p>
    <w:p>
      <w:pPr>
        <w:pStyle w:val="BodyText"/>
        <w:spacing w:before="4"/>
        <w:rPr>
          <w:sz w:val="21"/>
        </w:rPr>
      </w:pPr>
    </w:p>
    <w:p>
      <w:pPr>
        <w:pStyle w:val="ListParagraph"/>
        <w:numPr>
          <w:ilvl w:val="0"/>
          <w:numId w:val="1"/>
        </w:numPr>
        <w:tabs>
          <w:tab w:pos="678" w:val="left" w:leader="none"/>
        </w:tabs>
        <w:spacing w:line="228" w:lineRule="auto" w:before="0" w:after="0"/>
        <w:ind w:left="677" w:right="114" w:hanging="284"/>
        <w:jc w:val="both"/>
        <w:rPr>
          <w:sz w:val="23"/>
        </w:rPr>
      </w:pPr>
      <w:r>
        <w:rPr>
          <w:sz w:val="23"/>
        </w:rPr>
        <w:t>Elemento de Conciencia Social. Como </w:t>
      </w:r>
      <w:r>
        <w:rPr>
          <w:i/>
          <w:sz w:val="23"/>
        </w:rPr>
        <w:t>fundamento Aristotélico- </w:t>
      </w:r>
      <w:r>
        <w:rPr>
          <w:i/>
          <w:spacing w:val="-3"/>
          <w:sz w:val="23"/>
        </w:rPr>
        <w:t>Tomista</w:t>
      </w:r>
      <w:r>
        <w:rPr>
          <w:spacing w:val="-3"/>
          <w:sz w:val="23"/>
        </w:rPr>
        <w:t>,</w:t>
      </w:r>
      <w:r>
        <w:rPr>
          <w:spacing w:val="-8"/>
          <w:sz w:val="23"/>
        </w:rPr>
        <w:t> </w:t>
      </w:r>
      <w:r>
        <w:rPr>
          <w:sz w:val="23"/>
        </w:rPr>
        <w:t>sienta</w:t>
      </w:r>
      <w:r>
        <w:rPr>
          <w:spacing w:val="-8"/>
          <w:sz w:val="23"/>
        </w:rPr>
        <w:t> </w:t>
      </w:r>
      <w:r>
        <w:rPr>
          <w:sz w:val="23"/>
        </w:rPr>
        <w:t>conciencia</w:t>
      </w:r>
      <w:r>
        <w:rPr>
          <w:spacing w:val="-9"/>
          <w:sz w:val="23"/>
        </w:rPr>
        <w:t> </w:t>
      </w:r>
      <w:r>
        <w:rPr>
          <w:sz w:val="23"/>
        </w:rPr>
        <w:t>de</w:t>
      </w:r>
      <w:r>
        <w:rPr>
          <w:spacing w:val="-9"/>
          <w:sz w:val="23"/>
        </w:rPr>
        <w:t> </w:t>
      </w:r>
      <w:r>
        <w:rPr>
          <w:sz w:val="23"/>
        </w:rPr>
        <w:t>que</w:t>
      </w:r>
      <w:r>
        <w:rPr>
          <w:spacing w:val="-9"/>
          <w:sz w:val="23"/>
        </w:rPr>
        <w:t> </w:t>
      </w:r>
      <w:r>
        <w:rPr>
          <w:sz w:val="23"/>
        </w:rPr>
        <w:t>la</w:t>
      </w:r>
      <w:r>
        <w:rPr>
          <w:spacing w:val="-9"/>
          <w:sz w:val="23"/>
        </w:rPr>
        <w:t> </w:t>
      </w:r>
      <w:r>
        <w:rPr>
          <w:sz w:val="23"/>
        </w:rPr>
        <w:t>persona</w:t>
      </w:r>
      <w:r>
        <w:rPr>
          <w:spacing w:val="-9"/>
          <w:sz w:val="23"/>
        </w:rPr>
        <w:t> </w:t>
      </w:r>
      <w:r>
        <w:rPr>
          <w:sz w:val="23"/>
        </w:rPr>
        <w:t>humana</w:t>
      </w:r>
      <w:r>
        <w:rPr>
          <w:spacing w:val="-9"/>
          <w:sz w:val="23"/>
        </w:rPr>
        <w:t> </w:t>
      </w:r>
      <w:r>
        <w:rPr>
          <w:sz w:val="23"/>
        </w:rPr>
        <w:t>únicamente</w:t>
      </w:r>
      <w:r>
        <w:rPr>
          <w:spacing w:val="-9"/>
          <w:sz w:val="23"/>
        </w:rPr>
        <w:t> </w:t>
      </w:r>
      <w:r>
        <w:rPr>
          <w:sz w:val="23"/>
        </w:rPr>
        <w:t>puede conseguir su realización en las relaciones sociales</w:t>
      </w:r>
      <w:r>
        <w:rPr>
          <w:position w:val="8"/>
          <w:sz w:val="13"/>
        </w:rPr>
        <w:t>3</w:t>
      </w:r>
      <w:r>
        <w:rPr>
          <w:sz w:val="23"/>
        </w:rPr>
        <w:t>, por lo que deben existir formas sociales intermedias entre el individuo y la instancia suprema, se deben reforzar las existentes y establecer las inexistentes</w:t>
      </w:r>
      <w:r>
        <w:rPr>
          <w:position w:val="8"/>
          <w:sz w:val="13"/>
        </w:rPr>
        <w:t>4</w:t>
      </w:r>
      <w:r>
        <w:rPr>
          <w:sz w:val="23"/>
        </w:rPr>
        <w:t>. Existe</w:t>
      </w:r>
      <w:r>
        <w:rPr>
          <w:spacing w:val="-6"/>
          <w:sz w:val="23"/>
        </w:rPr>
        <w:t> </w:t>
      </w:r>
      <w:r>
        <w:rPr>
          <w:sz w:val="23"/>
        </w:rPr>
        <w:t>además</w:t>
      </w:r>
      <w:r>
        <w:rPr>
          <w:spacing w:val="-6"/>
          <w:sz w:val="23"/>
        </w:rPr>
        <w:t> </w:t>
      </w:r>
      <w:r>
        <w:rPr>
          <w:sz w:val="23"/>
        </w:rPr>
        <w:t>analogía</w:t>
      </w:r>
      <w:r>
        <w:rPr>
          <w:spacing w:val="-7"/>
          <w:sz w:val="23"/>
        </w:rPr>
        <w:t> </w:t>
      </w:r>
      <w:r>
        <w:rPr>
          <w:sz w:val="23"/>
        </w:rPr>
        <w:t>de</w:t>
      </w:r>
      <w:r>
        <w:rPr>
          <w:spacing w:val="-6"/>
          <w:sz w:val="23"/>
        </w:rPr>
        <w:t> </w:t>
      </w:r>
      <w:r>
        <w:rPr>
          <w:sz w:val="23"/>
        </w:rPr>
        <w:t>la</w:t>
      </w:r>
      <w:r>
        <w:rPr>
          <w:spacing w:val="-6"/>
          <w:sz w:val="23"/>
        </w:rPr>
        <w:t> </w:t>
      </w:r>
      <w:r>
        <w:rPr>
          <w:sz w:val="23"/>
        </w:rPr>
        <w:t>función</w:t>
      </w:r>
      <w:r>
        <w:rPr>
          <w:spacing w:val="-6"/>
          <w:sz w:val="23"/>
        </w:rPr>
        <w:t> </w:t>
      </w:r>
      <w:r>
        <w:rPr>
          <w:sz w:val="23"/>
        </w:rPr>
        <w:t>subsidiaria</w:t>
      </w:r>
      <w:r>
        <w:rPr>
          <w:spacing w:val="-5"/>
          <w:sz w:val="23"/>
        </w:rPr>
        <w:t> </w:t>
      </w:r>
      <w:r>
        <w:rPr>
          <w:sz w:val="23"/>
        </w:rPr>
        <w:t>a</w:t>
      </w:r>
      <w:r>
        <w:rPr>
          <w:spacing w:val="-6"/>
          <w:sz w:val="23"/>
        </w:rPr>
        <w:t> </w:t>
      </w:r>
      <w:r>
        <w:rPr>
          <w:sz w:val="23"/>
        </w:rPr>
        <w:t>través</w:t>
      </w:r>
      <w:r>
        <w:rPr>
          <w:spacing w:val="-6"/>
          <w:sz w:val="23"/>
        </w:rPr>
        <w:t> </w:t>
      </w:r>
      <w:r>
        <w:rPr>
          <w:sz w:val="23"/>
        </w:rPr>
        <w:t>de</w:t>
      </w:r>
      <w:r>
        <w:rPr>
          <w:spacing w:val="-6"/>
          <w:sz w:val="23"/>
        </w:rPr>
        <w:t> </w:t>
      </w:r>
      <w:r>
        <w:rPr>
          <w:sz w:val="23"/>
        </w:rPr>
        <w:t>estructuras más complejas, es decir, las comunidades mayores deben existir para desempeñar funciones semejantes en relación con comunidades más pequeñas, en cuyo caso aplica el Elemento de Analogía Jerárquica en lugar del de Conciencia</w:t>
      </w:r>
      <w:r>
        <w:rPr>
          <w:spacing w:val="-5"/>
          <w:sz w:val="23"/>
        </w:rPr>
        <w:t> </w:t>
      </w:r>
      <w:r>
        <w:rPr>
          <w:sz w:val="23"/>
        </w:rPr>
        <w:t>Social</w:t>
      </w:r>
      <w:r>
        <w:rPr>
          <w:position w:val="8"/>
          <w:sz w:val="13"/>
        </w:rPr>
        <w:t>5</w:t>
      </w:r>
      <w:r>
        <w:rPr>
          <w:sz w:val="23"/>
        </w:rPr>
        <w:t>.</w:t>
      </w:r>
    </w:p>
    <w:p>
      <w:pPr>
        <w:pStyle w:val="BodyText"/>
        <w:spacing w:before="11"/>
        <w:rPr>
          <w:sz w:val="21"/>
        </w:rPr>
      </w:pPr>
    </w:p>
    <w:p>
      <w:pPr>
        <w:pStyle w:val="ListParagraph"/>
        <w:numPr>
          <w:ilvl w:val="0"/>
          <w:numId w:val="1"/>
        </w:numPr>
        <w:tabs>
          <w:tab w:pos="678" w:val="left" w:leader="none"/>
        </w:tabs>
        <w:spacing w:line="250" w:lineRule="exact" w:before="0" w:after="0"/>
        <w:ind w:left="677" w:right="114" w:hanging="284"/>
        <w:jc w:val="both"/>
        <w:rPr>
          <w:sz w:val="23"/>
        </w:rPr>
      </w:pPr>
      <w:r>
        <w:rPr/>
        <w:pict>
          <v:line style="position:absolute;mso-position-horizontal-relative:page;mso-position-vertical-relative:paragraph;z-index:1192;mso-wrap-distance-left:0;mso-wrap-distance-right:0" from="42.519699pt,68.261604pt" to="114.519699pt,68.261604pt" stroked="true" strokeweight="1pt" strokecolor="#000000">
            <w10:wrap type="topAndBottom"/>
          </v:line>
        </w:pict>
      </w:r>
      <w:r>
        <w:rPr>
          <w:sz w:val="23"/>
        </w:rPr>
        <w:t>Elemento de Delimitación Competencial. Como </w:t>
      </w:r>
      <w:r>
        <w:rPr>
          <w:i/>
          <w:sz w:val="23"/>
        </w:rPr>
        <w:t>debate liberal-socia- </w:t>
      </w:r>
      <w:r>
        <w:rPr>
          <w:i/>
          <w:sz w:val="23"/>
        </w:rPr>
        <w:t>lista</w:t>
      </w:r>
      <w:r>
        <w:rPr>
          <w:sz w:val="23"/>
        </w:rPr>
        <w:t>, expresa que tanto en las relaciones entre la esfera social y los individuos como en las relativas a las unidades sociales simples y complejas, ninguna competencia debe ser asignada al nivel más alto que  el  necesario,  aplicando  esto  principalmente  a  la  contención </w:t>
      </w:r>
      <w:r>
        <w:rPr>
          <w:spacing w:val="16"/>
          <w:sz w:val="23"/>
        </w:rPr>
        <w:t> </w:t>
      </w:r>
      <w:r>
        <w:rPr>
          <w:sz w:val="23"/>
        </w:rPr>
        <w:t>y</w:t>
      </w:r>
    </w:p>
    <w:p>
      <w:pPr>
        <w:spacing w:line="196" w:lineRule="exact" w:before="0"/>
        <w:ind w:left="110" w:right="0" w:firstLine="0"/>
        <w:jc w:val="both"/>
        <w:rPr>
          <w:sz w:val="18"/>
        </w:rPr>
      </w:pPr>
      <w:r>
        <w:rPr>
          <w:position w:val="7"/>
          <w:sz w:val="11"/>
        </w:rPr>
        <w:t>3  </w:t>
      </w:r>
      <w:r>
        <w:rPr>
          <w:sz w:val="18"/>
        </w:rPr>
        <w:t>Komonchak, Joseph A.; </w:t>
      </w:r>
      <w:r>
        <w:rPr>
          <w:i/>
          <w:sz w:val="18"/>
        </w:rPr>
        <w:t>Subsidiarity in the church: the state of the cuestion, </w:t>
      </w:r>
      <w:r>
        <w:rPr>
          <w:sz w:val="18"/>
        </w:rPr>
        <w:t>The jurist 48, 1988,</w:t>
      </w:r>
    </w:p>
    <w:p>
      <w:pPr>
        <w:spacing w:line="203" w:lineRule="exact" w:before="0"/>
        <w:ind w:left="337" w:right="0" w:firstLine="0"/>
        <w:jc w:val="left"/>
        <w:rPr>
          <w:sz w:val="18"/>
        </w:rPr>
      </w:pPr>
      <w:r>
        <w:rPr>
          <w:sz w:val="18"/>
        </w:rPr>
        <w:t>p. 301, texto ubicado en </w:t>
      </w:r>
      <w:hyperlink r:id="rId24">
        <w:r>
          <w:rPr>
            <w:sz w:val="18"/>
          </w:rPr>
          <w:t>http://www.scielo.cl.</w:t>
        </w:r>
      </w:hyperlink>
    </w:p>
    <w:p>
      <w:pPr>
        <w:spacing w:before="28"/>
        <w:ind w:left="110" w:right="0" w:firstLine="0"/>
        <w:jc w:val="both"/>
        <w:rPr>
          <w:sz w:val="18"/>
        </w:rPr>
      </w:pPr>
      <w:r>
        <w:rPr>
          <w:position w:val="7"/>
          <w:sz w:val="11"/>
        </w:rPr>
        <w:t>4      </w:t>
      </w:r>
      <w:r>
        <w:rPr>
          <w:sz w:val="18"/>
        </w:rPr>
        <w:t>Otfried Höffe, </w:t>
      </w:r>
      <w:r>
        <w:rPr>
          <w:i/>
          <w:sz w:val="18"/>
        </w:rPr>
        <w:t>Op. Cit., </w:t>
      </w:r>
      <w:r>
        <w:rPr>
          <w:sz w:val="18"/>
        </w:rPr>
        <w:t>p. 478.</w:t>
      </w:r>
    </w:p>
    <w:p>
      <w:pPr>
        <w:spacing w:before="28"/>
        <w:ind w:left="110" w:right="0" w:firstLine="0"/>
        <w:jc w:val="both"/>
        <w:rPr>
          <w:i/>
          <w:sz w:val="18"/>
        </w:rPr>
      </w:pPr>
      <w:r>
        <w:rPr>
          <w:position w:val="7"/>
          <w:sz w:val="11"/>
        </w:rPr>
        <w:t>5      </w:t>
      </w:r>
      <w:r>
        <w:rPr>
          <w:sz w:val="18"/>
        </w:rPr>
        <w:t>Joseph A. Komonchak, </w:t>
      </w:r>
      <w:r>
        <w:rPr>
          <w:i/>
          <w:sz w:val="18"/>
        </w:rPr>
        <w:t>Op. Cit.</w:t>
      </w:r>
    </w:p>
    <w:p>
      <w:pPr>
        <w:spacing w:after="0"/>
        <w:jc w:val="both"/>
        <w:rPr>
          <w:sz w:val="18"/>
        </w:rPr>
        <w:sectPr>
          <w:headerReference w:type="default" r:id="rId22"/>
          <w:headerReference w:type="even" r:id="rId23"/>
          <w:pgSz w:w="9360" w:h="13040"/>
          <w:pgMar w:header="527" w:footer="515" w:top="720" w:bottom="700" w:left="740" w:right="1300"/>
        </w:sectPr>
      </w:pPr>
    </w:p>
    <w:p>
      <w:pPr>
        <w:pStyle w:val="BodyText"/>
        <w:spacing w:before="11"/>
        <w:rPr>
          <w:i/>
          <w:sz w:val="29"/>
        </w:rPr>
      </w:pPr>
    </w:p>
    <w:p>
      <w:pPr>
        <w:pStyle w:val="BodyText"/>
        <w:spacing w:line="250" w:lineRule="exact" w:before="85"/>
        <w:ind w:left="684" w:right="107" w:hanging="1"/>
        <w:jc w:val="both"/>
      </w:pPr>
      <w:r>
        <w:rPr/>
        <w:t>superación social del Estado</w:t>
      </w:r>
      <w:r>
        <w:rPr>
          <w:position w:val="8"/>
          <w:sz w:val="13"/>
        </w:rPr>
        <w:t>6</w:t>
      </w:r>
      <w:r>
        <w:rPr/>
        <w:t>. Pretender las atribuciones de individuos o</w:t>
      </w:r>
      <w:r>
        <w:rPr>
          <w:spacing w:val="-9"/>
        </w:rPr>
        <w:t> </w:t>
      </w:r>
      <w:r>
        <w:rPr/>
        <w:t>sociedades</w:t>
      </w:r>
      <w:r>
        <w:rPr>
          <w:spacing w:val="-8"/>
        </w:rPr>
        <w:t> </w:t>
      </w:r>
      <w:r>
        <w:rPr/>
        <w:t>menores</w:t>
      </w:r>
      <w:r>
        <w:rPr>
          <w:spacing w:val="-10"/>
        </w:rPr>
        <w:t> </w:t>
      </w:r>
      <w:r>
        <w:rPr/>
        <w:t>sería</w:t>
      </w:r>
      <w:r>
        <w:rPr>
          <w:spacing w:val="-9"/>
        </w:rPr>
        <w:t> </w:t>
      </w:r>
      <w:r>
        <w:rPr/>
        <w:t>ilegítimo</w:t>
      </w:r>
      <w:r>
        <w:rPr>
          <w:spacing w:val="-10"/>
        </w:rPr>
        <w:t> </w:t>
      </w:r>
      <w:r>
        <w:rPr/>
        <w:t>(prohibición</w:t>
      </w:r>
      <w:r>
        <w:rPr>
          <w:spacing w:val="-9"/>
        </w:rPr>
        <w:t> </w:t>
      </w:r>
      <w:r>
        <w:rPr/>
        <w:t>de</w:t>
      </w:r>
      <w:r>
        <w:rPr>
          <w:spacing w:val="-9"/>
        </w:rPr>
        <w:t> </w:t>
      </w:r>
      <w:r>
        <w:rPr/>
        <w:t>competencia),</w:t>
      </w:r>
      <w:r>
        <w:rPr>
          <w:spacing w:val="-10"/>
        </w:rPr>
        <w:t> </w:t>
      </w:r>
      <w:r>
        <w:rPr/>
        <w:t>por lo que es necesario establecer límites subsidiarios entre individuos y comunidades, así como entre comunidades pequeñas y</w:t>
      </w:r>
      <w:r>
        <w:rPr>
          <w:spacing w:val="-4"/>
        </w:rPr>
        <w:t> </w:t>
      </w:r>
      <w:r>
        <w:rPr/>
        <w:t>grandes</w:t>
      </w:r>
      <w:r>
        <w:rPr>
          <w:position w:val="8"/>
          <w:sz w:val="13"/>
        </w:rPr>
        <w:t>7</w:t>
      </w:r>
      <w:r>
        <w:rPr/>
        <w:t>.</w:t>
      </w:r>
    </w:p>
    <w:p>
      <w:pPr>
        <w:pStyle w:val="BodyText"/>
        <w:spacing w:before="8"/>
        <w:rPr>
          <w:sz w:val="21"/>
        </w:rPr>
      </w:pPr>
    </w:p>
    <w:p>
      <w:pPr>
        <w:pStyle w:val="ListParagraph"/>
        <w:numPr>
          <w:ilvl w:val="0"/>
          <w:numId w:val="1"/>
        </w:numPr>
        <w:tabs>
          <w:tab w:pos="685" w:val="left" w:leader="none"/>
        </w:tabs>
        <w:spacing w:line="250" w:lineRule="exact" w:before="0" w:after="0"/>
        <w:ind w:left="684" w:right="108" w:hanging="284"/>
        <w:jc w:val="both"/>
        <w:rPr>
          <w:sz w:val="23"/>
        </w:rPr>
      </w:pPr>
      <w:r>
        <w:rPr>
          <w:sz w:val="23"/>
        </w:rPr>
        <w:t>Elemento de Exactitud de Aplicación. La </w:t>
      </w:r>
      <w:r>
        <w:rPr>
          <w:i/>
          <w:sz w:val="23"/>
        </w:rPr>
        <w:t>actual tensión multijuris- </w:t>
      </w:r>
      <w:r>
        <w:rPr>
          <w:i/>
          <w:sz w:val="23"/>
        </w:rPr>
        <w:t>diccional en la integración Europea</w:t>
      </w:r>
      <w:r>
        <w:rPr>
          <w:sz w:val="23"/>
        </w:rPr>
        <w:t>, se refiere a la realización, nece- saria y obligada, de una valoración formal en razón de la naturaleza de las sociedades y de las circunstancias particulares para el ejercicio de funciones y</w:t>
      </w:r>
      <w:r>
        <w:rPr>
          <w:spacing w:val="1"/>
          <w:sz w:val="23"/>
        </w:rPr>
        <w:t> </w:t>
      </w:r>
      <w:r>
        <w:rPr>
          <w:sz w:val="23"/>
        </w:rPr>
        <w:t>competencias</w:t>
      </w:r>
      <w:r>
        <w:rPr>
          <w:position w:val="8"/>
          <w:sz w:val="13"/>
        </w:rPr>
        <w:t>8</w:t>
      </w:r>
      <w:r>
        <w:rPr>
          <w:sz w:val="23"/>
        </w:rPr>
        <w:t>.</w:t>
      </w:r>
    </w:p>
    <w:p>
      <w:pPr>
        <w:pStyle w:val="BodyText"/>
        <w:spacing w:before="8"/>
        <w:rPr>
          <w:sz w:val="21"/>
        </w:rPr>
      </w:pPr>
    </w:p>
    <w:p>
      <w:pPr>
        <w:pStyle w:val="ListParagraph"/>
        <w:numPr>
          <w:ilvl w:val="0"/>
          <w:numId w:val="1"/>
        </w:numPr>
        <w:tabs>
          <w:tab w:pos="685" w:val="left" w:leader="none"/>
        </w:tabs>
        <w:spacing w:line="250" w:lineRule="exact" w:before="0" w:after="0"/>
        <w:ind w:left="683" w:right="108" w:hanging="283"/>
        <w:jc w:val="both"/>
        <w:rPr>
          <w:sz w:val="23"/>
        </w:rPr>
      </w:pPr>
      <w:r>
        <w:rPr>
          <w:sz w:val="23"/>
        </w:rPr>
        <w:t>Elemento de Derecho Social. Como </w:t>
      </w:r>
      <w:r>
        <w:rPr>
          <w:i/>
          <w:sz w:val="23"/>
        </w:rPr>
        <w:t>derecho Ketteler</w:t>
      </w:r>
      <w:r>
        <w:rPr>
          <w:sz w:val="23"/>
        </w:rPr>
        <w:t>, establece que positivamente debe existir una procuración por parte de todas las comunidades para que los individuos y las comunidades menores ejerciten las responsabilidades propias. Negativamente, se hace necesaria la exigencia hacia las sociedades para que no priven a los individuos y a las comunidades menores de su derecho a ejercer su autorresponsabilidad</w:t>
      </w:r>
      <w:r>
        <w:rPr>
          <w:position w:val="8"/>
          <w:sz w:val="13"/>
        </w:rPr>
        <w:t>9</w:t>
      </w:r>
      <w:r>
        <w:rPr>
          <w:sz w:val="23"/>
        </w:rPr>
        <w:t>. Como la </w:t>
      </w:r>
      <w:r>
        <w:rPr>
          <w:i/>
          <w:sz w:val="23"/>
        </w:rPr>
        <w:t>última opción subsidiaria </w:t>
      </w:r>
      <w:r>
        <w:rPr>
          <w:sz w:val="23"/>
        </w:rPr>
        <w:t>dentro del mismo </w:t>
      </w:r>
      <w:r>
        <w:rPr>
          <w:i/>
          <w:sz w:val="23"/>
        </w:rPr>
        <w:t>derecho </w:t>
      </w:r>
      <w:r>
        <w:rPr>
          <w:i/>
          <w:spacing w:val="-3"/>
          <w:sz w:val="23"/>
        </w:rPr>
        <w:t>Ketteler, </w:t>
      </w:r>
      <w:r>
        <w:rPr>
          <w:sz w:val="23"/>
        </w:rPr>
        <w:t>se prevé que el individuo por sí solo no es suficiente por carecer de </w:t>
      </w:r>
      <w:r>
        <w:rPr>
          <w:i/>
          <w:sz w:val="23"/>
        </w:rPr>
        <w:t>autarquía</w:t>
      </w:r>
      <w:r>
        <w:rPr>
          <w:sz w:val="23"/>
        </w:rPr>
        <w:t>, necesita </w:t>
      </w:r>
      <w:r>
        <w:rPr>
          <w:i/>
          <w:sz w:val="23"/>
        </w:rPr>
        <w:t>subsidium </w:t>
      </w:r>
      <w:r>
        <w:rPr>
          <w:sz w:val="23"/>
        </w:rPr>
        <w:t>(mandato de ayuda)</w:t>
      </w:r>
      <w:r>
        <w:rPr>
          <w:position w:val="8"/>
          <w:sz w:val="13"/>
        </w:rPr>
        <w:t>10</w:t>
      </w:r>
      <w:r>
        <w:rPr>
          <w:sz w:val="23"/>
        </w:rPr>
        <w:t>; sin embargo éste último no debe suplir la responsabilidad individual</w:t>
      </w:r>
      <w:r>
        <w:rPr>
          <w:spacing w:val="-13"/>
          <w:sz w:val="23"/>
        </w:rPr>
        <w:t> </w:t>
      </w:r>
      <w:r>
        <w:rPr>
          <w:sz w:val="23"/>
        </w:rPr>
        <w:t>sino</w:t>
      </w:r>
      <w:r>
        <w:rPr>
          <w:spacing w:val="-12"/>
          <w:sz w:val="23"/>
        </w:rPr>
        <w:t> </w:t>
      </w:r>
      <w:r>
        <w:rPr>
          <w:sz w:val="23"/>
        </w:rPr>
        <w:t>proveer</w:t>
      </w:r>
      <w:r>
        <w:rPr>
          <w:spacing w:val="-12"/>
          <w:sz w:val="23"/>
        </w:rPr>
        <w:t> </w:t>
      </w:r>
      <w:r>
        <w:rPr>
          <w:sz w:val="23"/>
        </w:rPr>
        <w:t>las</w:t>
      </w:r>
      <w:r>
        <w:rPr>
          <w:spacing w:val="-12"/>
          <w:sz w:val="23"/>
        </w:rPr>
        <w:t> </w:t>
      </w:r>
      <w:r>
        <w:rPr>
          <w:sz w:val="23"/>
        </w:rPr>
        <w:t>condiciones</w:t>
      </w:r>
      <w:r>
        <w:rPr>
          <w:spacing w:val="-13"/>
          <w:sz w:val="23"/>
        </w:rPr>
        <w:t> </w:t>
      </w:r>
      <w:r>
        <w:rPr>
          <w:sz w:val="23"/>
        </w:rPr>
        <w:t>necesarias</w:t>
      </w:r>
      <w:r>
        <w:rPr>
          <w:spacing w:val="-12"/>
          <w:sz w:val="23"/>
        </w:rPr>
        <w:t> </w:t>
      </w:r>
      <w:r>
        <w:rPr>
          <w:sz w:val="23"/>
        </w:rPr>
        <w:t>pero</w:t>
      </w:r>
      <w:r>
        <w:rPr>
          <w:spacing w:val="-12"/>
          <w:sz w:val="23"/>
        </w:rPr>
        <w:t> </w:t>
      </w:r>
      <w:r>
        <w:rPr>
          <w:sz w:val="23"/>
        </w:rPr>
        <w:t>transitorias</w:t>
      </w:r>
      <w:r>
        <w:rPr>
          <w:spacing w:val="-13"/>
          <w:sz w:val="23"/>
        </w:rPr>
        <w:t> </w:t>
      </w:r>
      <w:r>
        <w:rPr>
          <w:sz w:val="23"/>
        </w:rPr>
        <w:t>para la autorrealización</w:t>
      </w:r>
      <w:r>
        <w:rPr>
          <w:spacing w:val="-3"/>
          <w:sz w:val="23"/>
        </w:rPr>
        <w:t> </w:t>
      </w:r>
      <w:r>
        <w:rPr>
          <w:sz w:val="23"/>
        </w:rPr>
        <w:t>personal</w:t>
      </w:r>
      <w:r>
        <w:rPr>
          <w:position w:val="8"/>
          <w:sz w:val="13"/>
        </w:rPr>
        <w:t>11</w:t>
      </w:r>
      <w:r>
        <w:rPr>
          <w:sz w:val="23"/>
        </w:rPr>
        <w:t>.</w:t>
      </w:r>
    </w:p>
    <w:p>
      <w:pPr>
        <w:pStyle w:val="BodyText"/>
        <w:spacing w:before="4"/>
        <w:rPr>
          <w:sz w:val="21"/>
        </w:rPr>
      </w:pPr>
    </w:p>
    <w:p>
      <w:pPr>
        <w:pStyle w:val="BodyText"/>
        <w:spacing w:line="228" w:lineRule="auto"/>
        <w:ind w:left="117" w:right="107"/>
        <w:jc w:val="both"/>
      </w:pPr>
      <w:r>
        <w:rPr/>
        <w:t>Con</w:t>
      </w:r>
      <w:r>
        <w:rPr>
          <w:spacing w:val="-16"/>
        </w:rPr>
        <w:t> </w:t>
      </w:r>
      <w:r>
        <w:rPr/>
        <w:t>mejor</w:t>
      </w:r>
      <w:r>
        <w:rPr>
          <w:spacing w:val="-16"/>
        </w:rPr>
        <w:t> </w:t>
      </w:r>
      <w:r>
        <w:rPr/>
        <w:t>justificación</w:t>
      </w:r>
      <w:r>
        <w:rPr>
          <w:spacing w:val="-16"/>
        </w:rPr>
        <w:t> </w:t>
      </w:r>
      <w:r>
        <w:rPr/>
        <w:t>ética</w:t>
      </w:r>
      <w:r>
        <w:rPr>
          <w:spacing w:val="-16"/>
        </w:rPr>
        <w:t> </w:t>
      </w:r>
      <w:r>
        <w:rPr/>
        <w:t>que</w:t>
      </w:r>
      <w:r>
        <w:rPr>
          <w:spacing w:val="-16"/>
        </w:rPr>
        <w:t> </w:t>
      </w:r>
      <w:r>
        <w:rPr/>
        <w:t>la</w:t>
      </w:r>
      <w:r>
        <w:rPr>
          <w:spacing w:val="-16"/>
        </w:rPr>
        <w:t> </w:t>
      </w:r>
      <w:r>
        <w:rPr/>
        <w:t>alcanzada</w:t>
      </w:r>
      <w:r>
        <w:rPr>
          <w:spacing w:val="-16"/>
        </w:rPr>
        <w:t> </w:t>
      </w:r>
      <w:r>
        <w:rPr/>
        <w:t>a</w:t>
      </w:r>
      <w:r>
        <w:rPr>
          <w:spacing w:val="-16"/>
        </w:rPr>
        <w:t> </w:t>
      </w:r>
      <w:r>
        <w:rPr/>
        <w:t>la</w:t>
      </w:r>
      <w:r>
        <w:rPr>
          <w:spacing w:val="-16"/>
        </w:rPr>
        <w:t> </w:t>
      </w:r>
      <w:r>
        <w:rPr/>
        <w:t>fecha</w:t>
      </w:r>
      <w:r>
        <w:rPr>
          <w:spacing w:val="-16"/>
        </w:rPr>
        <w:t> </w:t>
      </w:r>
      <w:r>
        <w:rPr/>
        <w:t>por</w:t>
      </w:r>
      <w:r>
        <w:rPr>
          <w:spacing w:val="-16"/>
        </w:rPr>
        <w:t> </w:t>
      </w:r>
      <w:r>
        <w:rPr/>
        <w:t>la</w:t>
      </w:r>
      <w:r>
        <w:rPr>
          <w:spacing w:val="-16"/>
        </w:rPr>
        <w:t> </w:t>
      </w:r>
      <w:r>
        <w:rPr/>
        <w:t>Unión</w:t>
      </w:r>
      <w:r>
        <w:rPr>
          <w:spacing w:val="-16"/>
        </w:rPr>
        <w:t> </w:t>
      </w:r>
      <w:r>
        <w:rPr/>
        <w:t>Europea, Ronald L. </w:t>
      </w:r>
      <w:r>
        <w:rPr>
          <w:spacing w:val="-4"/>
        </w:rPr>
        <w:t>Watts </w:t>
      </w:r>
      <w:r>
        <w:rPr/>
        <w:t>(1929), al concederle plena vigencia al federalismo como solución estatal del mundo contemporáneo, sostiene que la plataforma del </w:t>
      </w:r>
      <w:r>
        <w:rPr>
          <w:i/>
        </w:rPr>
        <w:t>federalismo subsidiario </w:t>
      </w:r>
      <w:r>
        <w:rPr/>
        <w:t>está constituida por el impulso descentralizador que el Principio de Subsidiariedad induce teóricamente en el sentido de alcanzar un</w:t>
      </w:r>
      <w:r>
        <w:rPr>
          <w:spacing w:val="25"/>
        </w:rPr>
        <w:t> </w:t>
      </w:r>
      <w:r>
        <w:rPr>
          <w:i/>
        </w:rPr>
        <w:t>“federalismo</w:t>
      </w:r>
      <w:r>
        <w:rPr>
          <w:i/>
          <w:spacing w:val="26"/>
        </w:rPr>
        <w:t> </w:t>
      </w:r>
      <w:r>
        <w:rPr>
          <w:i/>
        </w:rPr>
        <w:t>orientado</w:t>
      </w:r>
      <w:r>
        <w:rPr>
          <w:i/>
          <w:spacing w:val="25"/>
        </w:rPr>
        <w:t> </w:t>
      </w:r>
      <w:r>
        <w:rPr>
          <w:i/>
        </w:rPr>
        <w:t>a</w:t>
      </w:r>
      <w:r>
        <w:rPr>
          <w:i/>
          <w:spacing w:val="25"/>
        </w:rPr>
        <w:t> </w:t>
      </w:r>
      <w:r>
        <w:rPr>
          <w:i/>
        </w:rPr>
        <w:t>la</w:t>
      </w:r>
      <w:r>
        <w:rPr>
          <w:i/>
          <w:spacing w:val="25"/>
        </w:rPr>
        <w:t> </w:t>
      </w:r>
      <w:r>
        <w:rPr>
          <w:i/>
        </w:rPr>
        <w:t>ciudadanía”</w:t>
      </w:r>
      <w:r>
        <w:rPr>
          <w:i/>
          <w:position w:val="8"/>
          <w:sz w:val="13"/>
        </w:rPr>
        <w:t>12</w:t>
      </w:r>
      <w:r>
        <w:rPr/>
        <w:t>.</w:t>
      </w:r>
      <w:r>
        <w:rPr>
          <w:spacing w:val="25"/>
        </w:rPr>
        <w:t> </w:t>
      </w:r>
      <w:r>
        <w:rPr/>
        <w:t>En</w:t>
      </w:r>
      <w:r>
        <w:rPr>
          <w:spacing w:val="25"/>
        </w:rPr>
        <w:t> </w:t>
      </w:r>
      <w:r>
        <w:rPr/>
        <w:t>esa</w:t>
      </w:r>
      <w:r>
        <w:rPr>
          <w:spacing w:val="25"/>
        </w:rPr>
        <w:t> </w:t>
      </w:r>
      <w:r>
        <w:rPr/>
        <w:t>vigencia</w:t>
      </w:r>
      <w:r>
        <w:rPr>
          <w:spacing w:val="25"/>
        </w:rPr>
        <w:t> </w:t>
      </w:r>
      <w:r>
        <w:rPr/>
        <w:t>federalista,</w:t>
      </w:r>
    </w:p>
    <w:p>
      <w:pPr>
        <w:pStyle w:val="BodyText"/>
        <w:spacing w:before="7"/>
        <w:rPr>
          <w:sz w:val="12"/>
        </w:rPr>
      </w:pPr>
      <w:r>
        <w:rPr/>
        <w:pict>
          <v:line style="position:absolute;mso-position-horizontal-relative:page;mso-position-vertical-relative:paragraph;z-index:1216;mso-wrap-distance-left:0;mso-wrap-distance-right:0" from="70.866096pt,9.701435pt" to="142.866096pt,9.701435pt" stroked="true" strokeweight="1pt" strokecolor="#000000">
            <w10:wrap type="topAndBottom"/>
          </v:line>
        </w:pict>
      </w:r>
    </w:p>
    <w:p>
      <w:pPr>
        <w:spacing w:before="28"/>
        <w:ind w:left="117" w:right="0" w:firstLine="0"/>
        <w:jc w:val="left"/>
        <w:rPr>
          <w:sz w:val="18"/>
        </w:rPr>
      </w:pPr>
      <w:r>
        <w:rPr>
          <w:position w:val="7"/>
          <w:sz w:val="11"/>
        </w:rPr>
        <w:t>6      </w:t>
      </w:r>
      <w:r>
        <w:rPr>
          <w:sz w:val="18"/>
        </w:rPr>
        <w:t>Otfried Höffe, </w:t>
      </w:r>
      <w:r>
        <w:rPr>
          <w:i/>
          <w:sz w:val="18"/>
        </w:rPr>
        <w:t>Op. Cit., </w:t>
      </w:r>
      <w:r>
        <w:rPr>
          <w:sz w:val="18"/>
        </w:rPr>
        <w:t>p. 477.</w:t>
      </w:r>
    </w:p>
    <w:p>
      <w:pPr>
        <w:spacing w:before="28"/>
        <w:ind w:left="117" w:right="0" w:firstLine="0"/>
        <w:jc w:val="left"/>
        <w:rPr>
          <w:i/>
          <w:sz w:val="18"/>
        </w:rPr>
      </w:pPr>
      <w:r>
        <w:rPr>
          <w:position w:val="7"/>
          <w:sz w:val="11"/>
        </w:rPr>
        <w:t>7      </w:t>
      </w:r>
      <w:r>
        <w:rPr>
          <w:sz w:val="18"/>
        </w:rPr>
        <w:t>Joseph A. Komonchak, </w:t>
      </w:r>
      <w:r>
        <w:rPr>
          <w:i/>
          <w:sz w:val="18"/>
        </w:rPr>
        <w:t>Op. Cit.</w:t>
      </w:r>
    </w:p>
    <w:p>
      <w:pPr>
        <w:spacing w:before="28"/>
        <w:ind w:left="117" w:right="0" w:firstLine="0"/>
        <w:jc w:val="left"/>
        <w:rPr>
          <w:i/>
          <w:sz w:val="18"/>
        </w:rPr>
      </w:pPr>
      <w:r>
        <w:rPr>
          <w:w w:val="105"/>
          <w:position w:val="7"/>
          <w:sz w:val="11"/>
        </w:rPr>
        <w:t>8    </w:t>
      </w:r>
      <w:r>
        <w:rPr>
          <w:i/>
          <w:w w:val="105"/>
          <w:sz w:val="18"/>
        </w:rPr>
        <w:t>Ibídem.</w:t>
      </w:r>
    </w:p>
    <w:p>
      <w:pPr>
        <w:spacing w:before="28"/>
        <w:ind w:left="117" w:right="0" w:firstLine="0"/>
        <w:jc w:val="left"/>
        <w:rPr>
          <w:i/>
          <w:sz w:val="18"/>
        </w:rPr>
      </w:pPr>
      <w:r>
        <w:rPr>
          <w:w w:val="105"/>
          <w:position w:val="7"/>
          <w:sz w:val="11"/>
        </w:rPr>
        <w:t>9    </w:t>
      </w:r>
      <w:r>
        <w:rPr>
          <w:i/>
          <w:w w:val="105"/>
          <w:sz w:val="18"/>
        </w:rPr>
        <w:t>Ibídem.</w:t>
      </w:r>
    </w:p>
    <w:p>
      <w:pPr>
        <w:spacing w:before="28"/>
        <w:ind w:left="117" w:right="0" w:firstLine="0"/>
        <w:jc w:val="left"/>
        <w:rPr>
          <w:sz w:val="18"/>
        </w:rPr>
      </w:pPr>
      <w:r>
        <w:rPr>
          <w:position w:val="7"/>
          <w:sz w:val="11"/>
        </w:rPr>
        <w:t>10    </w:t>
      </w:r>
      <w:r>
        <w:rPr>
          <w:sz w:val="18"/>
        </w:rPr>
        <w:t>Otfried Höffe, </w:t>
      </w:r>
      <w:r>
        <w:rPr>
          <w:i/>
          <w:sz w:val="18"/>
        </w:rPr>
        <w:t>Op. Cit., </w:t>
      </w:r>
      <w:r>
        <w:rPr>
          <w:sz w:val="18"/>
        </w:rPr>
        <w:t>p. 477.</w:t>
      </w:r>
    </w:p>
    <w:p>
      <w:pPr>
        <w:spacing w:before="28"/>
        <w:ind w:left="117" w:right="0" w:firstLine="0"/>
        <w:jc w:val="left"/>
        <w:rPr>
          <w:i/>
          <w:sz w:val="18"/>
        </w:rPr>
      </w:pPr>
      <w:r>
        <w:rPr>
          <w:position w:val="7"/>
          <w:sz w:val="11"/>
        </w:rPr>
        <w:t>11    </w:t>
      </w:r>
      <w:r>
        <w:rPr>
          <w:sz w:val="18"/>
        </w:rPr>
        <w:t>Joseph A. Komonchak, </w:t>
      </w:r>
      <w:r>
        <w:rPr>
          <w:i/>
          <w:sz w:val="18"/>
        </w:rPr>
        <w:t>Op. Cit.</w:t>
      </w:r>
    </w:p>
    <w:p>
      <w:pPr>
        <w:spacing w:line="249" w:lineRule="auto" w:before="28"/>
        <w:ind w:left="344" w:right="108" w:hanging="227"/>
        <w:jc w:val="both"/>
        <w:rPr>
          <w:sz w:val="18"/>
        </w:rPr>
      </w:pPr>
      <w:r>
        <w:rPr>
          <w:position w:val="7"/>
          <w:sz w:val="11"/>
        </w:rPr>
        <w:t>12 </w:t>
      </w:r>
      <w:r>
        <w:rPr>
          <w:sz w:val="18"/>
        </w:rPr>
        <w:t>Según Ronald L. </w:t>
      </w:r>
      <w:r>
        <w:rPr>
          <w:spacing w:val="-3"/>
          <w:sz w:val="18"/>
        </w:rPr>
        <w:t>Watts, </w:t>
      </w:r>
      <w:r>
        <w:rPr>
          <w:sz w:val="18"/>
        </w:rPr>
        <w:t>el federalismo subsidiario es visto como </w:t>
      </w:r>
      <w:r>
        <w:rPr>
          <w:i/>
          <w:sz w:val="18"/>
        </w:rPr>
        <w:t>difícil de traducir en términos </w:t>
      </w:r>
      <w:r>
        <w:rPr>
          <w:i/>
          <w:sz w:val="18"/>
        </w:rPr>
        <w:t>jurídicos,</w:t>
      </w:r>
      <w:r>
        <w:rPr>
          <w:i/>
          <w:spacing w:val="-16"/>
          <w:sz w:val="18"/>
        </w:rPr>
        <w:t> </w:t>
      </w:r>
      <w:r>
        <w:rPr>
          <w:i/>
          <w:sz w:val="18"/>
        </w:rPr>
        <w:t>tiene</w:t>
      </w:r>
      <w:r>
        <w:rPr>
          <w:i/>
          <w:spacing w:val="-16"/>
          <w:sz w:val="18"/>
        </w:rPr>
        <w:t> </w:t>
      </w:r>
      <w:r>
        <w:rPr>
          <w:i/>
          <w:sz w:val="18"/>
        </w:rPr>
        <w:t>un</w:t>
      </w:r>
      <w:r>
        <w:rPr>
          <w:i/>
          <w:spacing w:val="-16"/>
          <w:sz w:val="18"/>
        </w:rPr>
        <w:t> </w:t>
      </w:r>
      <w:r>
        <w:rPr>
          <w:i/>
          <w:sz w:val="18"/>
        </w:rPr>
        <w:t>carácter</w:t>
      </w:r>
      <w:r>
        <w:rPr>
          <w:i/>
          <w:spacing w:val="-16"/>
          <w:sz w:val="18"/>
        </w:rPr>
        <w:t> </w:t>
      </w:r>
      <w:r>
        <w:rPr>
          <w:i/>
          <w:sz w:val="18"/>
        </w:rPr>
        <w:t>claramente</w:t>
      </w:r>
      <w:r>
        <w:rPr>
          <w:i/>
          <w:spacing w:val="-16"/>
          <w:sz w:val="18"/>
        </w:rPr>
        <w:t> </w:t>
      </w:r>
      <w:r>
        <w:rPr>
          <w:i/>
          <w:sz w:val="18"/>
        </w:rPr>
        <w:t>jerárquico</w:t>
      </w:r>
      <w:r>
        <w:rPr>
          <w:i/>
          <w:spacing w:val="-16"/>
          <w:sz w:val="18"/>
        </w:rPr>
        <w:t> </w:t>
      </w:r>
      <w:r>
        <w:rPr>
          <w:i/>
          <w:sz w:val="18"/>
        </w:rPr>
        <w:t>e</w:t>
      </w:r>
      <w:r>
        <w:rPr>
          <w:i/>
          <w:spacing w:val="-16"/>
          <w:sz w:val="18"/>
        </w:rPr>
        <w:t> </w:t>
      </w:r>
      <w:r>
        <w:rPr>
          <w:i/>
          <w:sz w:val="18"/>
        </w:rPr>
        <w:t>implica,</w:t>
      </w:r>
      <w:r>
        <w:rPr>
          <w:i/>
          <w:spacing w:val="-16"/>
          <w:sz w:val="18"/>
        </w:rPr>
        <w:t> </w:t>
      </w:r>
      <w:r>
        <w:rPr>
          <w:i/>
          <w:sz w:val="18"/>
        </w:rPr>
        <w:t>que</w:t>
      </w:r>
      <w:r>
        <w:rPr>
          <w:i/>
          <w:spacing w:val="-16"/>
          <w:sz w:val="18"/>
        </w:rPr>
        <w:t> </w:t>
      </w:r>
      <w:r>
        <w:rPr>
          <w:i/>
          <w:sz w:val="18"/>
        </w:rPr>
        <w:t>en</w:t>
      </w:r>
      <w:r>
        <w:rPr>
          <w:i/>
          <w:spacing w:val="-16"/>
          <w:sz w:val="18"/>
        </w:rPr>
        <w:t> </w:t>
      </w:r>
      <w:r>
        <w:rPr>
          <w:i/>
          <w:sz w:val="18"/>
        </w:rPr>
        <w:t>último</w:t>
      </w:r>
      <w:r>
        <w:rPr>
          <w:i/>
          <w:spacing w:val="-16"/>
          <w:sz w:val="18"/>
        </w:rPr>
        <w:t> </w:t>
      </w:r>
      <w:r>
        <w:rPr>
          <w:i/>
          <w:sz w:val="18"/>
        </w:rPr>
        <w:t>término</w:t>
      </w:r>
      <w:r>
        <w:rPr>
          <w:i/>
          <w:spacing w:val="-16"/>
          <w:sz w:val="18"/>
        </w:rPr>
        <w:t> </w:t>
      </w:r>
      <w:r>
        <w:rPr>
          <w:i/>
          <w:sz w:val="18"/>
        </w:rPr>
        <w:t>recae</w:t>
      </w:r>
      <w:r>
        <w:rPr>
          <w:i/>
          <w:spacing w:val="-16"/>
          <w:sz w:val="18"/>
        </w:rPr>
        <w:t> </w:t>
      </w:r>
      <w:r>
        <w:rPr>
          <w:i/>
          <w:sz w:val="18"/>
        </w:rPr>
        <w:t>sobre</w:t>
      </w:r>
      <w:r>
        <w:rPr>
          <w:i/>
          <w:spacing w:val="-16"/>
          <w:sz w:val="18"/>
        </w:rPr>
        <w:t> </w:t>
      </w:r>
      <w:r>
        <w:rPr>
          <w:i/>
          <w:sz w:val="18"/>
        </w:rPr>
        <w:t>el cuerpo</w:t>
      </w:r>
      <w:r>
        <w:rPr>
          <w:i/>
          <w:spacing w:val="-6"/>
          <w:sz w:val="18"/>
        </w:rPr>
        <w:t> </w:t>
      </w:r>
      <w:r>
        <w:rPr>
          <w:i/>
          <w:sz w:val="18"/>
        </w:rPr>
        <w:t>político</w:t>
      </w:r>
      <w:r>
        <w:rPr>
          <w:i/>
          <w:spacing w:val="-6"/>
          <w:sz w:val="18"/>
        </w:rPr>
        <w:t> </w:t>
      </w:r>
      <w:r>
        <w:rPr>
          <w:i/>
          <w:sz w:val="18"/>
        </w:rPr>
        <w:t>que</w:t>
      </w:r>
      <w:r>
        <w:rPr>
          <w:i/>
          <w:spacing w:val="-6"/>
          <w:sz w:val="18"/>
        </w:rPr>
        <w:t> </w:t>
      </w:r>
      <w:r>
        <w:rPr>
          <w:i/>
          <w:sz w:val="18"/>
        </w:rPr>
        <w:t>hemos</w:t>
      </w:r>
      <w:r>
        <w:rPr>
          <w:i/>
          <w:spacing w:val="-6"/>
          <w:sz w:val="18"/>
        </w:rPr>
        <w:t> </w:t>
      </w:r>
      <w:r>
        <w:rPr>
          <w:i/>
          <w:sz w:val="18"/>
        </w:rPr>
        <w:t>designado</w:t>
      </w:r>
      <w:r>
        <w:rPr>
          <w:i/>
          <w:spacing w:val="-6"/>
          <w:sz w:val="18"/>
        </w:rPr>
        <w:t> </w:t>
      </w:r>
      <w:r>
        <w:rPr>
          <w:i/>
          <w:sz w:val="18"/>
        </w:rPr>
        <w:t>como</w:t>
      </w:r>
      <w:r>
        <w:rPr>
          <w:i/>
          <w:spacing w:val="-6"/>
          <w:sz w:val="18"/>
        </w:rPr>
        <w:t> </w:t>
      </w:r>
      <w:r>
        <w:rPr>
          <w:i/>
          <w:sz w:val="18"/>
        </w:rPr>
        <w:t>“más</w:t>
      </w:r>
      <w:r>
        <w:rPr>
          <w:i/>
          <w:spacing w:val="-6"/>
          <w:sz w:val="18"/>
        </w:rPr>
        <w:t> </w:t>
      </w:r>
      <w:r>
        <w:rPr>
          <w:i/>
          <w:sz w:val="18"/>
        </w:rPr>
        <w:t>distante”,</w:t>
      </w:r>
      <w:r>
        <w:rPr>
          <w:i/>
          <w:spacing w:val="-6"/>
          <w:sz w:val="18"/>
        </w:rPr>
        <w:t> </w:t>
      </w:r>
      <w:r>
        <w:rPr>
          <w:i/>
          <w:sz w:val="18"/>
        </w:rPr>
        <w:t>decidir</w:t>
      </w:r>
      <w:r>
        <w:rPr>
          <w:i/>
          <w:spacing w:val="-6"/>
          <w:sz w:val="18"/>
        </w:rPr>
        <w:t> </w:t>
      </w:r>
      <w:r>
        <w:rPr>
          <w:i/>
          <w:sz w:val="18"/>
        </w:rPr>
        <w:t>en</w:t>
      </w:r>
      <w:r>
        <w:rPr>
          <w:i/>
          <w:spacing w:val="-6"/>
          <w:sz w:val="18"/>
        </w:rPr>
        <w:t> </w:t>
      </w:r>
      <w:r>
        <w:rPr>
          <w:i/>
          <w:sz w:val="18"/>
        </w:rPr>
        <w:t>qué</w:t>
      </w:r>
      <w:r>
        <w:rPr>
          <w:i/>
          <w:spacing w:val="-6"/>
          <w:sz w:val="18"/>
        </w:rPr>
        <w:t> </w:t>
      </w:r>
      <w:r>
        <w:rPr>
          <w:i/>
          <w:sz w:val="18"/>
        </w:rPr>
        <w:t>nivel</w:t>
      </w:r>
      <w:r>
        <w:rPr>
          <w:i/>
          <w:spacing w:val="-6"/>
          <w:sz w:val="18"/>
        </w:rPr>
        <w:t> </w:t>
      </w:r>
      <w:r>
        <w:rPr>
          <w:i/>
          <w:sz w:val="18"/>
        </w:rPr>
        <w:t>se</w:t>
      </w:r>
      <w:r>
        <w:rPr>
          <w:i/>
          <w:spacing w:val="-6"/>
          <w:sz w:val="18"/>
        </w:rPr>
        <w:t> </w:t>
      </w:r>
      <w:r>
        <w:rPr>
          <w:i/>
          <w:sz w:val="18"/>
        </w:rPr>
        <w:t>desempeñan las diferentes funciones</w:t>
      </w:r>
      <w:r>
        <w:rPr>
          <w:sz w:val="18"/>
        </w:rPr>
        <w:t>. </w:t>
      </w:r>
      <w:r>
        <w:rPr>
          <w:spacing w:val="-3"/>
          <w:sz w:val="18"/>
        </w:rPr>
        <w:t>Watts, </w:t>
      </w:r>
      <w:r>
        <w:rPr>
          <w:sz w:val="18"/>
        </w:rPr>
        <w:t>Ronald L.; </w:t>
      </w:r>
      <w:r>
        <w:rPr>
          <w:i/>
          <w:sz w:val="18"/>
        </w:rPr>
        <w:t>sistemas federales comparados, </w:t>
      </w:r>
      <w:r>
        <w:rPr>
          <w:sz w:val="18"/>
        </w:rPr>
        <w:t>Madrid-Barcelona España, Marcial Pons ediciones jurídicas y sociales S.</w:t>
      </w:r>
      <w:r>
        <w:rPr>
          <w:spacing w:val="-33"/>
          <w:sz w:val="18"/>
        </w:rPr>
        <w:t> </w:t>
      </w:r>
      <w:r>
        <w:rPr>
          <w:sz w:val="18"/>
        </w:rPr>
        <w:t>A., 2006, p. 95.</w:t>
      </w:r>
    </w:p>
    <w:p>
      <w:pPr>
        <w:spacing w:after="0" w:line="249" w:lineRule="auto"/>
        <w:jc w:val="both"/>
        <w:rPr>
          <w:sz w:val="18"/>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35" w:lineRule="auto" w:before="75"/>
        <w:ind w:left="110" w:right="114"/>
        <w:jc w:val="both"/>
      </w:pPr>
      <w:r>
        <w:rPr/>
        <w:t>pese a ser la última entre las cinco razones que </w:t>
      </w:r>
      <w:r>
        <w:rPr>
          <w:spacing w:val="-4"/>
        </w:rPr>
        <w:t>Watts </w:t>
      </w:r>
      <w:r>
        <w:rPr/>
        <w:t>aporta, la causa subsidiaria constituye la fórmula federal de disciplina humanista y social: la primera refuerza la visión política clásica de Alexis de Tocqueville (1805- 1859) sobre la necesidad de acción simultánea entre un gobierno compartido para fines excepcionales y un gobierno autónomo para asuntos cotidianos,   la segunda y la tercera son vertientes de identidad económico-estatal desde  lo global y lo local así como desde diferentes instrumentaciones comunes, mientras que la cuarta alude una analogía con respecto al cambio</w:t>
      </w:r>
      <w:r>
        <w:rPr>
          <w:spacing w:val="-32"/>
        </w:rPr>
        <w:t> </w:t>
      </w:r>
      <w:r>
        <w:rPr/>
        <w:t>tecnológico a manera de redes de trabajo interactivo no centralizado</w:t>
      </w:r>
      <w:r>
        <w:rPr>
          <w:position w:val="8"/>
          <w:sz w:val="13"/>
        </w:rPr>
        <w:t>13</w:t>
      </w:r>
      <w:r>
        <w:rPr/>
        <w:t>. Con la proyección contemporánea del federalismo subsidiario, el Principio de Subsidiariedad suma</w:t>
      </w:r>
      <w:r>
        <w:rPr>
          <w:spacing w:val="-11"/>
        </w:rPr>
        <w:t> </w:t>
      </w:r>
      <w:r>
        <w:rPr/>
        <w:t>ahora</w:t>
      </w:r>
      <w:r>
        <w:rPr>
          <w:spacing w:val="-12"/>
        </w:rPr>
        <w:t> </w:t>
      </w:r>
      <w:r>
        <w:rPr/>
        <w:t>dos</w:t>
      </w:r>
      <w:r>
        <w:rPr>
          <w:spacing w:val="-12"/>
        </w:rPr>
        <w:t> </w:t>
      </w:r>
      <w:r>
        <w:rPr/>
        <w:t>sentidos</w:t>
      </w:r>
      <w:r>
        <w:rPr>
          <w:spacing w:val="-11"/>
        </w:rPr>
        <w:t> </w:t>
      </w:r>
      <w:r>
        <w:rPr/>
        <w:t>de</w:t>
      </w:r>
      <w:r>
        <w:rPr>
          <w:spacing w:val="-12"/>
        </w:rPr>
        <w:t> </w:t>
      </w:r>
      <w:r>
        <w:rPr/>
        <w:t>aplicación:</w:t>
      </w:r>
      <w:r>
        <w:rPr>
          <w:spacing w:val="-12"/>
        </w:rPr>
        <w:t> </w:t>
      </w:r>
      <w:r>
        <w:rPr/>
        <w:t>a)</w:t>
      </w:r>
      <w:r>
        <w:rPr>
          <w:spacing w:val="-12"/>
        </w:rPr>
        <w:t> </w:t>
      </w:r>
      <w:r>
        <w:rPr/>
        <w:t>concebido</w:t>
      </w:r>
      <w:r>
        <w:rPr>
          <w:spacing w:val="-12"/>
        </w:rPr>
        <w:t> </w:t>
      </w:r>
      <w:r>
        <w:rPr/>
        <w:t>como</w:t>
      </w:r>
      <w:r>
        <w:rPr>
          <w:spacing w:val="-12"/>
        </w:rPr>
        <w:t> </w:t>
      </w:r>
      <w:r>
        <w:rPr/>
        <w:t>sentido</w:t>
      </w:r>
      <w:r>
        <w:rPr>
          <w:spacing w:val="-11"/>
        </w:rPr>
        <w:t> </w:t>
      </w:r>
      <w:r>
        <w:rPr/>
        <w:t>ascendente o clásico, se refiere a la formación y organización de individuos y</w:t>
      </w:r>
      <w:r>
        <w:rPr>
          <w:spacing w:val="-30"/>
        </w:rPr>
        <w:t> </w:t>
      </w:r>
      <w:r>
        <w:rPr/>
        <w:t>sociedades menores</w:t>
      </w:r>
      <w:r>
        <w:rPr>
          <w:spacing w:val="-7"/>
        </w:rPr>
        <w:t> </w:t>
      </w:r>
      <w:r>
        <w:rPr/>
        <w:t>para</w:t>
      </w:r>
      <w:r>
        <w:rPr>
          <w:spacing w:val="-7"/>
        </w:rPr>
        <w:t> </w:t>
      </w:r>
      <w:r>
        <w:rPr/>
        <w:t>que</w:t>
      </w:r>
      <w:r>
        <w:rPr>
          <w:spacing w:val="-7"/>
        </w:rPr>
        <w:t> </w:t>
      </w:r>
      <w:r>
        <w:rPr/>
        <w:t>sean</w:t>
      </w:r>
      <w:r>
        <w:rPr>
          <w:spacing w:val="-7"/>
        </w:rPr>
        <w:t> </w:t>
      </w:r>
      <w:r>
        <w:rPr/>
        <w:t>capaces</w:t>
      </w:r>
      <w:r>
        <w:rPr>
          <w:spacing w:val="-7"/>
        </w:rPr>
        <w:t> </w:t>
      </w:r>
      <w:r>
        <w:rPr/>
        <w:t>hasta</w:t>
      </w:r>
      <w:r>
        <w:rPr>
          <w:spacing w:val="-7"/>
        </w:rPr>
        <w:t> </w:t>
      </w:r>
      <w:r>
        <w:rPr/>
        <w:t>ciertos</w:t>
      </w:r>
      <w:r>
        <w:rPr>
          <w:spacing w:val="-7"/>
        </w:rPr>
        <w:t> </w:t>
      </w:r>
      <w:r>
        <w:rPr/>
        <w:t>límites</w:t>
      </w:r>
      <w:r>
        <w:rPr>
          <w:spacing w:val="-7"/>
        </w:rPr>
        <w:t> </w:t>
      </w:r>
      <w:r>
        <w:rPr/>
        <w:t>de</w:t>
      </w:r>
      <w:r>
        <w:rPr>
          <w:spacing w:val="-7"/>
        </w:rPr>
        <w:t> </w:t>
      </w:r>
      <w:r>
        <w:rPr/>
        <w:t>solucionar</w:t>
      </w:r>
      <w:r>
        <w:rPr>
          <w:spacing w:val="-6"/>
        </w:rPr>
        <w:t> </w:t>
      </w:r>
      <w:r>
        <w:rPr/>
        <w:t>sus</w:t>
      </w:r>
      <w:r>
        <w:rPr>
          <w:spacing w:val="-7"/>
        </w:rPr>
        <w:t> </w:t>
      </w:r>
      <w:r>
        <w:rPr/>
        <w:t>propios intereses</w:t>
      </w:r>
      <w:r>
        <w:rPr>
          <w:spacing w:val="-13"/>
        </w:rPr>
        <w:t> </w:t>
      </w:r>
      <w:r>
        <w:rPr/>
        <w:t>de</w:t>
      </w:r>
      <w:r>
        <w:rPr>
          <w:spacing w:val="-12"/>
        </w:rPr>
        <w:t> </w:t>
      </w:r>
      <w:r>
        <w:rPr/>
        <w:t>manera</w:t>
      </w:r>
      <w:r>
        <w:rPr>
          <w:spacing w:val="-13"/>
        </w:rPr>
        <w:t> </w:t>
      </w:r>
      <w:r>
        <w:rPr/>
        <w:t>autónoma,</w:t>
      </w:r>
      <w:r>
        <w:rPr>
          <w:spacing w:val="-13"/>
        </w:rPr>
        <w:t> </w:t>
      </w:r>
      <w:r>
        <w:rPr/>
        <w:t>y</w:t>
      </w:r>
      <w:r>
        <w:rPr>
          <w:spacing w:val="-12"/>
        </w:rPr>
        <w:t> </w:t>
      </w:r>
      <w:r>
        <w:rPr/>
        <w:t>b)</w:t>
      </w:r>
      <w:r>
        <w:rPr>
          <w:spacing w:val="-12"/>
        </w:rPr>
        <w:t> </w:t>
      </w:r>
      <w:r>
        <w:rPr/>
        <w:t>entendido</w:t>
      </w:r>
      <w:r>
        <w:rPr>
          <w:spacing w:val="-13"/>
        </w:rPr>
        <w:t> </w:t>
      </w:r>
      <w:r>
        <w:rPr/>
        <w:t>como</w:t>
      </w:r>
      <w:r>
        <w:rPr>
          <w:spacing w:val="-12"/>
        </w:rPr>
        <w:t> </w:t>
      </w:r>
      <w:r>
        <w:rPr/>
        <w:t>sentido</w:t>
      </w:r>
      <w:r>
        <w:rPr>
          <w:spacing w:val="-12"/>
        </w:rPr>
        <w:t> </w:t>
      </w:r>
      <w:r>
        <w:rPr/>
        <w:t>descendente</w:t>
      </w:r>
      <w:r>
        <w:rPr>
          <w:spacing w:val="-12"/>
        </w:rPr>
        <w:t> </w:t>
      </w:r>
      <w:r>
        <w:rPr/>
        <w:t>o</w:t>
      </w:r>
      <w:r>
        <w:rPr>
          <w:spacing w:val="-12"/>
        </w:rPr>
        <w:t> </w:t>
      </w:r>
      <w:r>
        <w:rPr/>
        <w:t>del estado multijurisdiccional, se relaciona con el impulso de diferentes formas de</w:t>
      </w:r>
      <w:r>
        <w:rPr>
          <w:spacing w:val="-5"/>
        </w:rPr>
        <w:t> </w:t>
      </w:r>
      <w:r>
        <w:rPr/>
        <w:t>asociación</w:t>
      </w:r>
      <w:r>
        <w:rPr>
          <w:spacing w:val="-6"/>
        </w:rPr>
        <w:t> </w:t>
      </w:r>
      <w:r>
        <w:rPr/>
        <w:t>organizativa</w:t>
      </w:r>
      <w:r>
        <w:rPr>
          <w:spacing w:val="-5"/>
        </w:rPr>
        <w:t> </w:t>
      </w:r>
      <w:r>
        <w:rPr/>
        <w:t>para</w:t>
      </w:r>
      <w:r>
        <w:rPr>
          <w:spacing w:val="-5"/>
        </w:rPr>
        <w:t> </w:t>
      </w:r>
      <w:r>
        <w:rPr/>
        <w:t>la</w:t>
      </w:r>
      <w:r>
        <w:rPr>
          <w:spacing w:val="-5"/>
        </w:rPr>
        <w:t> </w:t>
      </w:r>
      <w:r>
        <w:rPr/>
        <w:t>conservación</w:t>
      </w:r>
      <w:r>
        <w:rPr>
          <w:spacing w:val="-6"/>
        </w:rPr>
        <w:t> </w:t>
      </w:r>
      <w:r>
        <w:rPr/>
        <w:t>de</w:t>
      </w:r>
      <w:r>
        <w:rPr>
          <w:spacing w:val="-5"/>
        </w:rPr>
        <w:t> </w:t>
      </w:r>
      <w:r>
        <w:rPr/>
        <w:t>las</w:t>
      </w:r>
      <w:r>
        <w:rPr>
          <w:spacing w:val="-5"/>
        </w:rPr>
        <w:t> </w:t>
      </w:r>
      <w:r>
        <w:rPr/>
        <w:t>atribuciones</w:t>
      </w:r>
      <w:r>
        <w:rPr>
          <w:spacing w:val="-6"/>
        </w:rPr>
        <w:t> </w:t>
      </w:r>
      <w:r>
        <w:rPr/>
        <w:t>locales</w:t>
      </w:r>
      <w:r>
        <w:rPr>
          <w:spacing w:val="-5"/>
        </w:rPr>
        <w:t> </w:t>
      </w:r>
      <w:r>
        <w:rPr/>
        <w:t>en función del potencial adquirido para privilegiar al </w:t>
      </w:r>
      <w:r>
        <w:rPr>
          <w:i/>
        </w:rPr>
        <w:t>individuo humano como </w:t>
      </w:r>
      <w:r>
        <w:rPr>
          <w:i/>
        </w:rPr>
        <w:t>criterio</w:t>
      </w:r>
      <w:r>
        <w:rPr>
          <w:i/>
          <w:spacing w:val="-14"/>
        </w:rPr>
        <w:t> </w:t>
      </w:r>
      <w:r>
        <w:rPr>
          <w:i/>
        </w:rPr>
        <w:t>supremo</w:t>
      </w:r>
      <w:r>
        <w:rPr/>
        <w:t>.</w:t>
      </w:r>
    </w:p>
    <w:p>
      <w:pPr>
        <w:pStyle w:val="BodyText"/>
        <w:spacing w:before="7"/>
        <w:rPr>
          <w:sz w:val="22"/>
        </w:rPr>
      </w:pPr>
    </w:p>
    <w:p>
      <w:pPr>
        <w:pStyle w:val="BodyText"/>
        <w:spacing w:line="235" w:lineRule="auto" w:before="1"/>
        <w:ind w:left="110" w:right="114"/>
        <w:jc w:val="both"/>
      </w:pPr>
      <w:r>
        <w:rPr/>
        <w:t>Otra visión federalista contemporánea establece que el desempeño</w:t>
      </w:r>
      <w:r>
        <w:rPr>
          <w:spacing w:val="-38"/>
        </w:rPr>
        <w:t> </w:t>
      </w:r>
      <w:r>
        <w:rPr/>
        <w:t>netamente jurídico de los sistemas federales ocasiona que sólo se distribuyan facultades o, en el mejor de los casos, se descentralice para prescindir operativamente del otro nivel de gobierno en lugar de privilegiar una acción coordinada,   una perspectiva relativamente congruente con el federalismo subsidiario. Como planteamiento del problema, Oscar Mauricio Covarrubias Moreno, en el marco de los debates por la reforma del Estado que fomenta el Consejo Latinoamericano de Administración para el Desarrollo (CLAD), señala que los problemas públicos se han desbordado más allá de los límites político- administrativos que fija el Estado multijurisdiccional, lo cual para ese tipo</w:t>
      </w:r>
      <w:r>
        <w:rPr>
          <w:spacing w:val="-23"/>
        </w:rPr>
        <w:t> </w:t>
      </w:r>
      <w:r>
        <w:rPr/>
        <w:t>de Estado ocasiona el crecimiento de la transversalidad y la interdependencia</w:t>
      </w:r>
      <w:r>
        <w:rPr>
          <w:position w:val="8"/>
          <w:sz w:val="13"/>
        </w:rPr>
        <w:t>14</w:t>
      </w:r>
      <w:r>
        <w:rPr/>
        <w:t>. Es por ello que ante el cuestionamiento </w:t>
      </w:r>
      <w:r>
        <w:rPr>
          <w:i/>
        </w:rPr>
        <w:t>¿a qué combinación de gobiernos </w:t>
      </w:r>
      <w:r>
        <w:rPr>
          <w:i/>
        </w:rPr>
        <w:t>corresponde determinado problema?</w:t>
      </w:r>
      <w:r>
        <w:rPr/>
        <w:t>, se deben desarrollar capacidades institucionales en dichos gobiernos para formular políticas propias y operacionalizar proyectos conjuntos</w:t>
      </w:r>
      <w:r>
        <w:rPr>
          <w:position w:val="8"/>
          <w:sz w:val="13"/>
        </w:rPr>
        <w:t>15</w:t>
      </w:r>
      <w:r>
        <w:rPr/>
        <w:t>. Al perfilarse la coordinación como </w:t>
      </w:r>
      <w:r>
        <w:rPr>
          <w:u w:val="single"/>
        </w:rPr>
        <w:t>una  vía  de  est</w:t>
      </w:r>
      <w:r>
        <w:rPr/>
        <w:t>udio de  la  administración pública,  las  soluciones </w:t>
      </w:r>
      <w:r>
        <w:rPr>
          <w:spacing w:val="4"/>
        </w:rPr>
        <w:t> </w:t>
      </w:r>
      <w:r>
        <w:rPr/>
        <w:t>objetivas</w:t>
      </w:r>
    </w:p>
    <w:p>
      <w:pPr>
        <w:spacing w:before="72"/>
        <w:ind w:left="110" w:right="0" w:firstLine="0"/>
        <w:jc w:val="both"/>
        <w:rPr>
          <w:sz w:val="18"/>
        </w:rPr>
      </w:pPr>
      <w:r>
        <w:rPr>
          <w:position w:val="7"/>
          <w:sz w:val="11"/>
        </w:rPr>
        <w:t>13    </w:t>
      </w:r>
      <w:r>
        <w:rPr>
          <w:i/>
          <w:sz w:val="18"/>
        </w:rPr>
        <w:t>Ibídem</w:t>
      </w:r>
      <w:r>
        <w:rPr>
          <w:sz w:val="18"/>
        </w:rPr>
        <w:t>, p. 93-95.</w:t>
      </w:r>
    </w:p>
    <w:p>
      <w:pPr>
        <w:spacing w:line="249" w:lineRule="auto" w:before="28"/>
        <w:ind w:left="337" w:right="115" w:hanging="227"/>
        <w:jc w:val="both"/>
        <w:rPr>
          <w:sz w:val="18"/>
        </w:rPr>
      </w:pPr>
      <w:r>
        <w:rPr>
          <w:position w:val="7"/>
          <w:sz w:val="11"/>
        </w:rPr>
        <w:t>14 </w:t>
      </w:r>
      <w:r>
        <w:rPr>
          <w:sz w:val="18"/>
        </w:rPr>
        <w:t>Covarrubias, Oscar M., </w:t>
      </w:r>
      <w:r>
        <w:rPr>
          <w:i/>
          <w:sz w:val="18"/>
        </w:rPr>
        <w:t>transversalidad y coordinación de las políticas de estado en el </w:t>
      </w:r>
      <w:r>
        <w:rPr>
          <w:i/>
          <w:sz w:val="18"/>
        </w:rPr>
        <w:t>federalismo</w:t>
      </w:r>
      <w:r>
        <w:rPr>
          <w:sz w:val="18"/>
        </w:rPr>
        <w:t>,</w:t>
      </w:r>
      <w:r>
        <w:rPr>
          <w:spacing w:val="-14"/>
          <w:sz w:val="18"/>
        </w:rPr>
        <w:t> </w:t>
      </w:r>
      <w:r>
        <w:rPr>
          <w:sz w:val="18"/>
        </w:rPr>
        <w:t>Caracas</w:t>
      </w:r>
      <w:r>
        <w:rPr>
          <w:spacing w:val="-18"/>
          <w:sz w:val="18"/>
        </w:rPr>
        <w:t> </w:t>
      </w:r>
      <w:r>
        <w:rPr>
          <w:sz w:val="18"/>
        </w:rPr>
        <w:t>Venezuela,</w:t>
      </w:r>
      <w:r>
        <w:rPr>
          <w:spacing w:val="-15"/>
          <w:sz w:val="18"/>
        </w:rPr>
        <w:t> </w:t>
      </w:r>
      <w:r>
        <w:rPr>
          <w:sz w:val="18"/>
        </w:rPr>
        <w:t>Consejo</w:t>
      </w:r>
      <w:r>
        <w:rPr>
          <w:spacing w:val="-14"/>
          <w:sz w:val="18"/>
        </w:rPr>
        <w:t> </w:t>
      </w:r>
      <w:r>
        <w:rPr>
          <w:sz w:val="18"/>
        </w:rPr>
        <w:t>Latinoamericano</w:t>
      </w:r>
      <w:r>
        <w:rPr>
          <w:spacing w:val="-15"/>
          <w:sz w:val="18"/>
        </w:rPr>
        <w:t> </w:t>
      </w:r>
      <w:r>
        <w:rPr>
          <w:sz w:val="18"/>
        </w:rPr>
        <w:t>de</w:t>
      </w:r>
      <w:r>
        <w:rPr>
          <w:spacing w:val="-23"/>
          <w:sz w:val="18"/>
        </w:rPr>
        <w:t> </w:t>
      </w:r>
      <w:r>
        <w:rPr>
          <w:sz w:val="18"/>
        </w:rPr>
        <w:t>Administración</w:t>
      </w:r>
      <w:r>
        <w:rPr>
          <w:spacing w:val="-14"/>
          <w:sz w:val="18"/>
        </w:rPr>
        <w:t> </w:t>
      </w:r>
      <w:r>
        <w:rPr>
          <w:sz w:val="18"/>
        </w:rPr>
        <w:t>para</w:t>
      </w:r>
      <w:r>
        <w:rPr>
          <w:spacing w:val="-14"/>
          <w:sz w:val="18"/>
        </w:rPr>
        <w:t> </w:t>
      </w:r>
      <w:r>
        <w:rPr>
          <w:sz w:val="18"/>
        </w:rPr>
        <w:t>el</w:t>
      </w:r>
      <w:r>
        <w:rPr>
          <w:spacing w:val="-14"/>
          <w:sz w:val="18"/>
        </w:rPr>
        <w:t> </w:t>
      </w:r>
      <w:r>
        <w:rPr>
          <w:sz w:val="18"/>
        </w:rPr>
        <w:t>Desarrollo (CLAD), 2007, p. 1.</w:t>
      </w:r>
    </w:p>
    <w:p>
      <w:pPr>
        <w:spacing w:before="20"/>
        <w:ind w:left="110" w:right="0" w:firstLine="0"/>
        <w:jc w:val="both"/>
        <w:rPr>
          <w:sz w:val="18"/>
        </w:rPr>
      </w:pPr>
      <w:r>
        <w:rPr>
          <w:position w:val="7"/>
          <w:sz w:val="11"/>
        </w:rPr>
        <w:t>15    </w:t>
      </w:r>
      <w:r>
        <w:rPr>
          <w:i/>
          <w:sz w:val="18"/>
        </w:rPr>
        <w:t>Ibídem</w:t>
      </w:r>
      <w:r>
        <w:rPr>
          <w:sz w:val="18"/>
        </w:rPr>
        <w:t>, p. 47.</w:t>
      </w:r>
    </w:p>
    <w:p>
      <w:pPr>
        <w:spacing w:after="0"/>
        <w:jc w:val="both"/>
        <w:rPr>
          <w:sz w:val="18"/>
        </w:rPr>
        <w:sectPr>
          <w:pgSz w:w="9360" w:h="13040"/>
          <w:pgMar w:header="527" w:footer="515" w:top="720" w:bottom="700" w:left="740" w:right="1300"/>
        </w:sectPr>
      </w:pPr>
    </w:p>
    <w:p>
      <w:pPr>
        <w:pStyle w:val="BodyText"/>
        <w:spacing w:before="11"/>
        <w:rPr>
          <w:sz w:val="29"/>
        </w:rPr>
      </w:pPr>
    </w:p>
    <w:p>
      <w:pPr>
        <w:pStyle w:val="BodyText"/>
        <w:spacing w:line="235" w:lineRule="auto" w:before="75"/>
        <w:ind w:left="117" w:right="107"/>
        <w:jc w:val="both"/>
      </w:pPr>
      <w:r>
        <w:rPr/>
        <w:t>apuntan</w:t>
      </w:r>
      <w:r>
        <w:rPr>
          <w:spacing w:val="-12"/>
        </w:rPr>
        <w:t> </w:t>
      </w:r>
      <w:r>
        <w:rPr/>
        <w:t>hacia</w:t>
      </w:r>
      <w:r>
        <w:rPr>
          <w:spacing w:val="-11"/>
        </w:rPr>
        <w:t> </w:t>
      </w:r>
      <w:r>
        <w:rPr/>
        <w:t>agregados</w:t>
      </w:r>
      <w:r>
        <w:rPr>
          <w:spacing w:val="-12"/>
        </w:rPr>
        <w:t> </w:t>
      </w:r>
      <w:r>
        <w:rPr/>
        <w:t>interorganizacionales</w:t>
      </w:r>
      <w:r>
        <w:rPr>
          <w:spacing w:val="-11"/>
        </w:rPr>
        <w:t> </w:t>
      </w:r>
      <w:r>
        <w:rPr/>
        <w:t>con</w:t>
      </w:r>
      <w:r>
        <w:rPr>
          <w:spacing w:val="-11"/>
        </w:rPr>
        <w:t> </w:t>
      </w:r>
      <w:r>
        <w:rPr/>
        <w:t>doble</w:t>
      </w:r>
      <w:r>
        <w:rPr>
          <w:spacing w:val="-11"/>
        </w:rPr>
        <w:t> </w:t>
      </w:r>
      <w:r>
        <w:rPr/>
        <w:t>propósito:</w:t>
      </w:r>
      <w:r>
        <w:rPr>
          <w:spacing w:val="-11"/>
        </w:rPr>
        <w:t> </w:t>
      </w:r>
      <w:r>
        <w:rPr/>
        <w:t>constituir lugares de actividad como punto obligado y exhortaciones para vincularse intergubernamentalmente. En esos contextos, el análisis de la acción gubernamental debe eslabonar conexiones entre unidades principales y agencias dentro y entre sectores de</w:t>
      </w:r>
      <w:r>
        <w:rPr>
          <w:spacing w:val="-6"/>
        </w:rPr>
        <w:t> </w:t>
      </w:r>
      <w:r>
        <w:rPr/>
        <w:t>gobierno</w:t>
      </w:r>
      <w:r>
        <w:rPr>
          <w:position w:val="8"/>
          <w:sz w:val="13"/>
        </w:rPr>
        <w:t>16</w:t>
      </w:r>
      <w:r>
        <w:rPr/>
        <w:t>.</w:t>
      </w:r>
    </w:p>
    <w:p>
      <w:pPr>
        <w:pStyle w:val="BodyText"/>
        <w:spacing w:before="10"/>
        <w:rPr>
          <w:sz w:val="22"/>
        </w:rPr>
      </w:pPr>
    </w:p>
    <w:p>
      <w:pPr>
        <w:pStyle w:val="BodyText"/>
        <w:spacing w:line="260" w:lineRule="exact"/>
        <w:ind w:left="117" w:right="107"/>
        <w:jc w:val="both"/>
      </w:pPr>
      <w:r>
        <w:rPr/>
        <w:t>El</w:t>
      </w:r>
      <w:r>
        <w:rPr>
          <w:spacing w:val="-12"/>
        </w:rPr>
        <w:t> </w:t>
      </w:r>
      <w:r>
        <w:rPr/>
        <w:t>ámbito</w:t>
      </w:r>
      <w:r>
        <w:rPr>
          <w:spacing w:val="-12"/>
        </w:rPr>
        <w:t> </w:t>
      </w:r>
      <w:r>
        <w:rPr/>
        <w:t>de</w:t>
      </w:r>
      <w:r>
        <w:rPr>
          <w:spacing w:val="-12"/>
        </w:rPr>
        <w:t> </w:t>
      </w:r>
      <w:r>
        <w:rPr/>
        <w:t>aplicación</w:t>
      </w:r>
      <w:r>
        <w:rPr>
          <w:spacing w:val="-12"/>
        </w:rPr>
        <w:t> </w:t>
      </w:r>
      <w:r>
        <w:rPr/>
        <w:t>del</w:t>
      </w:r>
      <w:r>
        <w:rPr>
          <w:spacing w:val="-12"/>
        </w:rPr>
        <w:t> </w:t>
      </w:r>
      <w:r>
        <w:rPr>
          <w:i/>
        </w:rPr>
        <w:t>federalismo</w:t>
      </w:r>
      <w:r>
        <w:rPr>
          <w:i/>
          <w:spacing w:val="-12"/>
        </w:rPr>
        <w:t> </w:t>
      </w:r>
      <w:r>
        <w:rPr>
          <w:i/>
        </w:rPr>
        <w:t>subsidiario</w:t>
      </w:r>
      <w:r>
        <w:rPr>
          <w:i/>
          <w:spacing w:val="-11"/>
        </w:rPr>
        <w:t> </w:t>
      </w:r>
      <w:r>
        <w:rPr/>
        <w:t>se</w:t>
      </w:r>
      <w:r>
        <w:rPr>
          <w:spacing w:val="-12"/>
        </w:rPr>
        <w:t> </w:t>
      </w:r>
      <w:r>
        <w:rPr/>
        <w:t>proyecta</w:t>
      </w:r>
      <w:r>
        <w:rPr>
          <w:spacing w:val="-12"/>
        </w:rPr>
        <w:t> </w:t>
      </w:r>
      <w:r>
        <w:rPr/>
        <w:t>en</w:t>
      </w:r>
      <w:r>
        <w:rPr>
          <w:spacing w:val="-12"/>
        </w:rPr>
        <w:t> </w:t>
      </w:r>
      <w:r>
        <w:rPr/>
        <w:t>forma</w:t>
      </w:r>
      <w:r>
        <w:rPr>
          <w:spacing w:val="-12"/>
        </w:rPr>
        <w:t> </w:t>
      </w:r>
      <w:r>
        <w:rPr/>
        <w:t>muy similar al expuesto sobre la transversalidad y la coordinación en el Estado federal, las diferencias básicas son: 1) el </w:t>
      </w:r>
      <w:r>
        <w:rPr>
          <w:i/>
        </w:rPr>
        <w:t>federalismo subsidiario </w:t>
      </w:r>
      <w:r>
        <w:rPr/>
        <w:t>no parte de una</w:t>
      </w:r>
      <w:r>
        <w:rPr>
          <w:spacing w:val="-17"/>
        </w:rPr>
        <w:t> </w:t>
      </w:r>
      <w:r>
        <w:rPr/>
        <w:t>supuesta</w:t>
      </w:r>
      <w:r>
        <w:rPr>
          <w:spacing w:val="-17"/>
        </w:rPr>
        <w:t> </w:t>
      </w:r>
      <w:r>
        <w:rPr/>
        <w:t>divergencia</w:t>
      </w:r>
      <w:r>
        <w:rPr>
          <w:spacing w:val="-17"/>
        </w:rPr>
        <w:t> </w:t>
      </w:r>
      <w:r>
        <w:rPr/>
        <w:t>entre</w:t>
      </w:r>
      <w:r>
        <w:rPr>
          <w:spacing w:val="-18"/>
        </w:rPr>
        <w:t> </w:t>
      </w:r>
      <w:r>
        <w:rPr/>
        <w:t>descentralización</w:t>
      </w:r>
      <w:r>
        <w:rPr>
          <w:spacing w:val="-17"/>
        </w:rPr>
        <w:t> </w:t>
      </w:r>
      <w:r>
        <w:rPr/>
        <w:t>y</w:t>
      </w:r>
      <w:r>
        <w:rPr>
          <w:spacing w:val="-17"/>
        </w:rPr>
        <w:t> </w:t>
      </w:r>
      <w:r>
        <w:rPr/>
        <w:t>coordinación,</w:t>
      </w:r>
      <w:r>
        <w:rPr>
          <w:spacing w:val="-18"/>
        </w:rPr>
        <w:t> </w:t>
      </w:r>
      <w:r>
        <w:rPr/>
        <w:t>conserva</w:t>
      </w:r>
      <w:r>
        <w:rPr>
          <w:spacing w:val="-18"/>
        </w:rPr>
        <w:t> </w:t>
      </w:r>
      <w:r>
        <w:rPr/>
        <w:t>por su</w:t>
      </w:r>
      <w:r>
        <w:rPr>
          <w:spacing w:val="-25"/>
        </w:rPr>
        <w:t> </w:t>
      </w:r>
      <w:r>
        <w:rPr/>
        <w:t>esencia</w:t>
      </w:r>
      <w:r>
        <w:rPr>
          <w:spacing w:val="-25"/>
        </w:rPr>
        <w:t> </w:t>
      </w:r>
      <w:r>
        <w:rPr/>
        <w:t>el</w:t>
      </w:r>
      <w:r>
        <w:rPr>
          <w:spacing w:val="-25"/>
        </w:rPr>
        <w:t> </w:t>
      </w:r>
      <w:r>
        <w:rPr/>
        <w:t>impulso</w:t>
      </w:r>
      <w:r>
        <w:rPr>
          <w:spacing w:val="-25"/>
        </w:rPr>
        <w:t> </w:t>
      </w:r>
      <w:r>
        <w:rPr/>
        <w:t>descentralizador</w:t>
      </w:r>
      <w:r>
        <w:rPr>
          <w:spacing w:val="-25"/>
        </w:rPr>
        <w:t> </w:t>
      </w:r>
      <w:r>
        <w:rPr/>
        <w:t>hacia</w:t>
      </w:r>
      <w:r>
        <w:rPr>
          <w:spacing w:val="-25"/>
        </w:rPr>
        <w:t> </w:t>
      </w:r>
      <w:r>
        <w:rPr>
          <w:i/>
        </w:rPr>
        <w:t>el</w:t>
      </w:r>
      <w:r>
        <w:rPr>
          <w:i/>
          <w:spacing w:val="-25"/>
        </w:rPr>
        <w:t> </w:t>
      </w:r>
      <w:r>
        <w:rPr>
          <w:i/>
        </w:rPr>
        <w:t>individuo</w:t>
      </w:r>
      <w:r>
        <w:rPr>
          <w:i/>
          <w:spacing w:val="-25"/>
        </w:rPr>
        <w:t> </w:t>
      </w:r>
      <w:r>
        <w:rPr>
          <w:i/>
        </w:rPr>
        <w:t>humano</w:t>
      </w:r>
      <w:r>
        <w:rPr>
          <w:i/>
          <w:spacing w:val="-25"/>
        </w:rPr>
        <w:t> </w:t>
      </w:r>
      <w:r>
        <w:rPr>
          <w:i/>
        </w:rPr>
        <w:t>como</w:t>
      </w:r>
      <w:r>
        <w:rPr>
          <w:i/>
          <w:spacing w:val="-25"/>
        </w:rPr>
        <w:t> </w:t>
      </w:r>
      <w:r>
        <w:rPr>
          <w:i/>
        </w:rPr>
        <w:t>criterio </w:t>
      </w:r>
      <w:r>
        <w:rPr>
          <w:i/>
        </w:rPr>
        <w:t>supremo</w:t>
      </w:r>
      <w:r>
        <w:rPr>
          <w:i/>
          <w:spacing w:val="-6"/>
        </w:rPr>
        <w:t> </w:t>
      </w:r>
      <w:r>
        <w:rPr/>
        <w:t>mediante</w:t>
      </w:r>
      <w:r>
        <w:rPr>
          <w:spacing w:val="-6"/>
        </w:rPr>
        <w:t> </w:t>
      </w:r>
      <w:r>
        <w:rPr/>
        <w:t>el</w:t>
      </w:r>
      <w:r>
        <w:rPr>
          <w:spacing w:val="-5"/>
        </w:rPr>
        <w:t> </w:t>
      </w:r>
      <w:r>
        <w:rPr/>
        <w:t>refuerzo</w:t>
      </w:r>
      <w:r>
        <w:rPr>
          <w:spacing w:val="-5"/>
        </w:rPr>
        <w:t> </w:t>
      </w:r>
      <w:r>
        <w:rPr/>
        <w:t>de</w:t>
      </w:r>
      <w:r>
        <w:rPr>
          <w:spacing w:val="-5"/>
        </w:rPr>
        <w:t> </w:t>
      </w:r>
      <w:r>
        <w:rPr/>
        <w:t>los</w:t>
      </w:r>
      <w:r>
        <w:rPr>
          <w:spacing w:val="-6"/>
        </w:rPr>
        <w:t> </w:t>
      </w:r>
      <w:r>
        <w:rPr/>
        <w:t>órdenes</w:t>
      </w:r>
      <w:r>
        <w:rPr>
          <w:spacing w:val="-5"/>
        </w:rPr>
        <w:t> </w:t>
      </w:r>
      <w:r>
        <w:rPr/>
        <w:t>de</w:t>
      </w:r>
      <w:r>
        <w:rPr>
          <w:spacing w:val="-5"/>
        </w:rPr>
        <w:t> </w:t>
      </w:r>
      <w:r>
        <w:rPr/>
        <w:t>gobierno</w:t>
      </w:r>
      <w:r>
        <w:rPr>
          <w:spacing w:val="-5"/>
        </w:rPr>
        <w:t> </w:t>
      </w:r>
      <w:r>
        <w:rPr/>
        <w:t>más</w:t>
      </w:r>
      <w:r>
        <w:rPr>
          <w:spacing w:val="-6"/>
        </w:rPr>
        <w:t> </w:t>
      </w:r>
      <w:r>
        <w:rPr/>
        <w:t>cercanos,</w:t>
      </w:r>
      <w:r>
        <w:rPr>
          <w:spacing w:val="-6"/>
        </w:rPr>
        <w:t> </w:t>
      </w:r>
      <w:r>
        <w:rPr/>
        <w:t>éstos deben</w:t>
      </w:r>
      <w:r>
        <w:rPr>
          <w:spacing w:val="-12"/>
        </w:rPr>
        <w:t> </w:t>
      </w:r>
      <w:r>
        <w:rPr/>
        <w:t>actuar</w:t>
      </w:r>
      <w:r>
        <w:rPr>
          <w:spacing w:val="-12"/>
        </w:rPr>
        <w:t> </w:t>
      </w:r>
      <w:r>
        <w:rPr/>
        <w:t>a</w:t>
      </w:r>
      <w:r>
        <w:rPr>
          <w:spacing w:val="-12"/>
        </w:rPr>
        <w:t> </w:t>
      </w:r>
      <w:r>
        <w:rPr/>
        <w:t>través</w:t>
      </w:r>
      <w:r>
        <w:rPr>
          <w:spacing w:val="-12"/>
        </w:rPr>
        <w:t> </w:t>
      </w:r>
      <w:r>
        <w:rPr/>
        <w:t>de</w:t>
      </w:r>
      <w:r>
        <w:rPr>
          <w:spacing w:val="-12"/>
        </w:rPr>
        <w:t> </w:t>
      </w:r>
      <w:r>
        <w:rPr/>
        <w:t>sociedades</w:t>
      </w:r>
      <w:r>
        <w:rPr>
          <w:spacing w:val="-11"/>
        </w:rPr>
        <w:t> </w:t>
      </w:r>
      <w:r>
        <w:rPr/>
        <w:t>intermedias</w:t>
      </w:r>
      <w:r>
        <w:rPr>
          <w:spacing w:val="-13"/>
        </w:rPr>
        <w:t> </w:t>
      </w:r>
      <w:r>
        <w:rPr/>
        <w:t>para</w:t>
      </w:r>
      <w:r>
        <w:rPr>
          <w:spacing w:val="-12"/>
        </w:rPr>
        <w:t> </w:t>
      </w:r>
      <w:r>
        <w:rPr/>
        <w:t>la</w:t>
      </w:r>
      <w:r>
        <w:rPr>
          <w:spacing w:val="-12"/>
        </w:rPr>
        <w:t> </w:t>
      </w:r>
      <w:r>
        <w:rPr/>
        <w:t>coordinación</w:t>
      </w:r>
      <w:r>
        <w:rPr>
          <w:spacing w:val="-13"/>
        </w:rPr>
        <w:t> </w:t>
      </w:r>
      <w:r>
        <w:rPr/>
        <w:t>objetiva; y 2) el </w:t>
      </w:r>
      <w:r>
        <w:rPr>
          <w:i/>
        </w:rPr>
        <w:t>federalismo subsidiario </w:t>
      </w:r>
      <w:r>
        <w:rPr/>
        <w:t>presupone, por su jerarquización social, que existe</w:t>
      </w:r>
      <w:r>
        <w:rPr>
          <w:spacing w:val="-25"/>
        </w:rPr>
        <w:t> </w:t>
      </w:r>
      <w:r>
        <w:rPr/>
        <w:t>unidad</w:t>
      </w:r>
      <w:r>
        <w:rPr>
          <w:spacing w:val="-24"/>
        </w:rPr>
        <w:t> </w:t>
      </w:r>
      <w:r>
        <w:rPr/>
        <w:t>entre</w:t>
      </w:r>
      <w:r>
        <w:rPr>
          <w:spacing w:val="-25"/>
        </w:rPr>
        <w:t> </w:t>
      </w:r>
      <w:r>
        <w:rPr/>
        <w:t>los</w:t>
      </w:r>
      <w:r>
        <w:rPr>
          <w:spacing w:val="-25"/>
        </w:rPr>
        <w:t> </w:t>
      </w:r>
      <w:r>
        <w:rPr/>
        <w:t>sectores</w:t>
      </w:r>
      <w:r>
        <w:rPr>
          <w:spacing w:val="-24"/>
        </w:rPr>
        <w:t> </w:t>
      </w:r>
      <w:r>
        <w:rPr/>
        <w:t>de</w:t>
      </w:r>
      <w:r>
        <w:rPr>
          <w:spacing w:val="-24"/>
        </w:rPr>
        <w:t> </w:t>
      </w:r>
      <w:r>
        <w:rPr/>
        <w:t>un</w:t>
      </w:r>
      <w:r>
        <w:rPr>
          <w:spacing w:val="-24"/>
        </w:rPr>
        <w:t> </w:t>
      </w:r>
      <w:r>
        <w:rPr/>
        <w:t>mismo</w:t>
      </w:r>
      <w:r>
        <w:rPr>
          <w:spacing w:val="-25"/>
        </w:rPr>
        <w:t> </w:t>
      </w:r>
      <w:r>
        <w:rPr/>
        <w:t>nivel</w:t>
      </w:r>
      <w:r>
        <w:rPr>
          <w:spacing w:val="-25"/>
        </w:rPr>
        <w:t> </w:t>
      </w:r>
      <w:r>
        <w:rPr/>
        <w:t>de</w:t>
      </w:r>
      <w:r>
        <w:rPr>
          <w:spacing w:val="-24"/>
        </w:rPr>
        <w:t> </w:t>
      </w:r>
      <w:r>
        <w:rPr/>
        <w:t>gobierno</w:t>
      </w:r>
      <w:r>
        <w:rPr>
          <w:spacing w:val="-24"/>
        </w:rPr>
        <w:t> </w:t>
      </w:r>
      <w:r>
        <w:rPr/>
        <w:t>a</w:t>
      </w:r>
      <w:r>
        <w:rPr>
          <w:spacing w:val="-24"/>
        </w:rPr>
        <w:t> </w:t>
      </w:r>
      <w:r>
        <w:rPr/>
        <w:t>diferencia</w:t>
      </w:r>
      <w:r>
        <w:rPr>
          <w:spacing w:val="-24"/>
        </w:rPr>
        <w:t> </w:t>
      </w:r>
      <w:r>
        <w:rPr/>
        <w:t>de</w:t>
      </w:r>
      <w:r>
        <w:rPr>
          <w:spacing w:val="-24"/>
        </w:rPr>
        <w:t> </w:t>
      </w:r>
      <w:r>
        <w:rPr/>
        <w:t>la desigualdad intergubernamental, por lo que descarta el estudio de</w:t>
      </w:r>
      <w:r>
        <w:rPr>
          <w:spacing w:val="-34"/>
        </w:rPr>
        <w:t> </w:t>
      </w:r>
      <w:r>
        <w:rPr/>
        <w:t>conexiones endógenas para enfatizar plenamente lo exógeno. Como aspecto más difuso heredado de la falta de interpretación plena del Principio de Subsidiariedad, el </w:t>
      </w:r>
      <w:r>
        <w:rPr>
          <w:i/>
        </w:rPr>
        <w:t>federalismo subsidiario </w:t>
      </w:r>
      <w:r>
        <w:rPr/>
        <w:t>es difícil de traducir en términos legales y de implementar estratégicamente. Por ello, se ha propuesto el desarrollo de escalas de evaluación con nueve graduaciones (del cero al ocho) para cada uno</w:t>
      </w:r>
      <w:r>
        <w:rPr>
          <w:spacing w:val="-17"/>
        </w:rPr>
        <w:t> </w:t>
      </w:r>
      <w:r>
        <w:rPr/>
        <w:t>de</w:t>
      </w:r>
      <w:r>
        <w:rPr>
          <w:spacing w:val="-17"/>
        </w:rPr>
        <w:t> </w:t>
      </w:r>
      <w:r>
        <w:rPr/>
        <w:t>los</w:t>
      </w:r>
      <w:r>
        <w:rPr>
          <w:spacing w:val="-17"/>
        </w:rPr>
        <w:t> </w:t>
      </w:r>
      <w:r>
        <w:rPr/>
        <w:t>elementos</w:t>
      </w:r>
      <w:r>
        <w:rPr>
          <w:spacing w:val="-17"/>
        </w:rPr>
        <w:t> </w:t>
      </w:r>
      <w:r>
        <w:rPr/>
        <w:t>adaptados</w:t>
      </w:r>
      <w:r>
        <w:rPr>
          <w:spacing w:val="-17"/>
        </w:rPr>
        <w:t> </w:t>
      </w:r>
      <w:r>
        <w:rPr/>
        <w:t>del</w:t>
      </w:r>
      <w:r>
        <w:rPr>
          <w:spacing w:val="-17"/>
        </w:rPr>
        <w:t> </w:t>
      </w:r>
      <w:r>
        <w:rPr/>
        <w:t>Principio</w:t>
      </w:r>
      <w:r>
        <w:rPr>
          <w:spacing w:val="-16"/>
        </w:rPr>
        <w:t> </w:t>
      </w:r>
      <w:r>
        <w:rPr/>
        <w:t>de</w:t>
      </w:r>
      <w:r>
        <w:rPr>
          <w:spacing w:val="-17"/>
        </w:rPr>
        <w:t> </w:t>
      </w:r>
      <w:r>
        <w:rPr/>
        <w:t>Subsidiariedad</w:t>
      </w:r>
      <w:r>
        <w:rPr>
          <w:spacing w:val="-16"/>
        </w:rPr>
        <w:t> </w:t>
      </w:r>
      <w:r>
        <w:rPr/>
        <w:t>al</w:t>
      </w:r>
      <w:r>
        <w:rPr>
          <w:spacing w:val="-17"/>
        </w:rPr>
        <w:t> </w:t>
      </w:r>
      <w:r>
        <w:rPr>
          <w:i/>
        </w:rPr>
        <w:t>federalismo </w:t>
      </w:r>
      <w:r>
        <w:rPr>
          <w:i/>
        </w:rPr>
        <w:t>subsidiario</w:t>
      </w:r>
      <w:r>
        <w:rPr/>
        <w:t>.</w:t>
      </w:r>
      <w:r>
        <w:rPr>
          <w:spacing w:val="-6"/>
        </w:rPr>
        <w:t> </w:t>
      </w:r>
      <w:r>
        <w:rPr/>
        <w:t>La</w:t>
      </w:r>
      <w:r>
        <w:rPr>
          <w:spacing w:val="-7"/>
        </w:rPr>
        <w:t> </w:t>
      </w:r>
      <w:r>
        <w:rPr/>
        <w:t>utilidad</w:t>
      </w:r>
      <w:r>
        <w:rPr>
          <w:spacing w:val="-6"/>
        </w:rPr>
        <w:t> </w:t>
      </w:r>
      <w:r>
        <w:rPr/>
        <w:t>de</w:t>
      </w:r>
      <w:r>
        <w:rPr>
          <w:spacing w:val="-7"/>
        </w:rPr>
        <w:t> </w:t>
      </w:r>
      <w:r>
        <w:rPr/>
        <w:t>las</w:t>
      </w:r>
      <w:r>
        <w:rPr>
          <w:spacing w:val="-7"/>
        </w:rPr>
        <w:t> </w:t>
      </w:r>
      <w:r>
        <w:rPr/>
        <w:t>escalas</w:t>
      </w:r>
      <w:r>
        <w:rPr>
          <w:spacing w:val="-7"/>
        </w:rPr>
        <w:t> </w:t>
      </w:r>
      <w:r>
        <w:rPr/>
        <w:t>es</w:t>
      </w:r>
      <w:r>
        <w:rPr>
          <w:spacing w:val="-6"/>
        </w:rPr>
        <w:t> </w:t>
      </w:r>
      <w:r>
        <w:rPr/>
        <w:t>diagnosticar</w:t>
      </w:r>
      <w:r>
        <w:rPr>
          <w:spacing w:val="-6"/>
        </w:rPr>
        <w:t> </w:t>
      </w:r>
      <w:r>
        <w:rPr/>
        <w:t>el</w:t>
      </w:r>
      <w:r>
        <w:rPr>
          <w:spacing w:val="-7"/>
        </w:rPr>
        <w:t> </w:t>
      </w:r>
      <w:r>
        <w:rPr/>
        <w:t>grado</w:t>
      </w:r>
      <w:r>
        <w:rPr>
          <w:spacing w:val="-6"/>
        </w:rPr>
        <w:t> </w:t>
      </w:r>
      <w:r>
        <w:rPr/>
        <w:t>de</w:t>
      </w:r>
      <w:r>
        <w:rPr>
          <w:spacing w:val="-7"/>
        </w:rPr>
        <w:t> </w:t>
      </w:r>
      <w:r>
        <w:rPr/>
        <w:t>congruencia subsidiaria en las relaciones intergubernamentales, destacar rasgos de afini- dad</w:t>
      </w:r>
      <w:r>
        <w:rPr>
          <w:spacing w:val="-17"/>
        </w:rPr>
        <w:t> </w:t>
      </w:r>
      <w:r>
        <w:rPr/>
        <w:t>subsidiaria,</w:t>
      </w:r>
      <w:r>
        <w:rPr>
          <w:spacing w:val="-17"/>
        </w:rPr>
        <w:t> </w:t>
      </w:r>
      <w:r>
        <w:rPr/>
        <w:t>proponer</w:t>
      </w:r>
      <w:r>
        <w:rPr>
          <w:spacing w:val="-17"/>
        </w:rPr>
        <w:t> </w:t>
      </w:r>
      <w:r>
        <w:rPr/>
        <w:t>cambios</w:t>
      </w:r>
      <w:r>
        <w:rPr>
          <w:spacing w:val="-17"/>
        </w:rPr>
        <w:t> </w:t>
      </w:r>
      <w:r>
        <w:rPr/>
        <w:t>graduales</w:t>
      </w:r>
      <w:r>
        <w:rPr>
          <w:spacing w:val="-17"/>
        </w:rPr>
        <w:t> </w:t>
      </w:r>
      <w:r>
        <w:rPr/>
        <w:t>en</w:t>
      </w:r>
      <w:r>
        <w:rPr>
          <w:spacing w:val="-17"/>
        </w:rPr>
        <w:t> </w:t>
      </w:r>
      <w:r>
        <w:rPr/>
        <w:t>función</w:t>
      </w:r>
      <w:r>
        <w:rPr>
          <w:spacing w:val="-17"/>
        </w:rPr>
        <w:t> </w:t>
      </w:r>
      <w:r>
        <w:rPr/>
        <w:t>de</w:t>
      </w:r>
      <w:r>
        <w:rPr>
          <w:spacing w:val="-17"/>
        </w:rPr>
        <w:t> </w:t>
      </w:r>
      <w:r>
        <w:rPr/>
        <w:t>las</w:t>
      </w:r>
      <w:r>
        <w:rPr>
          <w:spacing w:val="-17"/>
        </w:rPr>
        <w:t> </w:t>
      </w:r>
      <w:r>
        <w:rPr/>
        <w:t>mismas</w:t>
      </w:r>
      <w:r>
        <w:rPr>
          <w:spacing w:val="-17"/>
        </w:rPr>
        <w:t> </w:t>
      </w:r>
      <w:r>
        <w:rPr/>
        <w:t>escalas, e incluso proyectar un </w:t>
      </w:r>
      <w:r>
        <w:rPr>
          <w:i/>
        </w:rPr>
        <w:t>federalismo subsidiario comparado</w:t>
      </w:r>
      <w:r>
        <w:rPr/>
        <w:t>. Hasta la fecha,</w:t>
      </w:r>
      <w:r>
        <w:rPr>
          <w:spacing w:val="-36"/>
        </w:rPr>
        <w:t> </w:t>
      </w:r>
      <w:r>
        <w:rPr/>
        <w:t>se han diseñado ocho escalas para analizar relaciones intergubernamentales en el marco de las finanzas públicas, de las políticas públicas y en la interacción entre la sociedad y el gobierno. En las escalas de evaluación que nos ocupan, los elementos adaptados del Principio de Subsidiariedad al </w:t>
      </w:r>
      <w:r>
        <w:rPr>
          <w:i/>
        </w:rPr>
        <w:t>federalismo </w:t>
      </w:r>
      <w:r>
        <w:rPr>
          <w:i/>
        </w:rPr>
        <w:t>subsidiario</w:t>
      </w:r>
      <w:r>
        <w:rPr>
          <w:i/>
          <w:spacing w:val="-14"/>
        </w:rPr>
        <w:t> </w:t>
      </w:r>
      <w:r>
        <w:rPr/>
        <w:t>son:</w:t>
      </w:r>
    </w:p>
    <w:p>
      <w:pPr>
        <w:pStyle w:val="BodyText"/>
        <w:spacing w:before="7"/>
        <w:rPr>
          <w:sz w:val="22"/>
        </w:rPr>
      </w:pPr>
    </w:p>
    <w:p>
      <w:pPr>
        <w:pStyle w:val="ListParagraph"/>
        <w:numPr>
          <w:ilvl w:val="0"/>
          <w:numId w:val="2"/>
        </w:numPr>
        <w:tabs>
          <w:tab w:pos="684" w:val="left" w:leader="none"/>
        </w:tabs>
        <w:spacing w:line="260" w:lineRule="exact" w:before="0" w:after="0"/>
        <w:ind w:left="684" w:right="107" w:hanging="284"/>
        <w:jc w:val="both"/>
        <w:rPr>
          <w:sz w:val="23"/>
        </w:rPr>
      </w:pPr>
      <w:r>
        <w:rPr/>
        <w:pict>
          <v:line style="position:absolute;mso-position-horizontal-relative:page;mso-position-vertical-relative:paragraph;z-index:1240;mso-wrap-distance-left:0;mso-wrap-distance-right:0" from="70.866096pt,84.779594pt" to="142.866096pt,84.779594pt" stroked="true" strokeweight="1pt" strokecolor="#000000">
            <w10:wrap type="topAndBottom"/>
          </v:line>
        </w:pict>
      </w:r>
      <w:r>
        <w:rPr>
          <w:sz w:val="23"/>
        </w:rPr>
        <w:t>La </w:t>
      </w:r>
      <w:r>
        <w:rPr>
          <w:i/>
          <w:sz w:val="23"/>
        </w:rPr>
        <w:t>capacidad intergubernamental de asociación estratégica</w:t>
      </w:r>
      <w:r>
        <w:rPr>
          <w:sz w:val="23"/>
        </w:rPr>
        <w:t>, derivada del Elemento de Analogía Jerárquica, prevé como ideal que los gobiernos estatales y municipales (las formaciones sociales más simples) constituyan organizaciones intermedias entre ellos y el orden federal de gobierno (la instancia suprema) para lograr conjuntamente sus  fines  sociales.  Al  orientar  una  mejora  continua,  la      </w:t>
      </w:r>
      <w:r>
        <w:rPr>
          <w:spacing w:val="33"/>
          <w:sz w:val="23"/>
        </w:rPr>
        <w:t> </w:t>
      </w:r>
      <w:r>
        <w:rPr>
          <w:sz w:val="23"/>
        </w:rPr>
        <w:t>función</w:t>
      </w:r>
    </w:p>
    <w:p>
      <w:pPr>
        <w:spacing w:before="28"/>
        <w:ind w:left="117" w:right="0" w:firstLine="0"/>
        <w:jc w:val="left"/>
        <w:rPr>
          <w:sz w:val="18"/>
        </w:rPr>
      </w:pPr>
      <w:r>
        <w:rPr>
          <w:position w:val="7"/>
          <w:sz w:val="11"/>
        </w:rPr>
        <w:t>16    </w:t>
      </w:r>
      <w:r>
        <w:rPr>
          <w:i/>
          <w:sz w:val="18"/>
        </w:rPr>
        <w:t>Ibídem</w:t>
      </w:r>
      <w:r>
        <w:rPr>
          <w:sz w:val="18"/>
        </w:rPr>
        <w:t>, p. 98.</w:t>
      </w:r>
    </w:p>
    <w:p>
      <w:pPr>
        <w:spacing w:after="0"/>
        <w:jc w:val="left"/>
        <w:rPr>
          <w:sz w:val="18"/>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677" w:right="115"/>
        <w:jc w:val="both"/>
      </w:pPr>
      <w:r>
        <w:rPr/>
        <w:t>subsidiaria debe centrarse en reforzar las organizaciones existentes y en crear las inexistentes. Por otra parte, al hacer específico este rubro en las relaciones entre sociedad y gobierno la denominación se ajusta  a </w:t>
      </w:r>
      <w:r>
        <w:rPr>
          <w:i/>
        </w:rPr>
        <w:t>capacidad sociedad-gobierno de asociación estratégica</w:t>
      </w:r>
      <w:r>
        <w:rPr/>
        <w:t>, tal como sucede</w:t>
      </w:r>
      <w:r>
        <w:rPr>
          <w:spacing w:val="-11"/>
        </w:rPr>
        <w:t> </w:t>
      </w:r>
      <w:r>
        <w:rPr/>
        <w:t>entre</w:t>
      </w:r>
      <w:r>
        <w:rPr>
          <w:spacing w:val="-11"/>
        </w:rPr>
        <w:t> </w:t>
      </w:r>
      <w:r>
        <w:rPr/>
        <w:t>los</w:t>
      </w:r>
      <w:r>
        <w:rPr>
          <w:spacing w:val="-11"/>
        </w:rPr>
        <w:t> </w:t>
      </w:r>
      <w:r>
        <w:rPr/>
        <w:t>elementos</w:t>
      </w:r>
      <w:r>
        <w:rPr>
          <w:spacing w:val="-12"/>
        </w:rPr>
        <w:t> </w:t>
      </w:r>
      <w:r>
        <w:rPr/>
        <w:t>de</w:t>
      </w:r>
      <w:r>
        <w:rPr>
          <w:spacing w:val="-23"/>
        </w:rPr>
        <w:t> </w:t>
      </w:r>
      <w:r>
        <w:rPr/>
        <w:t>Analogía</w:t>
      </w:r>
      <w:r>
        <w:rPr>
          <w:spacing w:val="-11"/>
        </w:rPr>
        <w:t> </w:t>
      </w:r>
      <w:r>
        <w:rPr/>
        <w:t>Jerárquica</w:t>
      </w:r>
      <w:r>
        <w:rPr>
          <w:spacing w:val="-10"/>
        </w:rPr>
        <w:t> </w:t>
      </w:r>
      <w:r>
        <w:rPr/>
        <w:t>y</w:t>
      </w:r>
      <w:r>
        <w:rPr>
          <w:spacing w:val="-11"/>
        </w:rPr>
        <w:t> </w:t>
      </w:r>
      <w:r>
        <w:rPr/>
        <w:t>Conciencia</w:t>
      </w:r>
      <w:r>
        <w:rPr>
          <w:spacing w:val="-11"/>
        </w:rPr>
        <w:t> </w:t>
      </w:r>
      <w:r>
        <w:rPr/>
        <w:t>Social.</w:t>
      </w:r>
    </w:p>
    <w:p>
      <w:pPr>
        <w:pStyle w:val="BodyText"/>
        <w:spacing w:before="7"/>
        <w:rPr>
          <w:sz w:val="22"/>
        </w:rPr>
      </w:pPr>
    </w:p>
    <w:p>
      <w:pPr>
        <w:pStyle w:val="ListParagraph"/>
        <w:numPr>
          <w:ilvl w:val="0"/>
          <w:numId w:val="2"/>
        </w:numPr>
        <w:tabs>
          <w:tab w:pos="678" w:val="left" w:leader="none"/>
        </w:tabs>
        <w:spacing w:line="260" w:lineRule="exact" w:before="0" w:after="0"/>
        <w:ind w:left="677" w:right="114" w:hanging="284"/>
        <w:jc w:val="both"/>
        <w:rPr>
          <w:sz w:val="23"/>
        </w:rPr>
      </w:pPr>
      <w:r>
        <w:rPr>
          <w:sz w:val="23"/>
        </w:rPr>
        <w:t>La</w:t>
      </w:r>
      <w:r>
        <w:rPr>
          <w:spacing w:val="-19"/>
          <w:sz w:val="23"/>
        </w:rPr>
        <w:t> </w:t>
      </w:r>
      <w:r>
        <w:rPr>
          <w:i/>
          <w:sz w:val="23"/>
        </w:rPr>
        <w:t>restricción</w:t>
      </w:r>
      <w:r>
        <w:rPr>
          <w:i/>
          <w:spacing w:val="-19"/>
          <w:sz w:val="23"/>
        </w:rPr>
        <w:t> </w:t>
      </w:r>
      <w:r>
        <w:rPr>
          <w:i/>
          <w:sz w:val="23"/>
        </w:rPr>
        <w:t>competencial</w:t>
      </w:r>
      <w:r>
        <w:rPr>
          <w:i/>
          <w:spacing w:val="-19"/>
          <w:sz w:val="23"/>
        </w:rPr>
        <w:t> </w:t>
      </w:r>
      <w:r>
        <w:rPr>
          <w:i/>
          <w:sz w:val="23"/>
        </w:rPr>
        <w:t>de</w:t>
      </w:r>
      <w:r>
        <w:rPr>
          <w:i/>
          <w:spacing w:val="-19"/>
          <w:sz w:val="23"/>
        </w:rPr>
        <w:t> </w:t>
      </w:r>
      <w:r>
        <w:rPr>
          <w:i/>
          <w:sz w:val="23"/>
        </w:rPr>
        <w:t>las</w:t>
      </w:r>
      <w:r>
        <w:rPr>
          <w:i/>
          <w:spacing w:val="-19"/>
          <w:sz w:val="23"/>
        </w:rPr>
        <w:t> </w:t>
      </w:r>
      <w:r>
        <w:rPr>
          <w:i/>
          <w:sz w:val="23"/>
        </w:rPr>
        <w:t>formaciones</w:t>
      </w:r>
      <w:r>
        <w:rPr>
          <w:i/>
          <w:spacing w:val="-19"/>
          <w:sz w:val="23"/>
        </w:rPr>
        <w:t> </w:t>
      </w:r>
      <w:r>
        <w:rPr>
          <w:i/>
          <w:sz w:val="23"/>
        </w:rPr>
        <w:t>sociales</w:t>
      </w:r>
      <w:r>
        <w:rPr>
          <w:i/>
          <w:spacing w:val="-18"/>
          <w:sz w:val="23"/>
        </w:rPr>
        <w:t> </w:t>
      </w:r>
      <w:r>
        <w:rPr>
          <w:i/>
          <w:sz w:val="23"/>
        </w:rPr>
        <w:t>más</w:t>
      </w:r>
      <w:r>
        <w:rPr>
          <w:i/>
          <w:spacing w:val="-19"/>
          <w:sz w:val="23"/>
        </w:rPr>
        <w:t> </w:t>
      </w:r>
      <w:r>
        <w:rPr>
          <w:i/>
          <w:sz w:val="23"/>
        </w:rPr>
        <w:t>complejas</w:t>
      </w:r>
      <w:r>
        <w:rPr>
          <w:sz w:val="23"/>
        </w:rPr>
        <w:t>, emanada del Elemento de Delimitación Competencial</w:t>
      </w:r>
      <w:r>
        <w:rPr>
          <w:i/>
          <w:sz w:val="23"/>
        </w:rPr>
        <w:t>, </w:t>
      </w:r>
      <w:r>
        <w:rPr>
          <w:sz w:val="23"/>
        </w:rPr>
        <w:t>se refiere a</w:t>
      </w:r>
      <w:r>
        <w:rPr>
          <w:spacing w:val="-29"/>
          <w:sz w:val="23"/>
        </w:rPr>
        <w:t> </w:t>
      </w:r>
      <w:r>
        <w:rPr>
          <w:sz w:val="23"/>
        </w:rPr>
        <w:t>que, en pro de un mayor desempeño autónomo de las formaciones sociales más simples, la prevención óptima es que ninguna competencia deba ser asignada al nivel más alto que el necesario. En ese sentido, la función subsidiaria será establecer límites racionales entre sociedad y gobierno</w:t>
      </w:r>
      <w:r>
        <w:rPr>
          <w:spacing w:val="-12"/>
          <w:sz w:val="23"/>
        </w:rPr>
        <w:t> </w:t>
      </w:r>
      <w:r>
        <w:rPr>
          <w:sz w:val="23"/>
        </w:rPr>
        <w:t>así</w:t>
      </w:r>
      <w:r>
        <w:rPr>
          <w:spacing w:val="-12"/>
          <w:sz w:val="23"/>
        </w:rPr>
        <w:t> </w:t>
      </w:r>
      <w:r>
        <w:rPr>
          <w:sz w:val="23"/>
        </w:rPr>
        <w:t>como</w:t>
      </w:r>
      <w:r>
        <w:rPr>
          <w:spacing w:val="-12"/>
          <w:sz w:val="23"/>
        </w:rPr>
        <w:t> </w:t>
      </w:r>
      <w:r>
        <w:rPr>
          <w:sz w:val="23"/>
        </w:rPr>
        <w:t>entre</w:t>
      </w:r>
      <w:r>
        <w:rPr>
          <w:spacing w:val="-12"/>
          <w:sz w:val="23"/>
        </w:rPr>
        <w:t> </w:t>
      </w:r>
      <w:r>
        <w:rPr>
          <w:sz w:val="23"/>
        </w:rPr>
        <w:t>los</w:t>
      </w:r>
      <w:r>
        <w:rPr>
          <w:spacing w:val="-12"/>
          <w:sz w:val="23"/>
        </w:rPr>
        <w:t> </w:t>
      </w:r>
      <w:r>
        <w:rPr>
          <w:sz w:val="23"/>
        </w:rPr>
        <w:t>órdenes</w:t>
      </w:r>
      <w:r>
        <w:rPr>
          <w:spacing w:val="-12"/>
          <w:sz w:val="23"/>
        </w:rPr>
        <w:t> </w:t>
      </w:r>
      <w:r>
        <w:rPr>
          <w:sz w:val="23"/>
        </w:rPr>
        <w:t>gubernamentales</w:t>
      </w:r>
      <w:r>
        <w:rPr>
          <w:spacing w:val="-12"/>
          <w:sz w:val="23"/>
        </w:rPr>
        <w:t> </w:t>
      </w:r>
      <w:r>
        <w:rPr>
          <w:sz w:val="23"/>
        </w:rPr>
        <w:t>municipal,</w:t>
      </w:r>
      <w:r>
        <w:rPr>
          <w:spacing w:val="-12"/>
          <w:sz w:val="23"/>
        </w:rPr>
        <w:t> </w:t>
      </w:r>
      <w:r>
        <w:rPr>
          <w:sz w:val="23"/>
        </w:rPr>
        <w:t>estatal y federal.</w:t>
      </w:r>
    </w:p>
    <w:p>
      <w:pPr>
        <w:pStyle w:val="BodyText"/>
        <w:spacing w:before="7"/>
        <w:rPr>
          <w:sz w:val="22"/>
        </w:rPr>
      </w:pPr>
    </w:p>
    <w:p>
      <w:pPr>
        <w:pStyle w:val="ListParagraph"/>
        <w:numPr>
          <w:ilvl w:val="0"/>
          <w:numId w:val="2"/>
        </w:numPr>
        <w:tabs>
          <w:tab w:pos="678" w:val="left" w:leader="none"/>
        </w:tabs>
        <w:spacing w:line="260" w:lineRule="exact" w:before="0" w:after="0"/>
        <w:ind w:left="677" w:right="114" w:hanging="284"/>
        <w:jc w:val="both"/>
        <w:rPr>
          <w:sz w:val="23"/>
        </w:rPr>
      </w:pPr>
      <w:r>
        <w:rPr>
          <w:sz w:val="23"/>
        </w:rPr>
        <w:t>La </w:t>
      </w:r>
      <w:r>
        <w:rPr>
          <w:i/>
          <w:sz w:val="23"/>
        </w:rPr>
        <w:t>evaluación de las sociedades más simples para el ejercicio </w:t>
      </w:r>
      <w:r>
        <w:rPr>
          <w:i/>
          <w:sz w:val="23"/>
        </w:rPr>
        <w:t>subsidiario</w:t>
      </w:r>
      <w:r>
        <w:rPr>
          <w:sz w:val="23"/>
        </w:rPr>
        <w:t>, proveniente del Elemento de Exactitud de Aplicación</w:t>
      </w:r>
      <w:r>
        <w:rPr>
          <w:i/>
          <w:sz w:val="23"/>
        </w:rPr>
        <w:t>, </w:t>
      </w:r>
      <w:r>
        <w:rPr>
          <w:sz w:val="23"/>
        </w:rPr>
        <w:t>se basa en la valoración formal de las formaciones sociales más simples, considerando su naturaleza y circunstancias particulares, para el ejercicio de funciones y competencias. La función subsidiaria debe aplicarse en la evolución objetiva de la referida</w:t>
      </w:r>
      <w:r>
        <w:rPr>
          <w:spacing w:val="-3"/>
          <w:sz w:val="23"/>
        </w:rPr>
        <w:t> </w:t>
      </w:r>
      <w:r>
        <w:rPr>
          <w:sz w:val="23"/>
        </w:rPr>
        <w:t>valoración.</w:t>
      </w:r>
    </w:p>
    <w:p>
      <w:pPr>
        <w:pStyle w:val="BodyText"/>
        <w:spacing w:before="7"/>
        <w:rPr>
          <w:sz w:val="22"/>
        </w:rPr>
      </w:pPr>
    </w:p>
    <w:p>
      <w:pPr>
        <w:pStyle w:val="ListParagraph"/>
        <w:numPr>
          <w:ilvl w:val="0"/>
          <w:numId w:val="2"/>
        </w:numPr>
        <w:tabs>
          <w:tab w:pos="678" w:val="left" w:leader="none"/>
        </w:tabs>
        <w:spacing w:line="260" w:lineRule="exact" w:before="0" w:after="0"/>
        <w:ind w:left="677" w:right="115" w:hanging="284"/>
        <w:jc w:val="both"/>
        <w:rPr>
          <w:sz w:val="23"/>
        </w:rPr>
      </w:pPr>
      <w:r>
        <w:rPr>
          <w:sz w:val="23"/>
        </w:rPr>
        <w:t>El </w:t>
      </w:r>
      <w:r>
        <w:rPr>
          <w:i/>
          <w:sz w:val="23"/>
        </w:rPr>
        <w:t>avance competencial de las sociedades más simples, </w:t>
      </w:r>
      <w:r>
        <w:rPr>
          <w:sz w:val="23"/>
        </w:rPr>
        <w:t>resultante del </w:t>
      </w:r>
      <w:r>
        <w:rPr>
          <w:spacing w:val="2"/>
          <w:sz w:val="23"/>
        </w:rPr>
        <w:t>ElementodeDerechosocial</w:t>
      </w:r>
      <w:r>
        <w:rPr>
          <w:i/>
          <w:spacing w:val="2"/>
          <w:sz w:val="23"/>
        </w:rPr>
        <w:t>,</w:t>
      </w:r>
      <w:r>
        <w:rPr>
          <w:spacing w:val="2"/>
          <w:sz w:val="23"/>
        </w:rPr>
        <w:t>contienecomomáximalasiguientedualidad:</w:t>
      </w:r>
    </w:p>
    <w:p>
      <w:pPr>
        <w:pStyle w:val="ListParagraph"/>
        <w:numPr>
          <w:ilvl w:val="1"/>
          <w:numId w:val="2"/>
        </w:numPr>
        <w:tabs>
          <w:tab w:pos="902" w:val="left" w:leader="none"/>
        </w:tabs>
        <w:spacing w:line="260" w:lineRule="exact" w:before="0" w:after="0"/>
        <w:ind w:left="677" w:right="115" w:firstLine="0"/>
        <w:jc w:val="both"/>
        <w:rPr>
          <w:sz w:val="23"/>
        </w:rPr>
      </w:pPr>
      <w:r>
        <w:rPr>
          <w:sz w:val="23"/>
        </w:rPr>
        <w:t>la</w:t>
      </w:r>
      <w:r>
        <w:rPr>
          <w:spacing w:val="-14"/>
          <w:sz w:val="23"/>
        </w:rPr>
        <w:t> </w:t>
      </w:r>
      <w:r>
        <w:rPr>
          <w:sz w:val="23"/>
        </w:rPr>
        <w:t>procuración</w:t>
      </w:r>
      <w:r>
        <w:rPr>
          <w:spacing w:val="-14"/>
          <w:sz w:val="23"/>
        </w:rPr>
        <w:t> </w:t>
      </w:r>
      <w:r>
        <w:rPr>
          <w:sz w:val="23"/>
        </w:rPr>
        <w:t>del</w:t>
      </w:r>
      <w:r>
        <w:rPr>
          <w:spacing w:val="-14"/>
          <w:sz w:val="23"/>
        </w:rPr>
        <w:t> </w:t>
      </w:r>
      <w:r>
        <w:rPr>
          <w:sz w:val="23"/>
        </w:rPr>
        <w:t>ejercicio</w:t>
      </w:r>
      <w:r>
        <w:rPr>
          <w:spacing w:val="-14"/>
          <w:sz w:val="23"/>
        </w:rPr>
        <w:t> </w:t>
      </w:r>
      <w:r>
        <w:rPr>
          <w:sz w:val="23"/>
        </w:rPr>
        <w:t>de</w:t>
      </w:r>
      <w:r>
        <w:rPr>
          <w:spacing w:val="-14"/>
          <w:sz w:val="23"/>
        </w:rPr>
        <w:t> </w:t>
      </w:r>
      <w:r>
        <w:rPr>
          <w:sz w:val="23"/>
        </w:rPr>
        <w:t>las</w:t>
      </w:r>
      <w:r>
        <w:rPr>
          <w:spacing w:val="-14"/>
          <w:sz w:val="23"/>
        </w:rPr>
        <w:t> </w:t>
      </w:r>
      <w:r>
        <w:rPr>
          <w:sz w:val="23"/>
        </w:rPr>
        <w:t>responsabilidades</w:t>
      </w:r>
      <w:r>
        <w:rPr>
          <w:spacing w:val="-14"/>
          <w:sz w:val="23"/>
        </w:rPr>
        <w:t> </w:t>
      </w:r>
      <w:r>
        <w:rPr>
          <w:sz w:val="23"/>
        </w:rPr>
        <w:t>propias</w:t>
      </w:r>
      <w:r>
        <w:rPr>
          <w:spacing w:val="-14"/>
          <w:sz w:val="23"/>
        </w:rPr>
        <w:t> </w:t>
      </w:r>
      <w:r>
        <w:rPr>
          <w:sz w:val="23"/>
        </w:rPr>
        <w:t>por</w:t>
      </w:r>
      <w:r>
        <w:rPr>
          <w:spacing w:val="-14"/>
          <w:sz w:val="23"/>
        </w:rPr>
        <w:t> </w:t>
      </w:r>
      <w:r>
        <w:rPr>
          <w:sz w:val="23"/>
        </w:rPr>
        <w:t>parte de las formaciones sociales más simples, y b) sólo como última opción subsidiaria, la dotación de un </w:t>
      </w:r>
      <w:r>
        <w:rPr>
          <w:i/>
          <w:sz w:val="23"/>
        </w:rPr>
        <w:t>subsidium </w:t>
      </w:r>
      <w:r>
        <w:rPr>
          <w:sz w:val="23"/>
        </w:rPr>
        <w:t>por parte de las formaciones sociales complejas para que, sin suplir la autorresponsabilidad, provea las condiciones necesarias para la autorrealización de las formaciones sociales simples. Por lo anterior, la función subsidiaria debe orientarse hacia</w:t>
      </w:r>
      <w:r>
        <w:rPr>
          <w:spacing w:val="-18"/>
          <w:sz w:val="23"/>
        </w:rPr>
        <w:t> </w:t>
      </w:r>
      <w:r>
        <w:rPr>
          <w:sz w:val="23"/>
        </w:rPr>
        <w:t>el</w:t>
      </w:r>
      <w:r>
        <w:rPr>
          <w:spacing w:val="-18"/>
          <w:sz w:val="23"/>
        </w:rPr>
        <w:t> </w:t>
      </w:r>
      <w:r>
        <w:rPr>
          <w:sz w:val="23"/>
        </w:rPr>
        <w:t>ejercicio</w:t>
      </w:r>
      <w:r>
        <w:rPr>
          <w:spacing w:val="-18"/>
          <w:sz w:val="23"/>
        </w:rPr>
        <w:t> </w:t>
      </w:r>
      <w:r>
        <w:rPr>
          <w:sz w:val="23"/>
        </w:rPr>
        <w:t>de</w:t>
      </w:r>
      <w:r>
        <w:rPr>
          <w:spacing w:val="-18"/>
          <w:sz w:val="23"/>
        </w:rPr>
        <w:t> </w:t>
      </w:r>
      <w:r>
        <w:rPr>
          <w:sz w:val="23"/>
        </w:rPr>
        <w:t>la</w:t>
      </w:r>
      <w:r>
        <w:rPr>
          <w:spacing w:val="-18"/>
          <w:sz w:val="23"/>
        </w:rPr>
        <w:t> </w:t>
      </w:r>
      <w:r>
        <w:rPr>
          <w:sz w:val="23"/>
        </w:rPr>
        <w:t>autorresponsabilidad</w:t>
      </w:r>
      <w:r>
        <w:rPr>
          <w:spacing w:val="-19"/>
          <w:sz w:val="23"/>
        </w:rPr>
        <w:t> </w:t>
      </w:r>
      <w:r>
        <w:rPr>
          <w:sz w:val="23"/>
        </w:rPr>
        <w:t>por</w:t>
      </w:r>
      <w:r>
        <w:rPr>
          <w:spacing w:val="-18"/>
          <w:sz w:val="23"/>
        </w:rPr>
        <w:t> </w:t>
      </w:r>
      <w:r>
        <w:rPr>
          <w:sz w:val="23"/>
        </w:rPr>
        <w:t>parte</w:t>
      </w:r>
      <w:r>
        <w:rPr>
          <w:spacing w:val="-18"/>
          <w:sz w:val="23"/>
        </w:rPr>
        <w:t> </w:t>
      </w:r>
      <w:r>
        <w:rPr>
          <w:sz w:val="23"/>
        </w:rPr>
        <w:t>de</w:t>
      </w:r>
      <w:r>
        <w:rPr>
          <w:spacing w:val="-18"/>
          <w:sz w:val="23"/>
        </w:rPr>
        <w:t> </w:t>
      </w:r>
      <w:r>
        <w:rPr>
          <w:sz w:val="23"/>
        </w:rPr>
        <w:t>las</w:t>
      </w:r>
      <w:r>
        <w:rPr>
          <w:spacing w:val="-18"/>
          <w:sz w:val="23"/>
        </w:rPr>
        <w:t> </w:t>
      </w:r>
      <w:r>
        <w:rPr>
          <w:sz w:val="23"/>
        </w:rPr>
        <w:t>formaciones sociales más simples, con asistencias justificadas</w:t>
      </w:r>
      <w:r>
        <w:rPr>
          <w:spacing w:val="-12"/>
          <w:sz w:val="23"/>
        </w:rPr>
        <w:t> </w:t>
      </w:r>
      <w:r>
        <w:rPr>
          <w:sz w:val="23"/>
        </w:rPr>
        <w:t>mínimas.</w:t>
      </w:r>
    </w:p>
    <w:p>
      <w:pPr>
        <w:pStyle w:val="BodyText"/>
        <w:spacing w:before="7"/>
        <w:rPr>
          <w:sz w:val="22"/>
        </w:rPr>
      </w:pPr>
    </w:p>
    <w:p>
      <w:pPr>
        <w:pStyle w:val="BodyText"/>
        <w:spacing w:line="260" w:lineRule="exact"/>
        <w:ind w:left="110" w:right="114"/>
        <w:jc w:val="both"/>
      </w:pPr>
      <w:r>
        <w:rPr/>
        <w:t>Hasta la fecha, el contenido del </w:t>
      </w:r>
      <w:r>
        <w:rPr>
          <w:i/>
        </w:rPr>
        <w:t>federalismo subsidiario </w:t>
      </w:r>
      <w:r>
        <w:rPr/>
        <w:t>ha sido aplicado principalmente en la evaluación de los grandes contrastes de la federación mexicana, utilizando para ello una muestra de seis gobiernos estatales: Aguascalientes, Baja California, Guanajuato, Jalisco, Morelos y Querétaro; los cuales habremos de aludir constantemente en el desarrollo del presente trabajo  a  manera  de  antecedente  comparativo.  Por  lo  anterior,  podemos</w:t>
      </w:r>
    </w:p>
    <w:p>
      <w:pPr>
        <w:spacing w:after="0" w:line="260" w:lineRule="exact"/>
        <w:jc w:val="both"/>
        <w:sectPr>
          <w:pgSz w:w="9360" w:h="13040"/>
          <w:pgMar w:header="527" w:footer="515" w:top="720" w:bottom="700" w:left="740" w:right="1300"/>
        </w:sectPr>
      </w:pPr>
    </w:p>
    <w:p>
      <w:pPr>
        <w:pStyle w:val="BodyText"/>
        <w:spacing w:before="11"/>
        <w:rPr>
          <w:sz w:val="29"/>
        </w:rPr>
      </w:pPr>
    </w:p>
    <w:p>
      <w:pPr>
        <w:pStyle w:val="BodyText"/>
        <w:spacing w:line="260" w:lineRule="exact" w:before="77"/>
        <w:ind w:left="117" w:right="108"/>
        <w:jc w:val="both"/>
      </w:pPr>
      <w:r>
        <w:rPr/>
        <w:t>afirmar que el principal constituyente de la asimetría federal mexicana ha sido la lógica creada en su sistema fiscal. El status actual del federalismo fiscal mexicano es resultado de un proceso importante de centralización regulatoria</w:t>
      </w:r>
      <w:r>
        <w:rPr>
          <w:spacing w:val="-18"/>
        </w:rPr>
        <w:t> </w:t>
      </w:r>
      <w:r>
        <w:rPr/>
        <w:t>y</w:t>
      </w:r>
      <w:r>
        <w:rPr>
          <w:spacing w:val="-18"/>
        </w:rPr>
        <w:t> </w:t>
      </w:r>
      <w:r>
        <w:rPr/>
        <w:t>recaudatoria</w:t>
      </w:r>
      <w:r>
        <w:rPr>
          <w:spacing w:val="-18"/>
        </w:rPr>
        <w:t> </w:t>
      </w:r>
      <w:r>
        <w:rPr/>
        <w:t>acaecido</w:t>
      </w:r>
      <w:r>
        <w:rPr>
          <w:spacing w:val="-18"/>
        </w:rPr>
        <w:t> </w:t>
      </w:r>
      <w:r>
        <w:rPr/>
        <w:t>desde</w:t>
      </w:r>
      <w:r>
        <w:rPr>
          <w:spacing w:val="-18"/>
        </w:rPr>
        <w:t> </w:t>
      </w:r>
      <w:r>
        <w:rPr/>
        <w:t>1948,</w:t>
      </w:r>
      <w:r>
        <w:rPr>
          <w:spacing w:val="-18"/>
        </w:rPr>
        <w:t> </w:t>
      </w:r>
      <w:r>
        <w:rPr/>
        <w:t>su</w:t>
      </w:r>
      <w:r>
        <w:rPr>
          <w:spacing w:val="-18"/>
        </w:rPr>
        <w:t> </w:t>
      </w:r>
      <w:r>
        <w:rPr/>
        <w:t>principal</w:t>
      </w:r>
      <w:r>
        <w:rPr>
          <w:spacing w:val="-18"/>
        </w:rPr>
        <w:t> </w:t>
      </w:r>
      <w:r>
        <w:rPr/>
        <w:t>instrumento</w:t>
      </w:r>
      <w:r>
        <w:rPr>
          <w:spacing w:val="-18"/>
        </w:rPr>
        <w:t> </w:t>
      </w:r>
      <w:r>
        <w:rPr/>
        <w:t>fue</w:t>
      </w:r>
      <w:r>
        <w:rPr>
          <w:spacing w:val="-18"/>
        </w:rPr>
        <w:t> </w:t>
      </w:r>
      <w:r>
        <w:rPr/>
        <w:t>la celebración paulatina e incentivada de convenios federación-Estados a</w:t>
      </w:r>
      <w:r>
        <w:rPr>
          <w:spacing w:val="-22"/>
        </w:rPr>
        <w:t> </w:t>
      </w:r>
      <w:r>
        <w:rPr/>
        <w:t>efecto de</w:t>
      </w:r>
      <w:r>
        <w:rPr>
          <w:spacing w:val="-9"/>
        </w:rPr>
        <w:t> </w:t>
      </w:r>
      <w:r>
        <w:rPr/>
        <w:t>que</w:t>
      </w:r>
      <w:r>
        <w:rPr>
          <w:spacing w:val="-9"/>
        </w:rPr>
        <w:t> </w:t>
      </w:r>
      <w:r>
        <w:rPr/>
        <w:t>los</w:t>
      </w:r>
      <w:r>
        <w:rPr>
          <w:spacing w:val="-9"/>
        </w:rPr>
        <w:t> </w:t>
      </w:r>
      <w:r>
        <w:rPr/>
        <w:t>últimos</w:t>
      </w:r>
      <w:r>
        <w:rPr>
          <w:spacing w:val="-9"/>
        </w:rPr>
        <w:t> </w:t>
      </w:r>
      <w:r>
        <w:rPr/>
        <w:t>aceptaran</w:t>
      </w:r>
      <w:r>
        <w:rPr>
          <w:spacing w:val="-9"/>
        </w:rPr>
        <w:t> </w:t>
      </w:r>
      <w:r>
        <w:rPr/>
        <w:t>coordinarse</w:t>
      </w:r>
      <w:r>
        <w:rPr>
          <w:spacing w:val="-9"/>
        </w:rPr>
        <w:t> </w:t>
      </w:r>
      <w:r>
        <w:rPr/>
        <w:t>bajo</w:t>
      </w:r>
      <w:r>
        <w:rPr>
          <w:spacing w:val="-9"/>
        </w:rPr>
        <w:t> </w:t>
      </w:r>
      <w:r>
        <w:rPr/>
        <w:t>la</w:t>
      </w:r>
      <w:r>
        <w:rPr>
          <w:spacing w:val="-9"/>
        </w:rPr>
        <w:t> </w:t>
      </w:r>
      <w:r>
        <w:rPr/>
        <w:t>justificación</w:t>
      </w:r>
      <w:r>
        <w:rPr>
          <w:spacing w:val="-9"/>
        </w:rPr>
        <w:t> </w:t>
      </w:r>
      <w:r>
        <w:rPr/>
        <w:t>de</w:t>
      </w:r>
      <w:r>
        <w:rPr>
          <w:spacing w:val="-9"/>
        </w:rPr>
        <w:t> </w:t>
      </w:r>
      <w:r>
        <w:rPr/>
        <w:t>que</w:t>
      </w:r>
      <w:r>
        <w:rPr>
          <w:spacing w:val="-9"/>
        </w:rPr>
        <w:t> </w:t>
      </w:r>
      <w:r>
        <w:rPr/>
        <w:t>esa</w:t>
      </w:r>
      <w:r>
        <w:rPr>
          <w:spacing w:val="-9"/>
        </w:rPr>
        <w:t> </w:t>
      </w:r>
      <w:r>
        <w:rPr/>
        <w:t>era</w:t>
      </w:r>
      <w:r>
        <w:rPr>
          <w:spacing w:val="-9"/>
        </w:rPr>
        <w:t> </w:t>
      </w:r>
      <w:r>
        <w:rPr/>
        <w:t>la única solución para evitar la tributación múltiple o heterogénea. No obstante, los convenios de adhesión al sistema coordinado han implicado la renuncia constante de los gobiernos estatales al ejercicio de sus facultades tributarias</w:t>
      </w:r>
      <w:r>
        <w:rPr>
          <w:spacing w:val="-33"/>
        </w:rPr>
        <w:t> </w:t>
      </w:r>
      <w:r>
        <w:rPr/>
        <w:t>a cambio de recibir rendimientos de ese sistema sin mayores</w:t>
      </w:r>
      <w:r>
        <w:rPr>
          <w:spacing w:val="-11"/>
        </w:rPr>
        <w:t> </w:t>
      </w:r>
      <w:r>
        <w:rPr/>
        <w:t>esfuerzos.</w:t>
      </w:r>
    </w:p>
    <w:p>
      <w:pPr>
        <w:pStyle w:val="BodyText"/>
        <w:spacing w:before="7"/>
        <w:rPr>
          <w:sz w:val="22"/>
        </w:rPr>
      </w:pPr>
    </w:p>
    <w:p>
      <w:pPr>
        <w:pStyle w:val="BodyText"/>
        <w:spacing w:line="260" w:lineRule="exact"/>
        <w:ind w:left="117" w:right="107" w:firstLine="12"/>
        <w:jc w:val="both"/>
      </w:pPr>
      <w:r>
        <w:rPr/>
        <w:t>Al</w:t>
      </w:r>
      <w:r>
        <w:rPr>
          <w:spacing w:val="-35"/>
        </w:rPr>
        <w:t> </w:t>
      </w:r>
      <w:r>
        <w:rPr/>
        <w:t>interior</w:t>
      </w:r>
      <w:r>
        <w:rPr>
          <w:spacing w:val="-35"/>
        </w:rPr>
        <w:t> </w:t>
      </w:r>
      <w:r>
        <w:rPr/>
        <w:t>del</w:t>
      </w:r>
      <w:r>
        <w:rPr>
          <w:spacing w:val="-35"/>
        </w:rPr>
        <w:t> </w:t>
      </w:r>
      <w:r>
        <w:rPr/>
        <w:t>Sistema</w:t>
      </w:r>
      <w:r>
        <w:rPr>
          <w:spacing w:val="-35"/>
        </w:rPr>
        <w:t> </w:t>
      </w:r>
      <w:r>
        <w:rPr/>
        <w:t>Nacional</w:t>
      </w:r>
      <w:r>
        <w:rPr>
          <w:spacing w:val="-35"/>
        </w:rPr>
        <w:t> </w:t>
      </w:r>
      <w:r>
        <w:rPr/>
        <w:t>de</w:t>
      </w:r>
      <w:r>
        <w:rPr>
          <w:spacing w:val="-35"/>
        </w:rPr>
        <w:t> </w:t>
      </w:r>
      <w:r>
        <w:rPr/>
        <w:t>Coordinación</w:t>
      </w:r>
      <w:r>
        <w:rPr>
          <w:spacing w:val="-35"/>
        </w:rPr>
        <w:t> </w:t>
      </w:r>
      <w:r>
        <w:rPr/>
        <w:t>Fiscal,</w:t>
      </w:r>
      <w:r>
        <w:rPr>
          <w:spacing w:val="-35"/>
        </w:rPr>
        <w:t> </w:t>
      </w:r>
      <w:r>
        <w:rPr/>
        <w:t>un</w:t>
      </w:r>
      <w:r>
        <w:rPr>
          <w:spacing w:val="-35"/>
        </w:rPr>
        <w:t> </w:t>
      </w:r>
      <w:r>
        <w:rPr/>
        <w:t>conjunto</w:t>
      </w:r>
      <w:r>
        <w:rPr>
          <w:spacing w:val="-35"/>
        </w:rPr>
        <w:t> </w:t>
      </w:r>
      <w:r>
        <w:rPr/>
        <w:t>de</w:t>
      </w:r>
      <w:r>
        <w:rPr>
          <w:spacing w:val="-35"/>
        </w:rPr>
        <w:t> </w:t>
      </w:r>
      <w:r>
        <w:rPr/>
        <w:t>órganos intergubernamentales que carecen de la representación plena y continua de los Estados, la legislación respectiva prescribe atribuciones únicamente para vigilar</w:t>
      </w:r>
      <w:r>
        <w:rPr>
          <w:spacing w:val="-12"/>
        </w:rPr>
        <w:t> </w:t>
      </w:r>
      <w:r>
        <w:rPr/>
        <w:t>el</w:t>
      </w:r>
      <w:r>
        <w:rPr>
          <w:spacing w:val="-12"/>
        </w:rPr>
        <w:t> </w:t>
      </w:r>
      <w:r>
        <w:rPr/>
        <w:t>cumplimiento</w:t>
      </w:r>
      <w:r>
        <w:rPr>
          <w:spacing w:val="-13"/>
        </w:rPr>
        <w:t> </w:t>
      </w:r>
      <w:r>
        <w:rPr/>
        <w:t>de</w:t>
      </w:r>
      <w:r>
        <w:rPr>
          <w:spacing w:val="-12"/>
        </w:rPr>
        <w:t> </w:t>
      </w:r>
      <w:r>
        <w:rPr/>
        <w:t>las</w:t>
      </w:r>
      <w:r>
        <w:rPr>
          <w:spacing w:val="-12"/>
        </w:rPr>
        <w:t> </w:t>
      </w:r>
      <w:r>
        <w:rPr/>
        <w:t>bases</w:t>
      </w:r>
      <w:r>
        <w:rPr>
          <w:spacing w:val="-12"/>
        </w:rPr>
        <w:t> </w:t>
      </w:r>
      <w:r>
        <w:rPr/>
        <w:t>centralistas</w:t>
      </w:r>
      <w:r>
        <w:rPr>
          <w:spacing w:val="-13"/>
        </w:rPr>
        <w:t> </w:t>
      </w:r>
      <w:r>
        <w:rPr/>
        <w:t>de</w:t>
      </w:r>
      <w:r>
        <w:rPr>
          <w:spacing w:val="-12"/>
        </w:rPr>
        <w:t> </w:t>
      </w:r>
      <w:r>
        <w:rPr/>
        <w:t>recaudación-participación, así como facultades para realizar propuestas reformistas sólo a través del ejecutivo federal. En esas  circunstancias,  la  tendencia  mayoritaria  es  la de conservar vigente el funcionamiento actual del sistema y de aplicar, tal como se hace desde 1980, un proceso de descentralización estandarizado, controlado y limitado de funciones fiscales y recaudatorias para las</w:t>
      </w:r>
      <w:r>
        <w:rPr>
          <w:spacing w:val="-22"/>
        </w:rPr>
        <w:t> </w:t>
      </w:r>
      <w:r>
        <w:rPr/>
        <w:t>entidades federativas, lo que además da como resultado diferentes grados de eficiencia en el ejercicio de la llamada </w:t>
      </w:r>
      <w:r>
        <w:rPr>
          <w:i/>
        </w:rPr>
        <w:t>colaboración administrativa</w:t>
      </w:r>
      <w:r>
        <w:rPr>
          <w:i/>
          <w:spacing w:val="-5"/>
        </w:rPr>
        <w:t> </w:t>
      </w:r>
      <w:r>
        <w:rPr>
          <w:i/>
        </w:rPr>
        <w:t>estatal</w:t>
      </w:r>
      <w:r>
        <w:rPr/>
        <w:t>.</w:t>
      </w:r>
    </w:p>
    <w:p>
      <w:pPr>
        <w:pStyle w:val="BodyText"/>
        <w:spacing w:before="6"/>
        <w:rPr>
          <w:sz w:val="22"/>
        </w:rPr>
      </w:pPr>
    </w:p>
    <w:p>
      <w:pPr>
        <w:pStyle w:val="BodyText"/>
        <w:spacing w:line="260" w:lineRule="exact" w:before="1"/>
        <w:ind w:left="117" w:right="107"/>
        <w:jc w:val="both"/>
      </w:pPr>
      <w:r>
        <w:rPr/>
        <w:t>En la interacción Estados-municipios, los sistemas estatales de coordinación fiscal muestran una agenda saturada por los asuntos derivados del sistema coordinado federal. Por ello, ese nivel de coordinación no desarrolla una asociación que pondere la eficiencia recaudatoria de los conceptos estatales  y los municipales, más aún, las potestades estatales no son aprovechadas en su totalidad por los estados ni por lo municipios. Adicionalmente, un efecto contrario al subsidiario es la existencia de algunas experiencias de suplencia recaudatoria municipal a través de las secretarías de finanzas de los</w:t>
      </w:r>
      <w:r>
        <w:rPr>
          <w:spacing w:val="-12"/>
        </w:rPr>
        <w:t> </w:t>
      </w:r>
      <w:r>
        <w:rPr/>
        <w:t>estados.</w:t>
      </w:r>
    </w:p>
    <w:p>
      <w:pPr>
        <w:pStyle w:val="BodyText"/>
        <w:spacing w:before="7"/>
        <w:rPr>
          <w:sz w:val="22"/>
        </w:rPr>
      </w:pPr>
    </w:p>
    <w:p>
      <w:pPr>
        <w:pStyle w:val="BodyText"/>
        <w:spacing w:line="260" w:lineRule="exact"/>
        <w:ind w:left="117" w:right="107"/>
        <w:jc w:val="both"/>
      </w:pPr>
      <w:r>
        <w:rPr/>
        <w:t>Por</w:t>
      </w:r>
      <w:r>
        <w:rPr>
          <w:spacing w:val="-7"/>
        </w:rPr>
        <w:t> </w:t>
      </w:r>
      <w:r>
        <w:rPr/>
        <w:t>otra</w:t>
      </w:r>
      <w:r>
        <w:rPr>
          <w:spacing w:val="-8"/>
        </w:rPr>
        <w:t> </w:t>
      </w:r>
      <w:r>
        <w:rPr/>
        <w:t>parte,</w:t>
      </w:r>
      <w:r>
        <w:rPr>
          <w:spacing w:val="-8"/>
        </w:rPr>
        <w:t> </w:t>
      </w:r>
      <w:r>
        <w:rPr/>
        <w:t>el</w:t>
      </w:r>
      <w:r>
        <w:rPr>
          <w:spacing w:val="-8"/>
        </w:rPr>
        <w:t> </w:t>
      </w:r>
      <w:r>
        <w:rPr/>
        <w:t>gasto</w:t>
      </w:r>
      <w:r>
        <w:rPr>
          <w:spacing w:val="-8"/>
        </w:rPr>
        <w:t> </w:t>
      </w:r>
      <w:r>
        <w:rPr/>
        <w:t>de</w:t>
      </w:r>
      <w:r>
        <w:rPr>
          <w:spacing w:val="-8"/>
        </w:rPr>
        <w:t> </w:t>
      </w:r>
      <w:r>
        <w:rPr/>
        <w:t>los</w:t>
      </w:r>
      <w:r>
        <w:rPr>
          <w:spacing w:val="-8"/>
        </w:rPr>
        <w:t> </w:t>
      </w:r>
      <w:r>
        <w:rPr/>
        <w:t>gobiernos</w:t>
      </w:r>
      <w:r>
        <w:rPr>
          <w:spacing w:val="-8"/>
        </w:rPr>
        <w:t> </w:t>
      </w:r>
      <w:r>
        <w:rPr/>
        <w:t>estatales</w:t>
      </w:r>
      <w:r>
        <w:rPr>
          <w:spacing w:val="-8"/>
        </w:rPr>
        <w:t> </w:t>
      </w:r>
      <w:r>
        <w:rPr/>
        <w:t>y</w:t>
      </w:r>
      <w:r>
        <w:rPr>
          <w:spacing w:val="-8"/>
        </w:rPr>
        <w:t> </w:t>
      </w:r>
      <w:r>
        <w:rPr/>
        <w:t>municipales</w:t>
      </w:r>
      <w:r>
        <w:rPr>
          <w:spacing w:val="-8"/>
        </w:rPr>
        <w:t> </w:t>
      </w:r>
      <w:r>
        <w:rPr/>
        <w:t>está</w:t>
      </w:r>
      <w:r>
        <w:rPr>
          <w:spacing w:val="-8"/>
        </w:rPr>
        <w:t> </w:t>
      </w:r>
      <w:r>
        <w:rPr/>
        <w:t>orientado al ejercicio </w:t>
      </w:r>
      <w:r>
        <w:rPr>
          <w:i/>
        </w:rPr>
        <w:t>cuasi </w:t>
      </w:r>
      <w:r>
        <w:rPr/>
        <w:t>exclusivo de las transferencias federales, constituyendo así una clara dependencia financiera. Las opciones de financiamiento federal son vastas con respecto a las escasas opciones estatales y municipales, las participaciones</w:t>
      </w:r>
      <w:r>
        <w:rPr>
          <w:spacing w:val="-6"/>
        </w:rPr>
        <w:t> </w:t>
      </w:r>
      <w:r>
        <w:rPr/>
        <w:t>constituyen</w:t>
      </w:r>
      <w:r>
        <w:rPr>
          <w:spacing w:val="-6"/>
        </w:rPr>
        <w:t> </w:t>
      </w:r>
      <w:r>
        <w:rPr/>
        <w:t>los</w:t>
      </w:r>
      <w:r>
        <w:rPr>
          <w:spacing w:val="-6"/>
        </w:rPr>
        <w:t> </w:t>
      </w:r>
      <w:r>
        <w:rPr/>
        <w:t>fondos</w:t>
      </w:r>
      <w:r>
        <w:rPr>
          <w:spacing w:val="-6"/>
        </w:rPr>
        <w:t> </w:t>
      </w:r>
      <w:r>
        <w:rPr/>
        <w:t>resarcitorios</w:t>
      </w:r>
      <w:r>
        <w:rPr>
          <w:spacing w:val="-6"/>
        </w:rPr>
        <w:t> </w:t>
      </w:r>
      <w:r>
        <w:rPr/>
        <w:t>derivados</w:t>
      </w:r>
      <w:r>
        <w:rPr>
          <w:spacing w:val="-6"/>
        </w:rPr>
        <w:t> </w:t>
      </w:r>
      <w:r>
        <w:rPr/>
        <w:t>de</w:t>
      </w:r>
      <w:r>
        <w:rPr>
          <w:spacing w:val="-6"/>
        </w:rPr>
        <w:t> </w:t>
      </w:r>
      <w:r>
        <w:rPr/>
        <w:t>la</w:t>
      </w:r>
      <w:r>
        <w:rPr>
          <w:spacing w:val="-6"/>
        </w:rPr>
        <w:t> </w:t>
      </w:r>
      <w:r>
        <w:rPr/>
        <w:t>operación del sistema coordinado, las aportaciones son equivalentes a aquellas que refiere  </w:t>
      </w:r>
      <w:r>
        <w:rPr>
          <w:spacing w:val="-4"/>
        </w:rPr>
        <w:t>Watts  </w:t>
      </w:r>
      <w:r>
        <w:rPr/>
        <w:t>como  transferencias  federales  obligadas  para  la </w:t>
      </w:r>
      <w:r>
        <w:rPr>
          <w:spacing w:val="33"/>
        </w:rPr>
        <w:t> </w:t>
      </w:r>
      <w:r>
        <w:rPr/>
        <w:t>nivelación</w:t>
      </w:r>
    </w:p>
    <w:p>
      <w:pPr>
        <w:spacing w:after="0" w:line="260" w:lineRule="exact"/>
        <w:jc w:val="both"/>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4"/>
        <w:jc w:val="both"/>
      </w:pPr>
      <w:r>
        <w:rPr/>
        <w:t>(para corregir desequilibrios de gasto federación-estados y entre estados), los rendimientos petroleros son fondos recientes motivados por nuevas fórmulas para distribuir los  derechos  generados  por  excedentes en la producción  y el precio internacional del petróleo, mientras que los fondos sectoriales se descentralizan</w:t>
      </w:r>
      <w:r>
        <w:rPr>
          <w:spacing w:val="-14"/>
        </w:rPr>
        <w:t> </w:t>
      </w:r>
      <w:r>
        <w:rPr/>
        <w:t>por</w:t>
      </w:r>
      <w:r>
        <w:rPr>
          <w:spacing w:val="-14"/>
        </w:rPr>
        <w:t> </w:t>
      </w:r>
      <w:r>
        <w:rPr/>
        <w:t>convenio</w:t>
      </w:r>
      <w:r>
        <w:rPr>
          <w:spacing w:val="-15"/>
        </w:rPr>
        <w:t> </w:t>
      </w:r>
      <w:r>
        <w:rPr/>
        <w:t>y</w:t>
      </w:r>
      <w:r>
        <w:rPr>
          <w:spacing w:val="-14"/>
        </w:rPr>
        <w:t> </w:t>
      </w:r>
      <w:r>
        <w:rPr/>
        <w:t>obedecen</w:t>
      </w:r>
      <w:r>
        <w:rPr>
          <w:spacing w:val="-14"/>
        </w:rPr>
        <w:t> </w:t>
      </w:r>
      <w:r>
        <w:rPr/>
        <w:t>a</w:t>
      </w:r>
      <w:r>
        <w:rPr>
          <w:spacing w:val="-14"/>
        </w:rPr>
        <w:t> </w:t>
      </w:r>
      <w:r>
        <w:rPr/>
        <w:t>disposiciones</w:t>
      </w:r>
      <w:r>
        <w:rPr>
          <w:spacing w:val="-14"/>
        </w:rPr>
        <w:t> </w:t>
      </w:r>
      <w:r>
        <w:rPr/>
        <w:t>federales</w:t>
      </w:r>
      <w:r>
        <w:rPr>
          <w:spacing w:val="-14"/>
        </w:rPr>
        <w:t> </w:t>
      </w:r>
      <w:r>
        <w:rPr/>
        <w:t>de</w:t>
      </w:r>
      <w:r>
        <w:rPr>
          <w:spacing w:val="-14"/>
        </w:rPr>
        <w:t> </w:t>
      </w:r>
      <w:r>
        <w:rPr/>
        <w:t>inversión estratégica en rubros de competencia estatal o</w:t>
      </w:r>
      <w:r>
        <w:rPr>
          <w:spacing w:val="-5"/>
        </w:rPr>
        <w:t> </w:t>
      </w:r>
      <w:r>
        <w:rPr/>
        <w:t>municipal.</w:t>
      </w:r>
    </w:p>
    <w:p>
      <w:pPr>
        <w:pStyle w:val="BodyText"/>
        <w:spacing w:before="6"/>
        <w:rPr>
          <w:sz w:val="22"/>
        </w:rPr>
      </w:pPr>
    </w:p>
    <w:p>
      <w:pPr>
        <w:pStyle w:val="BodyText"/>
        <w:spacing w:line="260" w:lineRule="exact" w:before="1"/>
        <w:ind w:left="110" w:right="110"/>
        <w:jc w:val="both"/>
      </w:pPr>
      <w:r>
        <w:rPr/>
        <w:t>Las participaciones y las aportaciones son los rubros principales entre las transferencias federales coordinadas, las primeras se alejaron de la racionali- dad en la década de los ochentas al comprometerse como rendimientos </w:t>
      </w:r>
      <w:r>
        <w:rPr>
          <w:spacing w:val="2"/>
        </w:rPr>
        <w:t>constantes </w:t>
      </w:r>
      <w:r>
        <w:rPr/>
        <w:t>y </w:t>
      </w:r>
      <w:r>
        <w:rPr>
          <w:spacing w:val="2"/>
        </w:rPr>
        <w:t>cuantificarse básicamente </w:t>
      </w:r>
      <w:r>
        <w:rPr/>
        <w:t>por el uso de </w:t>
      </w:r>
      <w:r>
        <w:rPr>
          <w:spacing w:val="2"/>
        </w:rPr>
        <w:t>variables demográfi- </w:t>
      </w:r>
      <w:r>
        <w:rPr/>
        <w:t>cas</w:t>
      </w:r>
      <w:r>
        <w:rPr>
          <w:spacing w:val="-17"/>
        </w:rPr>
        <w:t> </w:t>
      </w:r>
      <w:r>
        <w:rPr/>
        <w:t>(sin</w:t>
      </w:r>
      <w:r>
        <w:rPr>
          <w:spacing w:val="-17"/>
        </w:rPr>
        <w:t> </w:t>
      </w:r>
      <w:r>
        <w:rPr/>
        <w:t>incentivar</w:t>
      </w:r>
      <w:r>
        <w:rPr>
          <w:spacing w:val="-17"/>
        </w:rPr>
        <w:t> </w:t>
      </w:r>
      <w:r>
        <w:rPr/>
        <w:t>la</w:t>
      </w:r>
      <w:r>
        <w:rPr>
          <w:spacing w:val="-17"/>
        </w:rPr>
        <w:t> </w:t>
      </w:r>
      <w:r>
        <w:rPr/>
        <w:t>fiscalización</w:t>
      </w:r>
      <w:r>
        <w:rPr>
          <w:spacing w:val="-17"/>
        </w:rPr>
        <w:t> </w:t>
      </w:r>
      <w:r>
        <w:rPr/>
        <w:t>por</w:t>
      </w:r>
      <w:r>
        <w:rPr>
          <w:spacing w:val="-17"/>
        </w:rPr>
        <w:t> </w:t>
      </w:r>
      <w:r>
        <w:rPr/>
        <w:t>impuesto).</w:t>
      </w:r>
      <w:r>
        <w:rPr>
          <w:spacing w:val="-17"/>
        </w:rPr>
        <w:t> </w:t>
      </w:r>
      <w:r>
        <w:rPr/>
        <w:t>Por</w:t>
      </w:r>
      <w:r>
        <w:rPr>
          <w:spacing w:val="-17"/>
        </w:rPr>
        <w:t> </w:t>
      </w:r>
      <w:r>
        <w:rPr/>
        <w:t>su</w:t>
      </w:r>
      <w:r>
        <w:rPr>
          <w:spacing w:val="-17"/>
        </w:rPr>
        <w:t> </w:t>
      </w:r>
      <w:r>
        <w:rPr/>
        <w:t>parte,</w:t>
      </w:r>
      <w:r>
        <w:rPr>
          <w:spacing w:val="-17"/>
        </w:rPr>
        <w:t> </w:t>
      </w:r>
      <w:r>
        <w:rPr/>
        <w:t>las</w:t>
      </w:r>
      <w:r>
        <w:rPr>
          <w:spacing w:val="-17"/>
        </w:rPr>
        <w:t> </w:t>
      </w:r>
      <w:r>
        <w:rPr/>
        <w:t>aportaciones fueron</w:t>
      </w:r>
      <w:r>
        <w:rPr>
          <w:spacing w:val="-15"/>
        </w:rPr>
        <w:t> </w:t>
      </w:r>
      <w:r>
        <w:rPr/>
        <w:t>sistematizadas</w:t>
      </w:r>
      <w:r>
        <w:rPr>
          <w:spacing w:val="-15"/>
        </w:rPr>
        <w:t> </w:t>
      </w:r>
      <w:r>
        <w:rPr/>
        <w:t>en</w:t>
      </w:r>
      <w:r>
        <w:rPr>
          <w:spacing w:val="-15"/>
        </w:rPr>
        <w:t> </w:t>
      </w:r>
      <w:r>
        <w:rPr/>
        <w:t>1998</w:t>
      </w:r>
      <w:r>
        <w:rPr>
          <w:spacing w:val="-15"/>
        </w:rPr>
        <w:t> </w:t>
      </w:r>
      <w:r>
        <w:rPr/>
        <w:t>bajo</w:t>
      </w:r>
      <w:r>
        <w:rPr>
          <w:spacing w:val="-15"/>
        </w:rPr>
        <w:t> </w:t>
      </w:r>
      <w:r>
        <w:rPr/>
        <w:t>criterios</w:t>
      </w:r>
      <w:r>
        <w:rPr>
          <w:spacing w:val="-16"/>
        </w:rPr>
        <w:t> </w:t>
      </w:r>
      <w:r>
        <w:rPr/>
        <w:t>similares.</w:t>
      </w:r>
      <w:r>
        <w:rPr>
          <w:spacing w:val="-14"/>
        </w:rPr>
        <w:t> </w:t>
      </w:r>
      <w:r>
        <w:rPr/>
        <w:t>Si</w:t>
      </w:r>
      <w:r>
        <w:rPr>
          <w:spacing w:val="-15"/>
        </w:rPr>
        <w:t> </w:t>
      </w:r>
      <w:r>
        <w:rPr/>
        <w:t>bien</w:t>
      </w:r>
      <w:r>
        <w:rPr>
          <w:spacing w:val="-15"/>
        </w:rPr>
        <w:t> </w:t>
      </w:r>
      <w:r>
        <w:rPr/>
        <w:t>técnicamente</w:t>
      </w:r>
      <w:r>
        <w:rPr>
          <w:spacing w:val="-16"/>
        </w:rPr>
        <w:t> </w:t>
      </w:r>
      <w:r>
        <w:rPr/>
        <w:t>es recomendable</w:t>
      </w:r>
      <w:r>
        <w:rPr>
          <w:spacing w:val="-8"/>
        </w:rPr>
        <w:t> </w:t>
      </w:r>
      <w:r>
        <w:rPr/>
        <w:t>que</w:t>
      </w:r>
      <w:r>
        <w:rPr>
          <w:spacing w:val="-8"/>
        </w:rPr>
        <w:t> </w:t>
      </w:r>
      <w:r>
        <w:rPr/>
        <w:t>los</w:t>
      </w:r>
      <w:r>
        <w:rPr>
          <w:spacing w:val="-8"/>
        </w:rPr>
        <w:t> </w:t>
      </w:r>
      <w:r>
        <w:rPr/>
        <w:t>componentes</w:t>
      </w:r>
      <w:r>
        <w:rPr>
          <w:spacing w:val="-9"/>
        </w:rPr>
        <w:t> </w:t>
      </w:r>
      <w:r>
        <w:rPr/>
        <w:t>federales</w:t>
      </w:r>
      <w:r>
        <w:rPr>
          <w:spacing w:val="-8"/>
        </w:rPr>
        <w:t> </w:t>
      </w:r>
      <w:r>
        <w:rPr/>
        <w:t>concurran</w:t>
      </w:r>
      <w:r>
        <w:rPr>
          <w:spacing w:val="-9"/>
        </w:rPr>
        <w:t> </w:t>
      </w:r>
      <w:r>
        <w:rPr/>
        <w:t>en</w:t>
      </w:r>
      <w:r>
        <w:rPr>
          <w:spacing w:val="-8"/>
        </w:rPr>
        <w:t> </w:t>
      </w:r>
      <w:r>
        <w:rPr/>
        <w:t>relación</w:t>
      </w:r>
      <w:r>
        <w:rPr>
          <w:spacing w:val="-8"/>
        </w:rPr>
        <w:t> </w:t>
      </w:r>
      <w:r>
        <w:rPr/>
        <w:t>a</w:t>
      </w:r>
      <w:r>
        <w:rPr>
          <w:spacing w:val="-8"/>
        </w:rPr>
        <w:t> </w:t>
      </w:r>
      <w:r>
        <w:rPr/>
        <w:t>los</w:t>
      </w:r>
      <w:r>
        <w:rPr>
          <w:spacing w:val="-8"/>
        </w:rPr>
        <w:t> </w:t>
      </w:r>
      <w:r>
        <w:rPr/>
        <w:t>con- ceptos impositivos que van adquiriendo vigencia, las tendencias históricas señaladas</w:t>
      </w:r>
      <w:r>
        <w:rPr>
          <w:spacing w:val="-10"/>
        </w:rPr>
        <w:t> </w:t>
      </w:r>
      <w:r>
        <w:rPr/>
        <w:t>impiden</w:t>
      </w:r>
      <w:r>
        <w:rPr>
          <w:spacing w:val="-11"/>
        </w:rPr>
        <w:t> </w:t>
      </w:r>
      <w:r>
        <w:rPr/>
        <w:t>de</w:t>
      </w:r>
      <w:r>
        <w:rPr>
          <w:spacing w:val="-10"/>
        </w:rPr>
        <w:t> </w:t>
      </w:r>
      <w:r>
        <w:rPr/>
        <w:t>tajo</w:t>
      </w:r>
      <w:r>
        <w:rPr>
          <w:spacing w:val="-10"/>
        </w:rPr>
        <w:t> </w:t>
      </w:r>
      <w:r>
        <w:rPr/>
        <w:t>para</w:t>
      </w:r>
      <w:r>
        <w:rPr>
          <w:spacing w:val="-10"/>
        </w:rPr>
        <w:t> </w:t>
      </w:r>
      <w:r>
        <w:rPr/>
        <w:t>México</w:t>
      </w:r>
      <w:r>
        <w:rPr>
          <w:spacing w:val="-10"/>
        </w:rPr>
        <w:t> </w:t>
      </w:r>
      <w:r>
        <w:rPr/>
        <w:t>esa</w:t>
      </w:r>
      <w:r>
        <w:rPr>
          <w:spacing w:val="-10"/>
        </w:rPr>
        <w:t> </w:t>
      </w:r>
      <w:r>
        <w:rPr/>
        <w:t>condición</w:t>
      </w:r>
      <w:r>
        <w:rPr>
          <w:spacing w:val="-11"/>
        </w:rPr>
        <w:t> </w:t>
      </w:r>
      <w:r>
        <w:rPr/>
        <w:t>primaria</w:t>
      </w:r>
      <w:r>
        <w:rPr>
          <w:spacing w:val="-10"/>
        </w:rPr>
        <w:t> </w:t>
      </w:r>
      <w:r>
        <w:rPr/>
        <w:t>de</w:t>
      </w:r>
      <w:r>
        <w:rPr>
          <w:spacing w:val="-10"/>
        </w:rPr>
        <w:t> </w:t>
      </w:r>
      <w:r>
        <w:rPr/>
        <w:t>los</w:t>
      </w:r>
      <w:r>
        <w:rPr>
          <w:spacing w:val="-10"/>
        </w:rPr>
        <w:t> </w:t>
      </w:r>
      <w:r>
        <w:rPr/>
        <w:t>sistemas federales</w:t>
      </w:r>
      <w:r>
        <w:rPr>
          <w:spacing w:val="-4"/>
        </w:rPr>
        <w:t> </w:t>
      </w:r>
      <w:r>
        <w:rPr/>
        <w:t>actuales.</w:t>
      </w:r>
      <w:r>
        <w:rPr>
          <w:spacing w:val="-17"/>
        </w:rPr>
        <w:t> </w:t>
      </w:r>
      <w:r>
        <w:rPr/>
        <w:t>A</w:t>
      </w:r>
      <w:r>
        <w:rPr>
          <w:spacing w:val="-16"/>
        </w:rPr>
        <w:t> </w:t>
      </w:r>
      <w:r>
        <w:rPr/>
        <w:t>su</w:t>
      </w:r>
      <w:r>
        <w:rPr>
          <w:spacing w:val="-4"/>
        </w:rPr>
        <w:t> </w:t>
      </w:r>
      <w:r>
        <w:rPr/>
        <w:t>vez,</w:t>
      </w:r>
      <w:r>
        <w:rPr>
          <w:spacing w:val="-4"/>
        </w:rPr>
        <w:t> </w:t>
      </w:r>
      <w:r>
        <w:rPr/>
        <w:t>la</w:t>
      </w:r>
      <w:r>
        <w:rPr>
          <w:spacing w:val="-5"/>
        </w:rPr>
        <w:t> </w:t>
      </w:r>
      <w:r>
        <w:rPr/>
        <w:t>agenda</w:t>
      </w:r>
      <w:r>
        <w:rPr>
          <w:spacing w:val="-5"/>
        </w:rPr>
        <w:t> </w:t>
      </w:r>
      <w:r>
        <w:rPr/>
        <w:t>del</w:t>
      </w:r>
      <w:r>
        <w:rPr>
          <w:spacing w:val="-4"/>
        </w:rPr>
        <w:t> </w:t>
      </w:r>
      <w:r>
        <w:rPr/>
        <w:t>Sistema</w:t>
      </w:r>
      <w:r>
        <w:rPr>
          <w:spacing w:val="-4"/>
        </w:rPr>
        <w:t> </w:t>
      </w:r>
      <w:r>
        <w:rPr/>
        <w:t>Nacional</w:t>
      </w:r>
      <w:r>
        <w:rPr>
          <w:spacing w:val="-4"/>
        </w:rPr>
        <w:t> </w:t>
      </w:r>
      <w:r>
        <w:rPr/>
        <w:t>de</w:t>
      </w:r>
      <w:r>
        <w:rPr>
          <w:spacing w:val="-5"/>
        </w:rPr>
        <w:t> </w:t>
      </w:r>
      <w:r>
        <w:rPr/>
        <w:t>Coordinación Fiscal no es determinante para reivindicar el objeto de su concurrencia, pues cualquier intento de modificación en las actuales bases de distribución crea tensiones en el sistema, orillando así, como ya se dijo, a una concurrencia sesgada</w:t>
      </w:r>
      <w:r>
        <w:rPr>
          <w:spacing w:val="-26"/>
        </w:rPr>
        <w:t> </w:t>
      </w:r>
      <w:r>
        <w:rPr/>
        <w:t>al</w:t>
      </w:r>
      <w:r>
        <w:rPr>
          <w:spacing w:val="-27"/>
        </w:rPr>
        <w:t> </w:t>
      </w:r>
      <w:r>
        <w:rPr/>
        <w:t>cumplimiento</w:t>
      </w:r>
      <w:r>
        <w:rPr>
          <w:spacing w:val="-27"/>
        </w:rPr>
        <w:t> </w:t>
      </w:r>
      <w:r>
        <w:rPr/>
        <w:t>de</w:t>
      </w:r>
      <w:r>
        <w:rPr>
          <w:spacing w:val="-27"/>
        </w:rPr>
        <w:t> </w:t>
      </w:r>
      <w:r>
        <w:rPr/>
        <w:t>las</w:t>
      </w:r>
      <w:r>
        <w:rPr>
          <w:spacing w:val="-27"/>
        </w:rPr>
        <w:t> </w:t>
      </w:r>
      <w:r>
        <w:rPr/>
        <w:t>bases</w:t>
      </w:r>
      <w:r>
        <w:rPr>
          <w:spacing w:val="-27"/>
        </w:rPr>
        <w:t> </w:t>
      </w:r>
      <w:r>
        <w:rPr/>
        <w:t>centralistas</w:t>
      </w:r>
      <w:r>
        <w:rPr>
          <w:spacing w:val="-27"/>
        </w:rPr>
        <w:t> </w:t>
      </w:r>
      <w:r>
        <w:rPr/>
        <w:t>de</w:t>
      </w:r>
      <w:r>
        <w:rPr>
          <w:spacing w:val="-27"/>
        </w:rPr>
        <w:t> </w:t>
      </w:r>
      <w:r>
        <w:rPr/>
        <w:t>recaudación-participación.</w:t>
      </w:r>
    </w:p>
    <w:p>
      <w:pPr>
        <w:pStyle w:val="BodyText"/>
        <w:spacing w:before="7"/>
        <w:rPr>
          <w:sz w:val="22"/>
        </w:rPr>
      </w:pPr>
    </w:p>
    <w:p>
      <w:pPr>
        <w:pStyle w:val="BodyText"/>
        <w:spacing w:line="260" w:lineRule="exact"/>
        <w:ind w:left="110" w:right="114"/>
        <w:jc w:val="both"/>
      </w:pPr>
      <w:r>
        <w:rPr/>
        <w:t>A su vez, los fondos derivados de los rendimientos petroleros originalmente fueron encauzados a un fideicomiso para la inversión estratégica en la infraestructura de los estados, y recientemente, al modificarse el régimen fiscal de PEMEX, se replanteo su uso en la estabilización de los ingresos de la paraestatal y de las entidades federativas. En ambos casos, la coordinación estratégica quedó reducida al cumplimiento de las reglas de operación del fideicomiso respectivo.</w:t>
      </w:r>
    </w:p>
    <w:p>
      <w:pPr>
        <w:pStyle w:val="BodyText"/>
        <w:spacing w:before="6"/>
        <w:rPr>
          <w:sz w:val="22"/>
        </w:rPr>
      </w:pPr>
    </w:p>
    <w:p>
      <w:pPr>
        <w:pStyle w:val="BodyText"/>
        <w:spacing w:line="260" w:lineRule="exact" w:before="1"/>
        <w:ind w:left="110" w:right="114"/>
        <w:jc w:val="both"/>
      </w:pPr>
      <w:r>
        <w:rPr/>
        <w:t>En</w:t>
      </w:r>
      <w:r>
        <w:rPr>
          <w:spacing w:val="-21"/>
        </w:rPr>
        <w:t> </w:t>
      </w:r>
      <w:r>
        <w:rPr/>
        <w:t>lo</w:t>
      </w:r>
      <w:r>
        <w:rPr>
          <w:spacing w:val="-21"/>
        </w:rPr>
        <w:t> </w:t>
      </w:r>
      <w:r>
        <w:rPr/>
        <w:t>que</w:t>
      </w:r>
      <w:r>
        <w:rPr>
          <w:spacing w:val="-21"/>
        </w:rPr>
        <w:t> </w:t>
      </w:r>
      <w:r>
        <w:rPr/>
        <w:t>se</w:t>
      </w:r>
      <w:r>
        <w:rPr>
          <w:spacing w:val="-21"/>
        </w:rPr>
        <w:t> </w:t>
      </w:r>
      <w:r>
        <w:rPr/>
        <w:t>refiere</w:t>
      </w:r>
      <w:r>
        <w:rPr>
          <w:spacing w:val="-21"/>
        </w:rPr>
        <w:t> </w:t>
      </w:r>
      <w:r>
        <w:rPr/>
        <w:t>a</w:t>
      </w:r>
      <w:r>
        <w:rPr>
          <w:spacing w:val="-21"/>
        </w:rPr>
        <w:t> </w:t>
      </w:r>
      <w:r>
        <w:rPr/>
        <w:t>la</w:t>
      </w:r>
      <w:r>
        <w:rPr>
          <w:spacing w:val="-21"/>
        </w:rPr>
        <w:t> </w:t>
      </w:r>
      <w:r>
        <w:rPr/>
        <w:t>descentralización</w:t>
      </w:r>
      <w:r>
        <w:rPr>
          <w:spacing w:val="-21"/>
        </w:rPr>
        <w:t> </w:t>
      </w:r>
      <w:r>
        <w:rPr/>
        <w:t>de</w:t>
      </w:r>
      <w:r>
        <w:rPr>
          <w:spacing w:val="-21"/>
        </w:rPr>
        <w:t> </w:t>
      </w:r>
      <w:r>
        <w:rPr/>
        <w:t>fondos</w:t>
      </w:r>
      <w:r>
        <w:rPr>
          <w:spacing w:val="-21"/>
        </w:rPr>
        <w:t> </w:t>
      </w:r>
      <w:r>
        <w:rPr/>
        <w:t>sectoriales</w:t>
      </w:r>
      <w:r>
        <w:rPr>
          <w:spacing w:val="-21"/>
        </w:rPr>
        <w:t> </w:t>
      </w:r>
      <w:r>
        <w:rPr/>
        <w:t>–logro</w:t>
      </w:r>
      <w:r>
        <w:rPr>
          <w:spacing w:val="-21"/>
        </w:rPr>
        <w:t> </w:t>
      </w:r>
      <w:r>
        <w:rPr/>
        <w:t>histórico de</w:t>
      </w:r>
      <w:r>
        <w:rPr>
          <w:spacing w:val="-22"/>
        </w:rPr>
        <w:t> </w:t>
      </w:r>
      <w:r>
        <w:rPr/>
        <w:t>la</w:t>
      </w:r>
      <w:r>
        <w:rPr>
          <w:spacing w:val="-22"/>
        </w:rPr>
        <w:t> </w:t>
      </w:r>
      <w:r>
        <w:rPr/>
        <w:t>Conferencia</w:t>
      </w:r>
      <w:r>
        <w:rPr>
          <w:spacing w:val="-22"/>
        </w:rPr>
        <w:t> </w:t>
      </w:r>
      <w:r>
        <w:rPr/>
        <w:t>Nacional</w:t>
      </w:r>
      <w:r>
        <w:rPr>
          <w:spacing w:val="-21"/>
        </w:rPr>
        <w:t> </w:t>
      </w:r>
      <w:r>
        <w:rPr/>
        <w:t>de</w:t>
      </w:r>
      <w:r>
        <w:rPr>
          <w:spacing w:val="-22"/>
        </w:rPr>
        <w:t> </w:t>
      </w:r>
      <w:r>
        <w:rPr/>
        <w:t>Gobernadores</w:t>
      </w:r>
      <w:r>
        <w:rPr>
          <w:spacing w:val="-21"/>
        </w:rPr>
        <w:t> </w:t>
      </w:r>
      <w:r>
        <w:rPr/>
        <w:t>(CONAGO)</w:t>
      </w:r>
      <w:r>
        <w:rPr>
          <w:spacing w:val="-22"/>
        </w:rPr>
        <w:t> </w:t>
      </w:r>
      <w:r>
        <w:rPr/>
        <w:t>a</w:t>
      </w:r>
      <w:r>
        <w:rPr>
          <w:spacing w:val="-22"/>
        </w:rPr>
        <w:t> </w:t>
      </w:r>
      <w:r>
        <w:rPr/>
        <w:t>partir</w:t>
      </w:r>
      <w:r>
        <w:rPr>
          <w:spacing w:val="-22"/>
        </w:rPr>
        <w:t> </w:t>
      </w:r>
      <w:r>
        <w:rPr/>
        <w:t>de</w:t>
      </w:r>
      <w:r>
        <w:rPr>
          <w:spacing w:val="-22"/>
        </w:rPr>
        <w:t> </w:t>
      </w:r>
      <w:r>
        <w:rPr/>
        <w:t>2005–</w:t>
      </w:r>
      <w:r>
        <w:rPr>
          <w:spacing w:val="-22"/>
        </w:rPr>
        <w:t> </w:t>
      </w:r>
      <w:r>
        <w:rPr/>
        <w:t>sus alcances dependen de los montos que para cada sector administrativo federal apruebe</w:t>
      </w:r>
      <w:r>
        <w:rPr>
          <w:spacing w:val="-13"/>
        </w:rPr>
        <w:t> </w:t>
      </w:r>
      <w:r>
        <w:rPr/>
        <w:t>la</w:t>
      </w:r>
      <w:r>
        <w:rPr>
          <w:spacing w:val="-12"/>
        </w:rPr>
        <w:t> </w:t>
      </w:r>
      <w:r>
        <w:rPr/>
        <w:t>Cámara</w:t>
      </w:r>
      <w:r>
        <w:rPr>
          <w:spacing w:val="-12"/>
        </w:rPr>
        <w:t> </w:t>
      </w:r>
      <w:r>
        <w:rPr/>
        <w:t>de</w:t>
      </w:r>
      <w:r>
        <w:rPr>
          <w:spacing w:val="-12"/>
        </w:rPr>
        <w:t> </w:t>
      </w:r>
      <w:r>
        <w:rPr/>
        <w:t>Diputados,</w:t>
      </w:r>
      <w:r>
        <w:rPr>
          <w:spacing w:val="-11"/>
        </w:rPr>
        <w:t> </w:t>
      </w:r>
      <w:r>
        <w:rPr/>
        <w:t>por</w:t>
      </w:r>
      <w:r>
        <w:rPr>
          <w:spacing w:val="-12"/>
        </w:rPr>
        <w:t> </w:t>
      </w:r>
      <w:r>
        <w:rPr/>
        <w:t>lo</w:t>
      </w:r>
      <w:r>
        <w:rPr>
          <w:spacing w:val="-12"/>
        </w:rPr>
        <w:t> </w:t>
      </w:r>
      <w:r>
        <w:rPr/>
        <w:t>que</w:t>
      </w:r>
      <w:r>
        <w:rPr>
          <w:spacing w:val="-12"/>
        </w:rPr>
        <w:t> </w:t>
      </w:r>
      <w:r>
        <w:rPr/>
        <w:t>la</w:t>
      </w:r>
      <w:r>
        <w:rPr>
          <w:spacing w:val="-12"/>
        </w:rPr>
        <w:t> </w:t>
      </w:r>
      <w:r>
        <w:rPr/>
        <w:t>coordinación</w:t>
      </w:r>
      <w:r>
        <w:rPr>
          <w:spacing w:val="-12"/>
        </w:rPr>
        <w:t> </w:t>
      </w:r>
      <w:r>
        <w:rPr/>
        <w:t>estratégica</w:t>
      </w:r>
      <w:r>
        <w:rPr>
          <w:spacing w:val="-13"/>
        </w:rPr>
        <w:t> </w:t>
      </w:r>
      <w:r>
        <w:rPr/>
        <w:t>inicial se da según el consenso previo al interior del poder legislativo. Superada     la etapa de aprobación, el ejercicio de los convenios conserva grandes inercias que conducen invariablemente al retraso burocrático, sin embargo, son precisamente los fondos sectoriales, como política federal, las únicas fórmulas que inducen a un gasto cofinanciado entre la federación, los</w:t>
      </w:r>
      <w:r>
        <w:rPr>
          <w:spacing w:val="-34"/>
        </w:rPr>
        <w:t> </w:t>
      </w:r>
      <w:r>
        <w:rPr/>
        <w:t>estados</w:t>
      </w:r>
    </w:p>
    <w:p>
      <w:pPr>
        <w:spacing w:after="0" w:line="260" w:lineRule="exact"/>
        <w:jc w:val="both"/>
        <w:sectPr>
          <w:pgSz w:w="9360" w:h="13040"/>
          <w:pgMar w:header="527" w:footer="515" w:top="720" w:bottom="700" w:left="740" w:right="1300"/>
        </w:sectPr>
      </w:pPr>
    </w:p>
    <w:p>
      <w:pPr>
        <w:pStyle w:val="BodyText"/>
        <w:spacing w:before="11"/>
        <w:rPr>
          <w:sz w:val="29"/>
        </w:rPr>
      </w:pPr>
    </w:p>
    <w:p>
      <w:pPr>
        <w:pStyle w:val="BodyText"/>
        <w:spacing w:line="260" w:lineRule="exact" w:before="77"/>
        <w:ind w:left="117" w:right="107"/>
        <w:jc w:val="both"/>
      </w:pPr>
      <w:r>
        <w:rPr/>
        <w:t>y los municipios; estableciéndose así una responsabilidad compartida. Los principales esquemas que inducen esta característica son los programas de las Secretarías de Desarrollo Social (SEDESOL) y de Educación Pública (SEP), así como los de la Comisión Nacional del Agua (CONAGUA). Los programas de las dos primeras dependencias fomentan también las obras  por cooperación, esto es, aquellas que integran a su estructura presupuestal aportaciones económicas o en especie de los beneficiarios, basado esto en    la acción comunitaria del desempeño municipal tradicional. Algunos otros programas, como los referentes al transporte masivo de pasajeros, inducen   la inversión privada en la prestación de servicios públicos, mecanismo que ha sido reproducido en algunos esquemas estatales de franca externalización como los Proyectos para la Prestación de Servicios (PPS) en los estados de México y</w:t>
      </w:r>
      <w:r>
        <w:rPr>
          <w:spacing w:val="-15"/>
        </w:rPr>
        <w:t> </w:t>
      </w:r>
      <w:r>
        <w:rPr/>
        <w:t>Querétaro.</w:t>
      </w:r>
    </w:p>
    <w:p>
      <w:pPr>
        <w:pStyle w:val="BodyText"/>
        <w:spacing w:before="7"/>
        <w:rPr>
          <w:sz w:val="22"/>
        </w:rPr>
      </w:pPr>
    </w:p>
    <w:p>
      <w:pPr>
        <w:pStyle w:val="BodyText"/>
        <w:spacing w:line="260" w:lineRule="exact"/>
        <w:ind w:left="117" w:right="107"/>
        <w:jc w:val="both"/>
      </w:pPr>
      <w:r>
        <w:rPr/>
        <w:t>Con</w:t>
      </w:r>
      <w:r>
        <w:rPr>
          <w:spacing w:val="-8"/>
        </w:rPr>
        <w:t> </w:t>
      </w:r>
      <w:r>
        <w:rPr/>
        <w:t>base</w:t>
      </w:r>
      <w:r>
        <w:rPr>
          <w:spacing w:val="-8"/>
        </w:rPr>
        <w:t> </w:t>
      </w:r>
      <w:r>
        <w:rPr/>
        <w:t>en</w:t>
      </w:r>
      <w:r>
        <w:rPr>
          <w:spacing w:val="-8"/>
        </w:rPr>
        <w:t> </w:t>
      </w:r>
      <w:r>
        <w:rPr/>
        <w:t>todo</w:t>
      </w:r>
      <w:r>
        <w:rPr>
          <w:spacing w:val="-8"/>
        </w:rPr>
        <w:t> </w:t>
      </w:r>
      <w:r>
        <w:rPr/>
        <w:t>lo</w:t>
      </w:r>
      <w:r>
        <w:rPr>
          <w:spacing w:val="-8"/>
        </w:rPr>
        <w:t> </w:t>
      </w:r>
      <w:r>
        <w:rPr/>
        <w:t>anterior,</w:t>
      </w:r>
      <w:r>
        <w:rPr>
          <w:spacing w:val="-8"/>
        </w:rPr>
        <w:t> </w:t>
      </w:r>
      <w:r>
        <w:rPr/>
        <w:t>la</w:t>
      </w:r>
      <w:r>
        <w:rPr>
          <w:spacing w:val="-8"/>
        </w:rPr>
        <w:t> </w:t>
      </w:r>
      <w:r>
        <w:rPr/>
        <w:t>investigación</w:t>
      </w:r>
      <w:r>
        <w:rPr>
          <w:spacing w:val="-9"/>
        </w:rPr>
        <w:t> </w:t>
      </w:r>
      <w:r>
        <w:rPr/>
        <w:t>explora</w:t>
      </w:r>
      <w:r>
        <w:rPr>
          <w:spacing w:val="-8"/>
        </w:rPr>
        <w:t> </w:t>
      </w:r>
      <w:r>
        <w:rPr/>
        <w:t>puntualmente</w:t>
      </w:r>
      <w:r>
        <w:rPr>
          <w:spacing w:val="-8"/>
        </w:rPr>
        <w:t> </w:t>
      </w:r>
      <w:r>
        <w:rPr/>
        <w:t>el</w:t>
      </w:r>
      <w:r>
        <w:rPr>
          <w:spacing w:val="-8"/>
        </w:rPr>
        <w:t> </w:t>
      </w:r>
      <w:r>
        <w:rPr/>
        <w:t>estudio de caso correspondiente al gobierno del Estado de Hidalgo, principalmente por</w:t>
      </w:r>
      <w:r>
        <w:rPr>
          <w:spacing w:val="-8"/>
        </w:rPr>
        <w:t> </w:t>
      </w:r>
      <w:r>
        <w:rPr/>
        <w:t>su</w:t>
      </w:r>
      <w:r>
        <w:rPr>
          <w:spacing w:val="-8"/>
        </w:rPr>
        <w:t> </w:t>
      </w:r>
      <w:r>
        <w:rPr/>
        <w:t>desempeño</w:t>
      </w:r>
      <w:r>
        <w:rPr>
          <w:spacing w:val="-8"/>
        </w:rPr>
        <w:t> </w:t>
      </w:r>
      <w:r>
        <w:rPr/>
        <w:t>durante</w:t>
      </w:r>
      <w:r>
        <w:rPr>
          <w:spacing w:val="-8"/>
        </w:rPr>
        <w:t> </w:t>
      </w:r>
      <w:r>
        <w:rPr/>
        <w:t>el</w:t>
      </w:r>
      <w:r>
        <w:rPr>
          <w:spacing w:val="-8"/>
        </w:rPr>
        <w:t> </w:t>
      </w:r>
      <w:r>
        <w:rPr/>
        <w:t>periodo</w:t>
      </w:r>
      <w:r>
        <w:rPr>
          <w:spacing w:val="-8"/>
        </w:rPr>
        <w:t> </w:t>
      </w:r>
      <w:r>
        <w:rPr/>
        <w:t>de</w:t>
      </w:r>
      <w:r>
        <w:rPr>
          <w:spacing w:val="-8"/>
        </w:rPr>
        <w:t> </w:t>
      </w:r>
      <w:r>
        <w:rPr/>
        <w:t>gobierno</w:t>
      </w:r>
      <w:r>
        <w:rPr>
          <w:spacing w:val="-8"/>
        </w:rPr>
        <w:t> </w:t>
      </w:r>
      <w:r>
        <w:rPr/>
        <w:t>2005-2011.</w:t>
      </w:r>
      <w:r>
        <w:rPr>
          <w:spacing w:val="-8"/>
        </w:rPr>
        <w:t> </w:t>
      </w:r>
      <w:r>
        <w:rPr/>
        <w:t>La</w:t>
      </w:r>
      <w:r>
        <w:rPr>
          <w:spacing w:val="-8"/>
        </w:rPr>
        <w:t> </w:t>
      </w:r>
      <w:r>
        <w:rPr/>
        <w:t>actuación</w:t>
      </w:r>
      <w:r>
        <w:rPr>
          <w:spacing w:val="-8"/>
        </w:rPr>
        <w:t> </w:t>
      </w:r>
      <w:r>
        <w:rPr/>
        <w:t>de los</w:t>
      </w:r>
      <w:r>
        <w:rPr>
          <w:spacing w:val="-7"/>
        </w:rPr>
        <w:t> </w:t>
      </w:r>
      <w:r>
        <w:rPr/>
        <w:t>ayuntamientos</w:t>
      </w:r>
      <w:r>
        <w:rPr>
          <w:spacing w:val="-8"/>
        </w:rPr>
        <w:t> </w:t>
      </w:r>
      <w:r>
        <w:rPr/>
        <w:t>hidalguenses</w:t>
      </w:r>
      <w:r>
        <w:rPr>
          <w:spacing w:val="-7"/>
        </w:rPr>
        <w:t> </w:t>
      </w:r>
      <w:r>
        <w:rPr/>
        <w:t>fue</w:t>
      </w:r>
      <w:r>
        <w:rPr>
          <w:spacing w:val="-7"/>
        </w:rPr>
        <w:t> </w:t>
      </w:r>
      <w:r>
        <w:rPr/>
        <w:t>incluida</w:t>
      </w:r>
      <w:r>
        <w:rPr>
          <w:spacing w:val="-8"/>
        </w:rPr>
        <w:t> </w:t>
      </w:r>
      <w:r>
        <w:rPr/>
        <w:t>en</w:t>
      </w:r>
      <w:r>
        <w:rPr>
          <w:spacing w:val="-7"/>
        </w:rPr>
        <w:t> </w:t>
      </w:r>
      <w:r>
        <w:rPr/>
        <w:t>algunos</w:t>
      </w:r>
      <w:r>
        <w:rPr>
          <w:spacing w:val="-8"/>
        </w:rPr>
        <w:t> </w:t>
      </w:r>
      <w:r>
        <w:rPr/>
        <w:t>capítulos</w:t>
      </w:r>
      <w:r>
        <w:rPr>
          <w:spacing w:val="-8"/>
        </w:rPr>
        <w:t> </w:t>
      </w:r>
      <w:r>
        <w:rPr/>
        <w:t>de</w:t>
      </w:r>
      <w:r>
        <w:rPr>
          <w:spacing w:val="-7"/>
        </w:rPr>
        <w:t> </w:t>
      </w:r>
      <w:r>
        <w:rPr/>
        <w:t>esta</w:t>
      </w:r>
      <w:r>
        <w:rPr>
          <w:spacing w:val="-7"/>
        </w:rPr>
        <w:t> </w:t>
      </w:r>
      <w:r>
        <w:rPr/>
        <w:t>obra según datos del mismo</w:t>
      </w:r>
      <w:r>
        <w:rPr>
          <w:spacing w:val="-5"/>
        </w:rPr>
        <w:t> </w:t>
      </w:r>
      <w:r>
        <w:rPr/>
        <w:t>periodo.</w:t>
      </w:r>
    </w:p>
    <w:p>
      <w:pPr>
        <w:pStyle w:val="BodyText"/>
        <w:spacing w:before="7"/>
        <w:rPr>
          <w:sz w:val="22"/>
        </w:rPr>
      </w:pPr>
    </w:p>
    <w:p>
      <w:pPr>
        <w:spacing w:line="260" w:lineRule="exact" w:before="0"/>
        <w:ind w:left="117" w:right="107" w:firstLine="0"/>
        <w:jc w:val="both"/>
        <w:rPr>
          <w:sz w:val="23"/>
        </w:rPr>
      </w:pPr>
      <w:r>
        <w:rPr>
          <w:sz w:val="23"/>
        </w:rPr>
        <w:t>En forma similar al estudio de los antecedentes, la </w:t>
      </w:r>
      <w:r>
        <w:rPr>
          <w:i/>
          <w:sz w:val="23"/>
        </w:rPr>
        <w:t>primera parte </w:t>
      </w:r>
      <w:r>
        <w:rPr>
          <w:sz w:val="23"/>
        </w:rPr>
        <w:t>aborda    los aspectos de las finanzas públicas según los títulos: a) </w:t>
      </w:r>
      <w:r>
        <w:rPr>
          <w:i/>
          <w:sz w:val="23"/>
        </w:rPr>
        <w:t>la coordinación </w:t>
      </w:r>
      <w:r>
        <w:rPr>
          <w:i/>
          <w:sz w:val="23"/>
        </w:rPr>
        <w:t>recaudatoria entre el gobierno federal y el gobierno del Estado de </w:t>
      </w:r>
      <w:r>
        <w:rPr>
          <w:i/>
          <w:spacing w:val="6"/>
          <w:sz w:val="23"/>
        </w:rPr>
        <w:t> </w:t>
      </w:r>
      <w:r>
        <w:rPr>
          <w:i/>
          <w:sz w:val="23"/>
        </w:rPr>
        <w:t>Hidalgo</w:t>
      </w:r>
      <w:r>
        <w:rPr>
          <w:sz w:val="23"/>
        </w:rPr>
        <w:t>;</w:t>
      </w:r>
    </w:p>
    <w:p>
      <w:pPr>
        <w:pStyle w:val="ListParagraph"/>
        <w:numPr>
          <w:ilvl w:val="1"/>
          <w:numId w:val="2"/>
        </w:numPr>
        <w:tabs>
          <w:tab w:pos="361" w:val="left" w:leader="none"/>
        </w:tabs>
        <w:spacing w:line="260" w:lineRule="exact" w:before="0" w:after="0"/>
        <w:ind w:left="117" w:right="108" w:firstLine="0"/>
        <w:jc w:val="both"/>
        <w:rPr>
          <w:i/>
          <w:sz w:val="23"/>
        </w:rPr>
      </w:pPr>
      <w:r>
        <w:rPr>
          <w:i/>
          <w:sz w:val="23"/>
        </w:rPr>
        <w:t>la</w:t>
      </w:r>
      <w:r>
        <w:rPr>
          <w:i/>
          <w:spacing w:val="-10"/>
          <w:sz w:val="23"/>
        </w:rPr>
        <w:t> </w:t>
      </w:r>
      <w:r>
        <w:rPr>
          <w:i/>
          <w:sz w:val="23"/>
        </w:rPr>
        <w:t>coordinación</w:t>
      </w:r>
      <w:r>
        <w:rPr>
          <w:i/>
          <w:spacing w:val="-10"/>
          <w:sz w:val="23"/>
        </w:rPr>
        <w:t> </w:t>
      </w:r>
      <w:r>
        <w:rPr>
          <w:i/>
          <w:sz w:val="23"/>
        </w:rPr>
        <w:t>recaudatoria</w:t>
      </w:r>
      <w:r>
        <w:rPr>
          <w:i/>
          <w:spacing w:val="-10"/>
          <w:sz w:val="23"/>
        </w:rPr>
        <w:t> </w:t>
      </w:r>
      <w:r>
        <w:rPr>
          <w:i/>
          <w:sz w:val="23"/>
        </w:rPr>
        <w:t>entre</w:t>
      </w:r>
      <w:r>
        <w:rPr>
          <w:i/>
          <w:spacing w:val="-10"/>
          <w:sz w:val="23"/>
        </w:rPr>
        <w:t> </w:t>
      </w:r>
      <w:r>
        <w:rPr>
          <w:i/>
          <w:sz w:val="23"/>
        </w:rPr>
        <w:t>el</w:t>
      </w:r>
      <w:r>
        <w:rPr>
          <w:i/>
          <w:spacing w:val="-10"/>
          <w:sz w:val="23"/>
        </w:rPr>
        <w:t> </w:t>
      </w:r>
      <w:r>
        <w:rPr>
          <w:i/>
          <w:sz w:val="23"/>
        </w:rPr>
        <w:t>gobierno</w:t>
      </w:r>
      <w:r>
        <w:rPr>
          <w:i/>
          <w:spacing w:val="-10"/>
          <w:sz w:val="23"/>
        </w:rPr>
        <w:t> </w:t>
      </w:r>
      <w:r>
        <w:rPr>
          <w:i/>
          <w:sz w:val="23"/>
        </w:rPr>
        <w:t>estatal</w:t>
      </w:r>
      <w:r>
        <w:rPr>
          <w:i/>
          <w:spacing w:val="-10"/>
          <w:sz w:val="23"/>
        </w:rPr>
        <w:t> </w:t>
      </w:r>
      <w:r>
        <w:rPr>
          <w:i/>
          <w:sz w:val="23"/>
        </w:rPr>
        <w:t>y</w:t>
      </w:r>
      <w:r>
        <w:rPr>
          <w:i/>
          <w:spacing w:val="-10"/>
          <w:sz w:val="23"/>
        </w:rPr>
        <w:t> </w:t>
      </w:r>
      <w:r>
        <w:rPr>
          <w:i/>
          <w:sz w:val="23"/>
        </w:rPr>
        <w:t>los</w:t>
      </w:r>
      <w:r>
        <w:rPr>
          <w:i/>
          <w:spacing w:val="-10"/>
          <w:sz w:val="23"/>
        </w:rPr>
        <w:t> </w:t>
      </w:r>
      <w:r>
        <w:rPr>
          <w:i/>
          <w:sz w:val="23"/>
        </w:rPr>
        <w:t>ayuntamientos </w:t>
      </w:r>
      <w:r>
        <w:rPr>
          <w:i/>
          <w:sz w:val="23"/>
        </w:rPr>
        <w:t>hidalguenses</w:t>
      </w:r>
      <w:r>
        <w:rPr>
          <w:sz w:val="23"/>
        </w:rPr>
        <w:t>;</w:t>
      </w:r>
      <w:r>
        <w:rPr>
          <w:spacing w:val="-24"/>
          <w:sz w:val="23"/>
        </w:rPr>
        <w:t> </w:t>
      </w:r>
      <w:r>
        <w:rPr>
          <w:sz w:val="23"/>
        </w:rPr>
        <w:t>y</w:t>
      </w:r>
      <w:r>
        <w:rPr>
          <w:spacing w:val="-24"/>
          <w:sz w:val="23"/>
        </w:rPr>
        <w:t> </w:t>
      </w:r>
      <w:r>
        <w:rPr>
          <w:sz w:val="23"/>
        </w:rPr>
        <w:t>c)</w:t>
      </w:r>
      <w:r>
        <w:rPr>
          <w:spacing w:val="-24"/>
          <w:sz w:val="23"/>
        </w:rPr>
        <w:t> </w:t>
      </w:r>
      <w:r>
        <w:rPr>
          <w:i/>
          <w:sz w:val="23"/>
        </w:rPr>
        <w:t>el</w:t>
      </w:r>
      <w:r>
        <w:rPr>
          <w:i/>
          <w:spacing w:val="-24"/>
          <w:sz w:val="23"/>
        </w:rPr>
        <w:t> </w:t>
      </w:r>
      <w:r>
        <w:rPr>
          <w:i/>
          <w:sz w:val="23"/>
        </w:rPr>
        <w:t>gasto</w:t>
      </w:r>
      <w:r>
        <w:rPr>
          <w:i/>
          <w:spacing w:val="-24"/>
          <w:sz w:val="23"/>
        </w:rPr>
        <w:t> </w:t>
      </w:r>
      <w:r>
        <w:rPr>
          <w:i/>
          <w:sz w:val="23"/>
        </w:rPr>
        <w:t>cofinanciado</w:t>
      </w:r>
      <w:r>
        <w:rPr>
          <w:i/>
          <w:spacing w:val="-24"/>
          <w:sz w:val="23"/>
        </w:rPr>
        <w:t> </w:t>
      </w:r>
      <w:r>
        <w:rPr>
          <w:i/>
          <w:sz w:val="23"/>
        </w:rPr>
        <w:t>en</w:t>
      </w:r>
      <w:r>
        <w:rPr>
          <w:i/>
          <w:spacing w:val="-24"/>
          <w:sz w:val="23"/>
        </w:rPr>
        <w:t> </w:t>
      </w:r>
      <w:r>
        <w:rPr>
          <w:i/>
          <w:sz w:val="23"/>
        </w:rPr>
        <w:t>servicios</w:t>
      </w:r>
      <w:r>
        <w:rPr>
          <w:i/>
          <w:spacing w:val="-24"/>
          <w:sz w:val="23"/>
        </w:rPr>
        <w:t> </w:t>
      </w:r>
      <w:r>
        <w:rPr>
          <w:i/>
          <w:sz w:val="23"/>
        </w:rPr>
        <w:t>públicos</w:t>
      </w:r>
      <w:r>
        <w:rPr>
          <w:i/>
          <w:spacing w:val="-24"/>
          <w:sz w:val="23"/>
        </w:rPr>
        <w:t> </w:t>
      </w:r>
      <w:r>
        <w:rPr>
          <w:i/>
          <w:sz w:val="23"/>
        </w:rPr>
        <w:t>entre</w:t>
      </w:r>
      <w:r>
        <w:rPr>
          <w:i/>
          <w:spacing w:val="-24"/>
          <w:sz w:val="23"/>
        </w:rPr>
        <w:t> </w:t>
      </w:r>
      <w:r>
        <w:rPr>
          <w:i/>
          <w:sz w:val="23"/>
        </w:rPr>
        <w:t>el</w:t>
      </w:r>
      <w:r>
        <w:rPr>
          <w:i/>
          <w:spacing w:val="-24"/>
          <w:sz w:val="23"/>
        </w:rPr>
        <w:t> </w:t>
      </w:r>
      <w:r>
        <w:rPr>
          <w:i/>
          <w:sz w:val="23"/>
        </w:rPr>
        <w:t>gobierno </w:t>
      </w:r>
      <w:r>
        <w:rPr>
          <w:i/>
          <w:sz w:val="23"/>
        </w:rPr>
        <w:t>federal, el gobierno estatal y los ayuntamientos</w:t>
      </w:r>
      <w:r>
        <w:rPr>
          <w:i/>
          <w:spacing w:val="-3"/>
          <w:sz w:val="23"/>
        </w:rPr>
        <w:t> </w:t>
      </w:r>
      <w:r>
        <w:rPr>
          <w:i/>
          <w:sz w:val="23"/>
        </w:rPr>
        <w:t>hidalguenses.</w:t>
      </w:r>
    </w:p>
    <w:p>
      <w:pPr>
        <w:pStyle w:val="BodyText"/>
        <w:spacing w:before="7"/>
        <w:rPr>
          <w:i/>
          <w:sz w:val="22"/>
        </w:rPr>
      </w:pPr>
    </w:p>
    <w:p>
      <w:pPr>
        <w:spacing w:line="260" w:lineRule="exact" w:before="0"/>
        <w:ind w:left="117" w:right="107" w:firstLine="0"/>
        <w:jc w:val="both"/>
        <w:rPr>
          <w:sz w:val="23"/>
        </w:rPr>
      </w:pPr>
      <w:r>
        <w:rPr>
          <w:sz w:val="23"/>
        </w:rPr>
        <w:t>La</w:t>
      </w:r>
      <w:r>
        <w:rPr>
          <w:spacing w:val="-15"/>
          <w:sz w:val="23"/>
        </w:rPr>
        <w:t> </w:t>
      </w:r>
      <w:r>
        <w:rPr>
          <w:i/>
          <w:sz w:val="23"/>
        </w:rPr>
        <w:t>segunda</w:t>
      </w:r>
      <w:r>
        <w:rPr>
          <w:i/>
          <w:spacing w:val="-14"/>
          <w:sz w:val="23"/>
        </w:rPr>
        <w:t> </w:t>
      </w:r>
      <w:r>
        <w:rPr>
          <w:i/>
          <w:sz w:val="23"/>
        </w:rPr>
        <w:t>parte</w:t>
      </w:r>
      <w:r>
        <w:rPr>
          <w:i/>
          <w:spacing w:val="-15"/>
          <w:sz w:val="23"/>
        </w:rPr>
        <w:t> </w:t>
      </w:r>
      <w:r>
        <w:rPr>
          <w:sz w:val="23"/>
        </w:rPr>
        <w:t>contiene</w:t>
      </w:r>
      <w:r>
        <w:rPr>
          <w:spacing w:val="-15"/>
          <w:sz w:val="23"/>
        </w:rPr>
        <w:t> </w:t>
      </w:r>
      <w:r>
        <w:rPr>
          <w:sz w:val="23"/>
        </w:rPr>
        <w:t>lo</w:t>
      </w:r>
      <w:r>
        <w:rPr>
          <w:spacing w:val="-15"/>
          <w:sz w:val="23"/>
        </w:rPr>
        <w:t> </w:t>
      </w:r>
      <w:r>
        <w:rPr>
          <w:sz w:val="23"/>
        </w:rPr>
        <w:t>concerniente</w:t>
      </w:r>
      <w:r>
        <w:rPr>
          <w:spacing w:val="-15"/>
          <w:sz w:val="23"/>
        </w:rPr>
        <w:t> </w:t>
      </w:r>
      <w:r>
        <w:rPr>
          <w:sz w:val="23"/>
        </w:rPr>
        <w:t>a</w:t>
      </w:r>
      <w:r>
        <w:rPr>
          <w:spacing w:val="-15"/>
          <w:sz w:val="23"/>
        </w:rPr>
        <w:t> </w:t>
      </w:r>
      <w:r>
        <w:rPr>
          <w:sz w:val="23"/>
        </w:rPr>
        <w:t>las</w:t>
      </w:r>
      <w:r>
        <w:rPr>
          <w:spacing w:val="-15"/>
          <w:sz w:val="23"/>
        </w:rPr>
        <w:t> </w:t>
      </w:r>
      <w:r>
        <w:rPr>
          <w:sz w:val="23"/>
        </w:rPr>
        <w:t>políticas</w:t>
      </w:r>
      <w:r>
        <w:rPr>
          <w:spacing w:val="-15"/>
          <w:sz w:val="23"/>
        </w:rPr>
        <w:t> </w:t>
      </w:r>
      <w:r>
        <w:rPr>
          <w:sz w:val="23"/>
        </w:rPr>
        <w:t>públicas</w:t>
      </w:r>
      <w:r>
        <w:rPr>
          <w:spacing w:val="-14"/>
          <w:sz w:val="23"/>
        </w:rPr>
        <w:t> </w:t>
      </w:r>
      <w:r>
        <w:rPr>
          <w:sz w:val="23"/>
        </w:rPr>
        <w:t>coordinadas según los capítulos denominados: d) </w:t>
      </w:r>
      <w:r>
        <w:rPr>
          <w:i/>
          <w:sz w:val="23"/>
        </w:rPr>
        <w:t>la coordinación intergubernamental   </w:t>
      </w:r>
      <w:r>
        <w:rPr>
          <w:i/>
          <w:sz w:val="23"/>
        </w:rPr>
        <w:t>en la planeación y el desarrollo del Estado de Hidalgo</w:t>
      </w:r>
      <w:r>
        <w:rPr>
          <w:sz w:val="23"/>
        </w:rPr>
        <w:t>, e) </w:t>
      </w:r>
      <w:r>
        <w:rPr>
          <w:i/>
          <w:sz w:val="23"/>
        </w:rPr>
        <w:t>el ejercicio </w:t>
      </w:r>
      <w:r>
        <w:rPr>
          <w:i/>
          <w:sz w:val="23"/>
        </w:rPr>
        <w:t>descentralizado</w:t>
      </w:r>
      <w:r>
        <w:rPr>
          <w:i/>
          <w:spacing w:val="-10"/>
          <w:sz w:val="23"/>
        </w:rPr>
        <w:t> </w:t>
      </w:r>
      <w:r>
        <w:rPr>
          <w:i/>
          <w:sz w:val="23"/>
        </w:rPr>
        <w:t>de</w:t>
      </w:r>
      <w:r>
        <w:rPr>
          <w:i/>
          <w:spacing w:val="-9"/>
          <w:sz w:val="23"/>
        </w:rPr>
        <w:t> </w:t>
      </w:r>
      <w:r>
        <w:rPr>
          <w:i/>
          <w:sz w:val="23"/>
        </w:rPr>
        <w:t>la</w:t>
      </w:r>
      <w:r>
        <w:rPr>
          <w:i/>
          <w:spacing w:val="-10"/>
          <w:sz w:val="23"/>
        </w:rPr>
        <w:t> </w:t>
      </w:r>
      <w:r>
        <w:rPr>
          <w:i/>
          <w:sz w:val="23"/>
        </w:rPr>
        <w:t>política</w:t>
      </w:r>
      <w:r>
        <w:rPr>
          <w:i/>
          <w:spacing w:val="-10"/>
          <w:sz w:val="23"/>
        </w:rPr>
        <w:t> </w:t>
      </w:r>
      <w:r>
        <w:rPr>
          <w:i/>
          <w:sz w:val="23"/>
        </w:rPr>
        <w:t>compensatoria</w:t>
      </w:r>
      <w:r>
        <w:rPr>
          <w:i/>
          <w:spacing w:val="-10"/>
          <w:sz w:val="23"/>
        </w:rPr>
        <w:t> </w:t>
      </w:r>
      <w:r>
        <w:rPr>
          <w:i/>
          <w:sz w:val="23"/>
        </w:rPr>
        <w:t>según</w:t>
      </w:r>
      <w:r>
        <w:rPr>
          <w:i/>
          <w:spacing w:val="-9"/>
          <w:sz w:val="23"/>
        </w:rPr>
        <w:t> </w:t>
      </w:r>
      <w:r>
        <w:rPr>
          <w:i/>
          <w:sz w:val="23"/>
        </w:rPr>
        <w:t>el</w:t>
      </w:r>
      <w:r>
        <w:rPr>
          <w:i/>
          <w:spacing w:val="-10"/>
          <w:sz w:val="23"/>
        </w:rPr>
        <w:t> </w:t>
      </w:r>
      <w:r>
        <w:rPr>
          <w:i/>
          <w:sz w:val="23"/>
        </w:rPr>
        <w:t>gobierno</w:t>
      </w:r>
      <w:r>
        <w:rPr>
          <w:i/>
          <w:spacing w:val="-9"/>
          <w:sz w:val="23"/>
        </w:rPr>
        <w:t> </w:t>
      </w:r>
      <w:r>
        <w:rPr>
          <w:i/>
          <w:sz w:val="23"/>
        </w:rPr>
        <w:t>del</w:t>
      </w:r>
      <w:r>
        <w:rPr>
          <w:i/>
          <w:spacing w:val="-9"/>
          <w:sz w:val="23"/>
        </w:rPr>
        <w:t> </w:t>
      </w:r>
      <w:r>
        <w:rPr>
          <w:i/>
          <w:sz w:val="23"/>
        </w:rPr>
        <w:t>Estado</w:t>
      </w:r>
      <w:r>
        <w:rPr>
          <w:i/>
          <w:spacing w:val="-10"/>
          <w:sz w:val="23"/>
        </w:rPr>
        <w:t> </w:t>
      </w:r>
      <w:r>
        <w:rPr>
          <w:i/>
          <w:sz w:val="23"/>
        </w:rPr>
        <w:t>de Hidalgo</w:t>
      </w:r>
      <w:r>
        <w:rPr>
          <w:sz w:val="23"/>
        </w:rPr>
        <w:t>,</w:t>
      </w:r>
      <w:r>
        <w:rPr>
          <w:spacing w:val="-28"/>
          <w:sz w:val="23"/>
        </w:rPr>
        <w:t> </w:t>
      </w:r>
      <w:r>
        <w:rPr>
          <w:sz w:val="23"/>
        </w:rPr>
        <w:t>y</w:t>
      </w:r>
      <w:r>
        <w:rPr>
          <w:spacing w:val="-28"/>
          <w:sz w:val="23"/>
        </w:rPr>
        <w:t> </w:t>
      </w:r>
      <w:r>
        <w:rPr>
          <w:sz w:val="23"/>
        </w:rPr>
        <w:t>f)</w:t>
      </w:r>
      <w:r>
        <w:rPr>
          <w:spacing w:val="-28"/>
          <w:sz w:val="23"/>
        </w:rPr>
        <w:t> </w:t>
      </w:r>
      <w:r>
        <w:rPr>
          <w:i/>
          <w:sz w:val="23"/>
        </w:rPr>
        <w:t>la</w:t>
      </w:r>
      <w:r>
        <w:rPr>
          <w:i/>
          <w:spacing w:val="-28"/>
          <w:sz w:val="23"/>
        </w:rPr>
        <w:t> </w:t>
      </w:r>
      <w:r>
        <w:rPr>
          <w:i/>
          <w:sz w:val="23"/>
        </w:rPr>
        <w:t>política</w:t>
      </w:r>
      <w:r>
        <w:rPr>
          <w:i/>
          <w:spacing w:val="-28"/>
          <w:sz w:val="23"/>
        </w:rPr>
        <w:t> </w:t>
      </w:r>
      <w:r>
        <w:rPr>
          <w:i/>
          <w:sz w:val="23"/>
        </w:rPr>
        <w:t>intergubernamental</w:t>
      </w:r>
      <w:r>
        <w:rPr>
          <w:i/>
          <w:spacing w:val="-28"/>
          <w:sz w:val="23"/>
        </w:rPr>
        <w:t> </w:t>
      </w:r>
      <w:r>
        <w:rPr>
          <w:i/>
          <w:sz w:val="23"/>
        </w:rPr>
        <w:t>de</w:t>
      </w:r>
      <w:r>
        <w:rPr>
          <w:i/>
          <w:spacing w:val="-28"/>
          <w:sz w:val="23"/>
        </w:rPr>
        <w:t> </w:t>
      </w:r>
      <w:r>
        <w:rPr>
          <w:i/>
          <w:sz w:val="23"/>
        </w:rPr>
        <w:t>lo</w:t>
      </w:r>
      <w:r>
        <w:rPr>
          <w:i/>
          <w:spacing w:val="-28"/>
          <w:sz w:val="23"/>
        </w:rPr>
        <w:t> </w:t>
      </w:r>
      <w:r>
        <w:rPr>
          <w:i/>
          <w:sz w:val="23"/>
        </w:rPr>
        <w:t>urbano</w:t>
      </w:r>
      <w:r>
        <w:rPr>
          <w:i/>
          <w:spacing w:val="-28"/>
          <w:sz w:val="23"/>
        </w:rPr>
        <w:t> </w:t>
      </w:r>
      <w:r>
        <w:rPr>
          <w:i/>
          <w:sz w:val="23"/>
        </w:rPr>
        <w:t>y</w:t>
      </w:r>
      <w:r>
        <w:rPr>
          <w:i/>
          <w:spacing w:val="-28"/>
          <w:sz w:val="23"/>
        </w:rPr>
        <w:t> </w:t>
      </w:r>
      <w:r>
        <w:rPr>
          <w:i/>
          <w:sz w:val="23"/>
        </w:rPr>
        <w:t>de</w:t>
      </w:r>
      <w:r>
        <w:rPr>
          <w:i/>
          <w:spacing w:val="-28"/>
          <w:sz w:val="23"/>
        </w:rPr>
        <w:t> </w:t>
      </w:r>
      <w:r>
        <w:rPr>
          <w:i/>
          <w:sz w:val="23"/>
        </w:rPr>
        <w:t>la</w:t>
      </w:r>
      <w:r>
        <w:rPr>
          <w:i/>
          <w:spacing w:val="-28"/>
          <w:sz w:val="23"/>
        </w:rPr>
        <w:t> </w:t>
      </w:r>
      <w:r>
        <w:rPr>
          <w:i/>
          <w:sz w:val="23"/>
        </w:rPr>
        <w:t>vivienda</w:t>
      </w:r>
      <w:r>
        <w:rPr>
          <w:i/>
          <w:spacing w:val="-28"/>
          <w:sz w:val="23"/>
        </w:rPr>
        <w:t> </w:t>
      </w:r>
      <w:r>
        <w:rPr>
          <w:i/>
          <w:sz w:val="23"/>
        </w:rPr>
        <w:t>social </w:t>
      </w:r>
      <w:r>
        <w:rPr>
          <w:i/>
          <w:sz w:val="23"/>
        </w:rPr>
        <w:t>en el Estado de Hidalgo</w:t>
      </w:r>
      <w:r>
        <w:rPr>
          <w:sz w:val="23"/>
        </w:rPr>
        <w:t>. La </w:t>
      </w:r>
      <w:r>
        <w:rPr>
          <w:i/>
          <w:sz w:val="23"/>
        </w:rPr>
        <w:t>tercera parte </w:t>
      </w:r>
      <w:r>
        <w:rPr>
          <w:sz w:val="23"/>
        </w:rPr>
        <w:t>guarda analogía con el contenido de las secciones anteriores según los títulos: g) </w:t>
      </w:r>
      <w:r>
        <w:rPr>
          <w:i/>
          <w:sz w:val="23"/>
        </w:rPr>
        <w:t>las obras comunitarias en los </w:t>
      </w:r>
      <w:r>
        <w:rPr>
          <w:i/>
          <w:sz w:val="23"/>
        </w:rPr>
        <w:t>municipios</w:t>
      </w:r>
      <w:r>
        <w:rPr>
          <w:i/>
          <w:spacing w:val="-19"/>
          <w:sz w:val="23"/>
        </w:rPr>
        <w:t> </w:t>
      </w:r>
      <w:r>
        <w:rPr>
          <w:i/>
          <w:sz w:val="23"/>
        </w:rPr>
        <w:t>hidalguenses,</w:t>
      </w:r>
      <w:r>
        <w:rPr>
          <w:i/>
          <w:spacing w:val="-19"/>
          <w:sz w:val="23"/>
        </w:rPr>
        <w:t> </w:t>
      </w:r>
      <w:r>
        <w:rPr>
          <w:sz w:val="23"/>
        </w:rPr>
        <w:t>y</w:t>
      </w:r>
      <w:r>
        <w:rPr>
          <w:spacing w:val="-19"/>
          <w:sz w:val="23"/>
        </w:rPr>
        <w:t> </w:t>
      </w:r>
      <w:r>
        <w:rPr>
          <w:sz w:val="23"/>
        </w:rPr>
        <w:t>h)</w:t>
      </w:r>
      <w:r>
        <w:rPr>
          <w:spacing w:val="-19"/>
          <w:sz w:val="23"/>
        </w:rPr>
        <w:t> </w:t>
      </w:r>
      <w:r>
        <w:rPr>
          <w:i/>
          <w:sz w:val="23"/>
        </w:rPr>
        <w:t>la</w:t>
      </w:r>
      <w:r>
        <w:rPr>
          <w:i/>
          <w:spacing w:val="-19"/>
          <w:sz w:val="23"/>
        </w:rPr>
        <w:t> </w:t>
      </w:r>
      <w:r>
        <w:rPr>
          <w:i/>
          <w:sz w:val="23"/>
        </w:rPr>
        <w:t>incidencia</w:t>
      </w:r>
      <w:r>
        <w:rPr>
          <w:i/>
          <w:spacing w:val="-20"/>
          <w:sz w:val="23"/>
        </w:rPr>
        <w:t> </w:t>
      </w:r>
      <w:r>
        <w:rPr>
          <w:i/>
          <w:sz w:val="23"/>
        </w:rPr>
        <w:t>de</w:t>
      </w:r>
      <w:r>
        <w:rPr>
          <w:i/>
          <w:spacing w:val="-19"/>
          <w:sz w:val="23"/>
        </w:rPr>
        <w:t> </w:t>
      </w:r>
      <w:r>
        <w:rPr>
          <w:i/>
          <w:sz w:val="23"/>
        </w:rPr>
        <w:t>la</w:t>
      </w:r>
      <w:r>
        <w:rPr>
          <w:i/>
          <w:spacing w:val="-19"/>
          <w:sz w:val="23"/>
        </w:rPr>
        <w:t> </w:t>
      </w:r>
      <w:r>
        <w:rPr>
          <w:i/>
          <w:sz w:val="23"/>
        </w:rPr>
        <w:t>ciudadanía</w:t>
      </w:r>
      <w:r>
        <w:rPr>
          <w:i/>
          <w:spacing w:val="-20"/>
          <w:sz w:val="23"/>
        </w:rPr>
        <w:t> </w:t>
      </w:r>
      <w:r>
        <w:rPr>
          <w:i/>
          <w:sz w:val="23"/>
        </w:rPr>
        <w:t>hidalguense</w:t>
      </w:r>
      <w:r>
        <w:rPr>
          <w:i/>
          <w:spacing w:val="-19"/>
          <w:sz w:val="23"/>
        </w:rPr>
        <w:t> </w:t>
      </w:r>
      <w:r>
        <w:rPr>
          <w:i/>
          <w:sz w:val="23"/>
        </w:rPr>
        <w:t>en</w:t>
      </w:r>
      <w:r>
        <w:rPr>
          <w:i/>
          <w:spacing w:val="-19"/>
          <w:sz w:val="23"/>
        </w:rPr>
        <w:t> </w:t>
      </w:r>
      <w:r>
        <w:rPr>
          <w:i/>
          <w:sz w:val="23"/>
        </w:rPr>
        <w:t>la </w:t>
      </w:r>
      <w:r>
        <w:rPr>
          <w:i/>
          <w:sz w:val="23"/>
        </w:rPr>
        <w:t>definición</w:t>
      </w:r>
      <w:r>
        <w:rPr>
          <w:i/>
          <w:spacing w:val="-12"/>
          <w:sz w:val="23"/>
        </w:rPr>
        <w:t> </w:t>
      </w:r>
      <w:r>
        <w:rPr>
          <w:i/>
          <w:sz w:val="23"/>
        </w:rPr>
        <w:t>de</w:t>
      </w:r>
      <w:r>
        <w:rPr>
          <w:i/>
          <w:spacing w:val="-12"/>
          <w:sz w:val="23"/>
        </w:rPr>
        <w:t> </w:t>
      </w:r>
      <w:r>
        <w:rPr>
          <w:i/>
          <w:sz w:val="23"/>
        </w:rPr>
        <w:t>las</w:t>
      </w:r>
      <w:r>
        <w:rPr>
          <w:i/>
          <w:spacing w:val="-12"/>
          <w:sz w:val="23"/>
        </w:rPr>
        <w:t> </w:t>
      </w:r>
      <w:r>
        <w:rPr>
          <w:i/>
          <w:sz w:val="23"/>
        </w:rPr>
        <w:t>políticas</w:t>
      </w:r>
      <w:r>
        <w:rPr>
          <w:i/>
          <w:spacing w:val="-12"/>
          <w:sz w:val="23"/>
        </w:rPr>
        <w:t> </w:t>
      </w:r>
      <w:r>
        <w:rPr>
          <w:i/>
          <w:sz w:val="23"/>
        </w:rPr>
        <w:t>públicas.</w:t>
      </w:r>
      <w:r>
        <w:rPr>
          <w:i/>
          <w:spacing w:val="-12"/>
          <w:sz w:val="23"/>
        </w:rPr>
        <w:t> </w:t>
      </w:r>
      <w:r>
        <w:rPr>
          <w:sz w:val="23"/>
        </w:rPr>
        <w:t>Finalmente</w:t>
      </w:r>
      <w:r>
        <w:rPr>
          <w:spacing w:val="-12"/>
          <w:sz w:val="23"/>
        </w:rPr>
        <w:t> </w:t>
      </w:r>
      <w:r>
        <w:rPr>
          <w:sz w:val="23"/>
        </w:rPr>
        <w:t>se</w:t>
      </w:r>
      <w:r>
        <w:rPr>
          <w:spacing w:val="-12"/>
          <w:sz w:val="23"/>
        </w:rPr>
        <w:t> </w:t>
      </w:r>
      <w:r>
        <w:rPr>
          <w:sz w:val="23"/>
        </w:rPr>
        <w:t>establecen</w:t>
      </w:r>
      <w:r>
        <w:rPr>
          <w:spacing w:val="-13"/>
          <w:sz w:val="23"/>
        </w:rPr>
        <w:t> </w:t>
      </w:r>
      <w:r>
        <w:rPr>
          <w:sz w:val="23"/>
        </w:rPr>
        <w:t>las</w:t>
      </w:r>
      <w:r>
        <w:rPr>
          <w:spacing w:val="-13"/>
          <w:sz w:val="23"/>
        </w:rPr>
        <w:t> </w:t>
      </w:r>
      <w:r>
        <w:rPr>
          <w:i/>
          <w:sz w:val="23"/>
        </w:rPr>
        <w:t>conclusiones </w:t>
      </w:r>
      <w:r>
        <w:rPr>
          <w:i/>
          <w:sz w:val="23"/>
        </w:rPr>
        <w:t>generales</w:t>
      </w:r>
      <w:r>
        <w:rPr>
          <w:sz w:val="23"/>
        </w:rPr>
        <w:t>.</w:t>
      </w:r>
    </w:p>
    <w:p>
      <w:pPr>
        <w:spacing w:after="0" w:line="260" w:lineRule="exact"/>
        <w:jc w:val="both"/>
        <w:rPr>
          <w:sz w:val="23"/>
        </w:rPr>
        <w:sectPr>
          <w:pgSz w:w="9360" w:h="13040"/>
          <w:pgMar w:header="547" w:footer="515" w:top="940" w:bottom="700" w:left="1300" w:right="740"/>
        </w:sectPr>
      </w:pPr>
    </w:p>
    <w:p>
      <w:pPr>
        <w:pStyle w:val="BodyText"/>
        <w:spacing w:before="4"/>
        <w:rPr>
          <w:sz w:val="17"/>
        </w:rPr>
      </w:pPr>
    </w:p>
    <w:p>
      <w:pPr>
        <w:spacing w:after="0"/>
        <w:rPr>
          <w:sz w:val="17"/>
        </w:rPr>
        <w:sectPr>
          <w:headerReference w:type="default" r:id="rId25"/>
          <w:footerReference w:type="default" r:id="rId26"/>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4"/>
        </w:rPr>
      </w:pPr>
    </w:p>
    <w:p>
      <w:pPr>
        <w:pStyle w:val="Heading1"/>
        <w:spacing w:before="54"/>
      </w:pPr>
      <w:bookmarkStart w:name="_TOC_250039" w:id="4"/>
      <w:bookmarkEnd w:id="4"/>
      <w:r>
        <w:rPr/>
        <w:t>PRIMERA PARTE</w:t>
      </w:r>
    </w:p>
    <w:p>
      <w:pPr>
        <w:pStyle w:val="BodyText"/>
        <w:rPr>
          <w:b/>
          <w:sz w:val="36"/>
        </w:rPr>
      </w:pPr>
    </w:p>
    <w:p>
      <w:pPr>
        <w:pStyle w:val="BodyText"/>
        <w:rPr>
          <w:b/>
          <w:sz w:val="36"/>
        </w:rPr>
      </w:pPr>
    </w:p>
    <w:p>
      <w:pPr>
        <w:pStyle w:val="BodyText"/>
        <w:spacing w:before="1"/>
        <w:rPr>
          <w:b/>
          <w:sz w:val="38"/>
        </w:rPr>
      </w:pPr>
    </w:p>
    <w:p>
      <w:pPr>
        <w:spacing w:line="242" w:lineRule="auto" w:before="0"/>
        <w:ind w:left="2180" w:right="1070" w:hanging="1091"/>
        <w:jc w:val="left"/>
        <w:rPr>
          <w:b/>
          <w:sz w:val="36"/>
        </w:rPr>
      </w:pPr>
      <w:bookmarkStart w:name="_TOC_250038" w:id="5"/>
      <w:bookmarkEnd w:id="5"/>
      <w:r>
        <w:rPr>
          <w:b/>
          <w:sz w:val="36"/>
        </w:rPr>
        <w:t>Sentido Descendente o del Estado Multijurisdiccional</w:t>
      </w:r>
    </w:p>
    <w:p>
      <w:pPr>
        <w:pStyle w:val="BodyText"/>
        <w:spacing w:before="7"/>
        <w:rPr>
          <w:b/>
          <w:sz w:val="36"/>
        </w:rPr>
      </w:pPr>
    </w:p>
    <w:p>
      <w:pPr>
        <w:spacing w:before="1"/>
        <w:ind w:left="739" w:right="732" w:firstLine="0"/>
        <w:jc w:val="center"/>
        <w:rPr>
          <w:b/>
          <w:sz w:val="36"/>
        </w:rPr>
      </w:pPr>
      <w:bookmarkStart w:name="_TOC_250037" w:id="6"/>
      <w:bookmarkEnd w:id="6"/>
      <w:r>
        <w:rPr>
          <w:b/>
          <w:sz w:val="36"/>
        </w:rPr>
        <w:t>Finanzas Públicas</w:t>
      </w:r>
    </w:p>
    <w:p>
      <w:pPr>
        <w:spacing w:after="0"/>
        <w:jc w:val="center"/>
        <w:rPr>
          <w:sz w:val="36"/>
        </w:rPr>
        <w:sectPr>
          <w:headerReference w:type="default" r:id="rId27"/>
          <w:footerReference w:type="default" r:id="rId28"/>
          <w:pgSz w:w="9360" w:h="13040"/>
          <w:pgMar w:header="0" w:footer="515" w:top="1200" w:bottom="700" w:left="1300" w:right="740"/>
          <w:pgNumType w:start="31"/>
        </w:sectPr>
      </w:pPr>
    </w:p>
    <w:p>
      <w:pPr>
        <w:pStyle w:val="BodyText"/>
        <w:spacing w:before="4"/>
        <w:rPr>
          <w:sz w:val="17"/>
        </w:rPr>
      </w:pPr>
    </w:p>
    <w:p>
      <w:pPr>
        <w:spacing w:after="0"/>
        <w:rPr>
          <w:sz w:val="17"/>
        </w:rPr>
        <w:sectPr>
          <w:headerReference w:type="default" r:id="rId29"/>
          <w:footerReference w:type="default" r:id="rId30"/>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12"/>
        <w:rPr>
          <w:sz w:val="20"/>
        </w:rPr>
      </w:pPr>
      <w:r>
        <w:rPr>
          <w:sz w:val="20"/>
        </w:rPr>
        <w:drawing>
          <wp:inline distT="0" distB="0" distL="0" distR="0">
            <wp:extent cx="3745992" cy="5401056"/>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33" cstate="print"/>
                    <a:stretch>
                      <a:fillRect/>
                    </a:stretch>
                  </pic:blipFill>
                  <pic:spPr>
                    <a:xfrm>
                      <a:off x="0" y="0"/>
                      <a:ext cx="3745992" cy="5401056"/>
                    </a:xfrm>
                    <a:prstGeom prst="rect">
                      <a:avLst/>
                    </a:prstGeom>
                  </pic:spPr>
                </pic:pic>
              </a:graphicData>
            </a:graphic>
          </wp:inline>
        </w:drawing>
      </w:r>
      <w:r>
        <w:rPr>
          <w:sz w:val="20"/>
        </w:rPr>
      </w:r>
    </w:p>
    <w:p>
      <w:pPr>
        <w:pStyle w:val="BodyText"/>
        <w:rPr>
          <w:sz w:val="20"/>
        </w:rPr>
      </w:pPr>
    </w:p>
    <w:p>
      <w:pPr>
        <w:pStyle w:val="BodyText"/>
        <w:spacing w:before="9"/>
        <w:rPr>
          <w:sz w:val="20"/>
        </w:rPr>
      </w:pPr>
    </w:p>
    <w:p>
      <w:pPr>
        <w:pStyle w:val="BodyText"/>
        <w:ind w:left="741" w:right="677"/>
        <w:jc w:val="center"/>
      </w:pPr>
      <w:r>
        <w:rPr/>
        <w:t>Huejutla de Reyes.</w:t>
      </w:r>
    </w:p>
    <w:p>
      <w:pPr>
        <w:spacing w:after="0"/>
        <w:jc w:val="center"/>
        <w:sectPr>
          <w:headerReference w:type="default" r:id="rId31"/>
          <w:footerReference w:type="default" r:id="rId32"/>
          <w:pgSz w:w="9360" w:h="13040"/>
          <w:pgMar w:header="0" w:footer="515" w:top="1200" w:bottom="700" w:left="1300" w:right="740"/>
          <w:pgNumType w:start="33"/>
        </w:sectPr>
      </w:pPr>
    </w:p>
    <w:p>
      <w:pPr>
        <w:pStyle w:val="BodyText"/>
        <w:spacing w:before="4"/>
        <w:rPr>
          <w:sz w:val="17"/>
        </w:rPr>
      </w:pPr>
    </w:p>
    <w:p>
      <w:pPr>
        <w:spacing w:after="0"/>
        <w:rPr>
          <w:sz w:val="17"/>
        </w:rPr>
        <w:sectPr>
          <w:headerReference w:type="default" r:id="rId34"/>
          <w:footerReference w:type="default" r:id="rId35"/>
          <w:pgSz w:w="9360" w:h="13040"/>
          <w:pgMar w:header="0" w:footer="0" w:top="1200" w:bottom="280" w:left="1300" w:right="1300"/>
        </w:sectPr>
      </w:pPr>
    </w:p>
    <w:p>
      <w:pPr>
        <w:pStyle w:val="Heading2"/>
        <w:spacing w:line="268" w:lineRule="exact"/>
        <w:ind w:left="738"/>
      </w:pPr>
      <w:bookmarkStart w:name="_TOC_250036" w:id="7"/>
      <w:bookmarkEnd w:id="7"/>
      <w:r>
        <w:rPr/>
        <w:t>Capítulo I.</w:t>
      </w:r>
    </w:p>
    <w:p>
      <w:pPr>
        <w:spacing w:line="260" w:lineRule="exact" w:before="8"/>
        <w:ind w:left="741" w:right="732" w:firstLine="0"/>
        <w:jc w:val="center"/>
        <w:rPr>
          <w:b/>
          <w:sz w:val="24"/>
        </w:rPr>
      </w:pPr>
      <w:r>
        <w:rPr>
          <w:b/>
          <w:sz w:val="24"/>
        </w:rPr>
        <w:t>La coordinación recaudatoria entre el gobierno federal y el gobierno del Estado de Hidalgo.</w:t>
      </w:r>
    </w:p>
    <w:p>
      <w:pPr>
        <w:pStyle w:val="BodyText"/>
        <w:rPr>
          <w:b/>
          <w:sz w:val="24"/>
        </w:rPr>
      </w:pPr>
    </w:p>
    <w:p>
      <w:pPr>
        <w:pStyle w:val="BodyText"/>
        <w:spacing w:before="7"/>
        <w:rPr>
          <w:b/>
          <w:sz w:val="20"/>
        </w:rPr>
      </w:pPr>
    </w:p>
    <w:p>
      <w:pPr>
        <w:pStyle w:val="Heading3"/>
      </w:pPr>
      <w:bookmarkStart w:name="_TOC_250035" w:id="8"/>
      <w:bookmarkEnd w:id="8"/>
      <w:r>
        <w:rPr/>
        <w:t>La colaboración administrativa de la coordinación fiscal.</w:t>
      </w:r>
    </w:p>
    <w:p>
      <w:pPr>
        <w:pStyle w:val="BodyText"/>
        <w:spacing w:before="9"/>
        <w:rPr>
          <w:b/>
          <w:sz w:val="22"/>
        </w:rPr>
      </w:pPr>
    </w:p>
    <w:p>
      <w:pPr>
        <w:pStyle w:val="BodyText"/>
        <w:spacing w:line="260" w:lineRule="exact"/>
        <w:ind w:left="117" w:right="107"/>
        <w:jc w:val="both"/>
      </w:pPr>
      <w:r>
        <w:rPr/>
        <w:t>A diferencia de las tendencias que presentan los sistemas federales consolidados, México cuenta con un federalismo fiscal que carece de una concurrencia intergubernamental efectiva, asimismo la coordinación fiscal representa</w:t>
      </w:r>
      <w:r>
        <w:rPr>
          <w:spacing w:val="-21"/>
        </w:rPr>
        <w:t> </w:t>
      </w:r>
      <w:r>
        <w:rPr/>
        <w:t>el</w:t>
      </w:r>
      <w:r>
        <w:rPr>
          <w:spacing w:val="-21"/>
        </w:rPr>
        <w:t> </w:t>
      </w:r>
      <w:r>
        <w:rPr/>
        <w:t>mecanismo</w:t>
      </w:r>
      <w:r>
        <w:rPr>
          <w:spacing w:val="-21"/>
        </w:rPr>
        <w:t> </w:t>
      </w:r>
      <w:r>
        <w:rPr/>
        <w:t>por</w:t>
      </w:r>
      <w:r>
        <w:rPr>
          <w:spacing w:val="-21"/>
        </w:rPr>
        <w:t> </w:t>
      </w:r>
      <w:r>
        <w:rPr/>
        <w:t>el</w:t>
      </w:r>
      <w:r>
        <w:rPr>
          <w:spacing w:val="-21"/>
        </w:rPr>
        <w:t> </w:t>
      </w:r>
      <w:r>
        <w:rPr/>
        <w:t>cual</w:t>
      </w:r>
      <w:r>
        <w:rPr>
          <w:spacing w:val="-21"/>
        </w:rPr>
        <w:t> </w:t>
      </w:r>
      <w:r>
        <w:rPr/>
        <w:t>el</w:t>
      </w:r>
      <w:r>
        <w:rPr>
          <w:spacing w:val="-21"/>
        </w:rPr>
        <w:t> </w:t>
      </w:r>
      <w:r>
        <w:rPr/>
        <w:t>sistema</w:t>
      </w:r>
      <w:r>
        <w:rPr>
          <w:spacing w:val="-20"/>
        </w:rPr>
        <w:t> </w:t>
      </w:r>
      <w:r>
        <w:rPr/>
        <w:t>federal</w:t>
      </w:r>
      <w:r>
        <w:rPr>
          <w:spacing w:val="-21"/>
        </w:rPr>
        <w:t> </w:t>
      </w:r>
      <w:r>
        <w:rPr/>
        <w:t>mexicano</w:t>
      </w:r>
      <w:r>
        <w:rPr>
          <w:spacing w:val="-21"/>
        </w:rPr>
        <w:t> </w:t>
      </w:r>
      <w:r>
        <w:rPr/>
        <w:t>ha</w:t>
      </w:r>
      <w:r>
        <w:rPr>
          <w:spacing w:val="-21"/>
        </w:rPr>
        <w:t> </w:t>
      </w:r>
      <w:r>
        <w:rPr/>
        <w:t>conservado una imposición tributaria centralizada en el orden federal. No obstante, los convenios de colaboración administrativa en materia fiscal federal significan la motivación del orden federal para compartir con los gobiernos estatales el ejercicio de las facultades fiscales sin que el primero abandone su máxima  de control impositivo. Más aún, se puede afirmar que la evolución de los convenios aludidos representa la única opción para transformar al actual régimen fiscal en una solución más federalizada y con mayor contenido subsidiario. Por estas consideraciones, la escala de evaluación subsidiaria   de las relaciones federación-estado en la función recaudatoria comprende en sus</w:t>
      </w:r>
      <w:r>
        <w:rPr>
          <w:spacing w:val="-4"/>
        </w:rPr>
        <w:t> </w:t>
      </w:r>
      <w:r>
        <w:rPr/>
        <w:t>niveles</w:t>
      </w:r>
      <w:r>
        <w:rPr>
          <w:spacing w:val="-6"/>
        </w:rPr>
        <w:t> </w:t>
      </w:r>
      <w:r>
        <w:rPr/>
        <w:t>superiores,</w:t>
      </w:r>
      <w:r>
        <w:rPr>
          <w:spacing w:val="-6"/>
        </w:rPr>
        <w:t> </w:t>
      </w:r>
      <w:r>
        <w:rPr/>
        <w:t>para</w:t>
      </w:r>
      <w:r>
        <w:rPr>
          <w:spacing w:val="-7"/>
        </w:rPr>
        <w:t> </w:t>
      </w:r>
      <w:r>
        <w:rPr/>
        <w:t>aludir</w:t>
      </w:r>
      <w:r>
        <w:rPr>
          <w:spacing w:val="-7"/>
        </w:rPr>
        <w:t> </w:t>
      </w:r>
      <w:r>
        <w:rPr/>
        <w:t>a</w:t>
      </w:r>
      <w:r>
        <w:rPr>
          <w:spacing w:val="-7"/>
        </w:rPr>
        <w:t> </w:t>
      </w:r>
      <w:r>
        <w:rPr/>
        <w:t>las</w:t>
      </w:r>
      <w:r>
        <w:rPr>
          <w:spacing w:val="-7"/>
        </w:rPr>
        <w:t> </w:t>
      </w:r>
      <w:r>
        <w:rPr/>
        <w:t>tendencias</w:t>
      </w:r>
      <w:r>
        <w:rPr>
          <w:spacing w:val="-7"/>
        </w:rPr>
        <w:t> </w:t>
      </w:r>
      <w:r>
        <w:rPr/>
        <w:t>que</w:t>
      </w:r>
      <w:r>
        <w:rPr>
          <w:spacing w:val="-7"/>
        </w:rPr>
        <w:t> </w:t>
      </w:r>
      <w:r>
        <w:rPr/>
        <w:t>presentan</w:t>
      </w:r>
      <w:r>
        <w:rPr>
          <w:spacing w:val="-6"/>
        </w:rPr>
        <w:t> </w:t>
      </w:r>
      <w:r>
        <w:rPr/>
        <w:t>los</w:t>
      </w:r>
      <w:r>
        <w:rPr>
          <w:spacing w:val="-7"/>
        </w:rPr>
        <w:t> </w:t>
      </w:r>
      <w:r>
        <w:rPr/>
        <w:t>sistemas federales consolidados, distintas concurrencias en torno a las principales partidas de ingreso.</w:t>
      </w:r>
    </w:p>
    <w:p>
      <w:pPr>
        <w:pStyle w:val="BodyText"/>
        <w:spacing w:before="7"/>
        <w:rPr>
          <w:sz w:val="22"/>
        </w:rPr>
      </w:pPr>
    </w:p>
    <w:p>
      <w:pPr>
        <w:pStyle w:val="BodyText"/>
        <w:spacing w:line="260" w:lineRule="exact"/>
        <w:ind w:left="117" w:right="108"/>
        <w:jc w:val="both"/>
      </w:pPr>
      <w:r>
        <w:rPr/>
        <w:t>Por</w:t>
      </w:r>
      <w:r>
        <w:rPr>
          <w:spacing w:val="-6"/>
        </w:rPr>
        <w:t> </w:t>
      </w:r>
      <w:r>
        <w:rPr/>
        <w:t>otra</w:t>
      </w:r>
      <w:r>
        <w:rPr>
          <w:spacing w:val="-6"/>
        </w:rPr>
        <w:t> </w:t>
      </w:r>
      <w:r>
        <w:rPr/>
        <w:t>parte,</w:t>
      </w:r>
      <w:r>
        <w:rPr>
          <w:spacing w:val="-6"/>
        </w:rPr>
        <w:t> </w:t>
      </w:r>
      <w:r>
        <w:rPr/>
        <w:t>en</w:t>
      </w:r>
      <w:r>
        <w:rPr>
          <w:spacing w:val="-6"/>
        </w:rPr>
        <w:t> </w:t>
      </w:r>
      <w:r>
        <w:rPr/>
        <w:t>los</w:t>
      </w:r>
      <w:r>
        <w:rPr>
          <w:spacing w:val="-6"/>
        </w:rPr>
        <w:t> </w:t>
      </w:r>
      <w:r>
        <w:rPr/>
        <w:t>niveles</w:t>
      </w:r>
      <w:r>
        <w:rPr>
          <w:spacing w:val="-6"/>
        </w:rPr>
        <w:t> </w:t>
      </w:r>
      <w:r>
        <w:rPr/>
        <w:t>inferiores,</w:t>
      </w:r>
      <w:r>
        <w:rPr>
          <w:spacing w:val="-7"/>
        </w:rPr>
        <w:t> </w:t>
      </w:r>
      <w:r>
        <w:rPr/>
        <w:t>relacionados</w:t>
      </w:r>
      <w:r>
        <w:rPr>
          <w:spacing w:val="-6"/>
        </w:rPr>
        <w:t> </w:t>
      </w:r>
      <w:r>
        <w:rPr/>
        <w:t>con</w:t>
      </w:r>
      <w:r>
        <w:rPr>
          <w:spacing w:val="-6"/>
        </w:rPr>
        <w:t> </w:t>
      </w:r>
      <w:r>
        <w:rPr/>
        <w:t>la</w:t>
      </w:r>
      <w:r>
        <w:rPr>
          <w:spacing w:val="-6"/>
        </w:rPr>
        <w:t> </w:t>
      </w:r>
      <w:r>
        <w:rPr/>
        <w:t>centralización</w:t>
      </w:r>
      <w:r>
        <w:rPr>
          <w:spacing w:val="-7"/>
        </w:rPr>
        <w:t> </w:t>
      </w:r>
      <w:r>
        <w:rPr/>
        <w:t>del federalismo fiscal mexicano, se incluyeron diversos niveles de eficiencia de acuerdo a la colaboración administrativa de la coordinación</w:t>
      </w:r>
      <w:r>
        <w:rPr>
          <w:spacing w:val="-12"/>
        </w:rPr>
        <w:t> </w:t>
      </w:r>
      <w:r>
        <w:rPr/>
        <w:t>fiscal.</w:t>
      </w:r>
    </w:p>
    <w:p>
      <w:pPr>
        <w:pStyle w:val="BodyText"/>
        <w:spacing w:before="7"/>
        <w:rPr>
          <w:sz w:val="22"/>
        </w:rPr>
      </w:pPr>
    </w:p>
    <w:p>
      <w:pPr>
        <w:spacing w:line="260" w:lineRule="exact" w:before="0"/>
        <w:ind w:left="878" w:right="869" w:firstLine="0"/>
        <w:jc w:val="center"/>
        <w:rPr>
          <w:b/>
          <w:i/>
          <w:sz w:val="23"/>
        </w:rPr>
      </w:pPr>
      <w:r>
        <w:rPr>
          <w:b/>
          <w:sz w:val="23"/>
        </w:rPr>
        <w:t>Escala de evaluación de las </w:t>
      </w:r>
      <w:r>
        <w:rPr>
          <w:b/>
          <w:i/>
          <w:sz w:val="23"/>
        </w:rPr>
        <w:t>relaciones federación-estados </w:t>
      </w:r>
      <w:r>
        <w:rPr>
          <w:b/>
          <w:i/>
          <w:sz w:val="23"/>
        </w:rPr>
        <w:t>en la función recaudatoria.</w:t>
      </w:r>
    </w:p>
    <w:p>
      <w:pPr>
        <w:pStyle w:val="BodyText"/>
        <w:spacing w:before="2"/>
        <w:rPr>
          <w:b/>
          <w:i/>
          <w:sz w:val="2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3"/>
        <w:gridCol w:w="1576"/>
        <w:gridCol w:w="1644"/>
        <w:gridCol w:w="1594"/>
      </w:tblGrid>
      <w:tr>
        <w:trPr>
          <w:trHeight w:val="452" w:hRule="exact"/>
        </w:trPr>
        <w:tc>
          <w:tcPr>
            <w:tcW w:w="460" w:type="dxa"/>
            <w:shd w:val="clear" w:color="auto" w:fill="D1D3D4"/>
          </w:tcPr>
          <w:p>
            <w:pPr/>
          </w:p>
        </w:tc>
        <w:tc>
          <w:tcPr>
            <w:tcW w:w="1803" w:type="dxa"/>
            <w:shd w:val="clear" w:color="auto" w:fill="D1D3D4"/>
          </w:tcPr>
          <w:p>
            <w:pPr>
              <w:pStyle w:val="TableParagraph"/>
              <w:spacing w:line="249" w:lineRule="auto" w:before="6"/>
              <w:ind w:left="478" w:right="350" w:hanging="111"/>
              <w:rPr>
                <w:b/>
                <w:sz w:val="18"/>
              </w:rPr>
            </w:pPr>
            <w:r>
              <w:rPr>
                <w:b/>
                <w:sz w:val="18"/>
              </w:rPr>
              <w:t>Capacidad de asociación.</w:t>
            </w:r>
          </w:p>
        </w:tc>
        <w:tc>
          <w:tcPr>
            <w:tcW w:w="1576" w:type="dxa"/>
            <w:shd w:val="clear" w:color="auto" w:fill="D1D3D4"/>
          </w:tcPr>
          <w:p>
            <w:pPr>
              <w:pStyle w:val="TableParagraph"/>
              <w:spacing w:line="249" w:lineRule="auto" w:before="6"/>
              <w:ind w:left="255" w:right="236" w:firstLine="92"/>
              <w:rPr>
                <w:b/>
                <w:sz w:val="18"/>
              </w:rPr>
            </w:pPr>
            <w:r>
              <w:rPr>
                <w:b/>
                <w:sz w:val="18"/>
              </w:rPr>
              <w:t>Restricción competencial.</w:t>
            </w:r>
          </w:p>
        </w:tc>
        <w:tc>
          <w:tcPr>
            <w:tcW w:w="1644" w:type="dxa"/>
            <w:shd w:val="clear" w:color="auto" w:fill="D1D3D4"/>
          </w:tcPr>
          <w:p>
            <w:pPr>
              <w:pStyle w:val="TableParagraph"/>
              <w:spacing w:line="249" w:lineRule="auto" w:before="6"/>
              <w:ind w:left="369" w:right="349" w:firstLine="17"/>
              <w:rPr>
                <w:b/>
                <w:sz w:val="18"/>
              </w:rPr>
            </w:pPr>
            <w:r>
              <w:rPr>
                <w:b/>
                <w:sz w:val="18"/>
              </w:rPr>
              <w:t>Evaluación subsidiaria.</w:t>
            </w:r>
          </w:p>
        </w:tc>
        <w:tc>
          <w:tcPr>
            <w:tcW w:w="1594" w:type="dxa"/>
            <w:shd w:val="clear" w:color="auto" w:fill="D1D3D4"/>
          </w:tcPr>
          <w:p>
            <w:pPr>
              <w:pStyle w:val="TableParagraph"/>
              <w:spacing w:line="249" w:lineRule="auto" w:before="6"/>
              <w:ind w:left="264" w:right="245" w:firstLine="249"/>
              <w:rPr>
                <w:b/>
                <w:sz w:val="18"/>
              </w:rPr>
            </w:pPr>
            <w:r>
              <w:rPr>
                <w:b/>
                <w:sz w:val="18"/>
              </w:rPr>
              <w:t>Avance competencial.</w:t>
            </w:r>
          </w:p>
        </w:tc>
      </w:tr>
      <w:tr>
        <w:trPr>
          <w:trHeight w:val="1535" w:hRule="exact"/>
        </w:trPr>
        <w:tc>
          <w:tcPr>
            <w:tcW w:w="460" w:type="dxa"/>
          </w:tcPr>
          <w:p>
            <w:pPr>
              <w:pStyle w:val="TableParagraph"/>
              <w:spacing w:before="0"/>
              <w:rPr>
                <w:b/>
                <w:i/>
                <w:sz w:val="18"/>
              </w:rPr>
            </w:pPr>
          </w:p>
          <w:p>
            <w:pPr>
              <w:pStyle w:val="TableParagraph"/>
              <w:spacing w:before="0"/>
              <w:rPr>
                <w:b/>
                <w:i/>
                <w:sz w:val="18"/>
              </w:rPr>
            </w:pPr>
          </w:p>
          <w:p>
            <w:pPr>
              <w:pStyle w:val="TableParagraph"/>
              <w:spacing w:before="11"/>
              <w:rPr>
                <w:b/>
                <w:i/>
                <w:sz w:val="20"/>
              </w:rPr>
            </w:pPr>
          </w:p>
          <w:p>
            <w:pPr>
              <w:pStyle w:val="TableParagraph"/>
              <w:spacing w:before="0"/>
              <w:jc w:val="center"/>
              <w:rPr>
                <w:b/>
                <w:sz w:val="18"/>
              </w:rPr>
            </w:pPr>
            <w:r>
              <w:rPr>
                <w:b/>
                <w:sz w:val="18"/>
              </w:rPr>
              <w:t>8</w:t>
            </w:r>
          </w:p>
        </w:tc>
        <w:tc>
          <w:tcPr>
            <w:tcW w:w="1803" w:type="dxa"/>
          </w:tcPr>
          <w:p>
            <w:pPr>
              <w:pStyle w:val="TableParagraph"/>
              <w:spacing w:line="249" w:lineRule="auto"/>
              <w:ind w:left="102" w:right="100"/>
              <w:jc w:val="both"/>
              <w:rPr>
                <w:sz w:val="18"/>
              </w:rPr>
            </w:pPr>
            <w:r>
              <w:rPr>
                <w:sz w:val="18"/>
              </w:rPr>
              <w:t>El SNCF promueve</w:t>
            </w:r>
            <w:r>
              <w:rPr>
                <w:spacing w:val="-12"/>
                <w:sz w:val="18"/>
              </w:rPr>
              <w:t> </w:t>
            </w:r>
            <w:r>
              <w:rPr>
                <w:sz w:val="18"/>
              </w:rPr>
              <w:t>la mayor autonomía re- caudatoria de los es- tados en relación a</w:t>
            </w:r>
            <w:r>
              <w:rPr>
                <w:spacing w:val="-4"/>
                <w:sz w:val="18"/>
              </w:rPr>
              <w:t> </w:t>
            </w:r>
            <w:r>
              <w:rPr>
                <w:sz w:val="18"/>
              </w:rPr>
              <w:t>las principales  partidas de ingreso</w:t>
            </w:r>
            <w:r>
              <w:rPr>
                <w:spacing w:val="-1"/>
                <w:sz w:val="18"/>
              </w:rPr>
              <w:t> </w:t>
            </w:r>
            <w:r>
              <w:rPr>
                <w:sz w:val="18"/>
              </w:rPr>
              <w:t>federal.</w:t>
            </w:r>
          </w:p>
        </w:tc>
        <w:tc>
          <w:tcPr>
            <w:tcW w:w="1576" w:type="dxa"/>
          </w:tcPr>
          <w:p>
            <w:pPr>
              <w:pStyle w:val="TableParagraph"/>
              <w:spacing w:line="249" w:lineRule="auto"/>
              <w:ind w:left="102" w:right="100"/>
              <w:jc w:val="both"/>
              <w:rPr>
                <w:sz w:val="18"/>
              </w:rPr>
            </w:pPr>
            <w:r>
              <w:rPr>
                <w:sz w:val="18"/>
              </w:rPr>
              <w:t>Existencia de le- gislación para la descentralización hacia los estados de las principales partidas de ingreso federal.</w:t>
            </w:r>
          </w:p>
        </w:tc>
        <w:tc>
          <w:tcPr>
            <w:tcW w:w="1644" w:type="dxa"/>
          </w:tcPr>
          <w:p>
            <w:pPr>
              <w:pStyle w:val="TableParagraph"/>
              <w:spacing w:line="249" w:lineRule="auto"/>
              <w:ind w:left="102" w:right="101"/>
              <w:jc w:val="both"/>
              <w:rPr>
                <w:sz w:val="18"/>
              </w:rPr>
            </w:pPr>
            <w:r>
              <w:rPr>
                <w:sz w:val="18"/>
              </w:rPr>
              <w:t>Evaluación conti- nua e integral del desempeño intergu- bernamental en las principales partidas de ingreso federal.</w:t>
            </w:r>
          </w:p>
        </w:tc>
        <w:tc>
          <w:tcPr>
            <w:tcW w:w="1594" w:type="dxa"/>
          </w:tcPr>
          <w:p>
            <w:pPr>
              <w:pStyle w:val="TableParagraph"/>
              <w:spacing w:line="249" w:lineRule="auto"/>
              <w:ind w:left="102" w:right="77"/>
              <w:jc w:val="both"/>
              <w:rPr>
                <w:sz w:val="18"/>
              </w:rPr>
            </w:pPr>
            <w:r>
              <w:rPr>
                <w:spacing w:val="-3"/>
                <w:sz w:val="18"/>
              </w:rPr>
              <w:t>Participación </w:t>
            </w:r>
            <w:r>
              <w:rPr>
                <w:sz w:val="18"/>
              </w:rPr>
              <w:t>es- </w:t>
            </w:r>
            <w:r>
              <w:rPr>
                <w:spacing w:val="-3"/>
                <w:sz w:val="18"/>
              </w:rPr>
              <w:t>tatal </w:t>
            </w:r>
            <w:r>
              <w:rPr>
                <w:sz w:val="18"/>
              </w:rPr>
              <w:t>en la </w:t>
            </w:r>
            <w:r>
              <w:rPr>
                <w:spacing w:val="-3"/>
                <w:sz w:val="18"/>
              </w:rPr>
              <w:t>con- formación  </w:t>
            </w:r>
            <w:r>
              <w:rPr>
                <w:sz w:val="18"/>
              </w:rPr>
              <w:t>de   </w:t>
            </w:r>
            <w:r>
              <w:rPr>
                <w:spacing w:val="-3"/>
                <w:sz w:val="18"/>
              </w:rPr>
              <w:t>una </w:t>
            </w:r>
            <w:r>
              <w:rPr>
                <w:sz w:val="18"/>
              </w:rPr>
              <w:t>a</w:t>
            </w:r>
            <w:r>
              <w:rPr>
                <w:spacing w:val="-22"/>
                <w:sz w:val="18"/>
              </w:rPr>
              <w:t> </w:t>
            </w:r>
            <w:r>
              <w:rPr>
                <w:spacing w:val="11"/>
                <w:sz w:val="18"/>
              </w:rPr>
              <w:t>dm</w:t>
            </w:r>
            <w:r>
              <w:rPr>
                <w:spacing w:val="-22"/>
                <w:sz w:val="18"/>
              </w:rPr>
              <w:t> </w:t>
            </w:r>
            <w:r>
              <w:rPr>
                <w:sz w:val="18"/>
              </w:rPr>
              <w:t>i</w:t>
            </w:r>
            <w:r>
              <w:rPr>
                <w:spacing w:val="-22"/>
                <w:sz w:val="18"/>
              </w:rPr>
              <w:t> </w:t>
            </w:r>
            <w:r>
              <w:rPr>
                <w:spacing w:val="11"/>
                <w:sz w:val="18"/>
              </w:rPr>
              <w:t>ni</w:t>
            </w:r>
            <w:r>
              <w:rPr>
                <w:spacing w:val="-22"/>
                <w:sz w:val="18"/>
              </w:rPr>
              <w:t> </w:t>
            </w:r>
            <w:r>
              <w:rPr>
                <w:spacing w:val="11"/>
                <w:sz w:val="18"/>
              </w:rPr>
              <w:t>st</w:t>
            </w:r>
            <w:r>
              <w:rPr>
                <w:spacing w:val="-22"/>
                <w:sz w:val="18"/>
              </w:rPr>
              <w:t> </w:t>
            </w:r>
            <w:r>
              <w:rPr>
                <w:spacing w:val="11"/>
                <w:sz w:val="18"/>
              </w:rPr>
              <w:t>ra</w:t>
            </w:r>
            <w:r>
              <w:rPr>
                <w:spacing w:val="-22"/>
                <w:sz w:val="18"/>
              </w:rPr>
              <w:t> </w:t>
            </w:r>
            <w:r>
              <w:rPr>
                <w:sz w:val="18"/>
              </w:rPr>
              <w:t>c</w:t>
            </w:r>
            <w:r>
              <w:rPr>
                <w:spacing w:val="-22"/>
                <w:sz w:val="18"/>
              </w:rPr>
              <w:t> </w:t>
            </w:r>
            <w:r>
              <w:rPr>
                <w:sz w:val="18"/>
              </w:rPr>
              <w:t>i</w:t>
            </w:r>
            <w:r>
              <w:rPr>
                <w:spacing w:val="-22"/>
                <w:sz w:val="18"/>
              </w:rPr>
              <w:t> </w:t>
            </w:r>
            <w:r>
              <w:rPr>
                <w:spacing w:val="11"/>
                <w:sz w:val="18"/>
              </w:rPr>
              <w:t>ón </w:t>
            </w:r>
            <w:r>
              <w:rPr>
                <w:spacing w:val="-3"/>
                <w:sz w:val="18"/>
              </w:rPr>
              <w:t>concurrente </w:t>
            </w:r>
            <w:r>
              <w:rPr>
                <w:sz w:val="18"/>
              </w:rPr>
              <w:t>de </w:t>
            </w:r>
            <w:r>
              <w:rPr>
                <w:spacing w:val="-3"/>
                <w:sz w:val="18"/>
              </w:rPr>
              <w:t>los principales ingresos </w:t>
            </w:r>
            <w:r>
              <w:rPr>
                <w:sz w:val="18"/>
              </w:rPr>
              <w:t>de la</w:t>
            </w:r>
            <w:r>
              <w:rPr>
                <w:spacing w:val="-18"/>
                <w:sz w:val="18"/>
              </w:rPr>
              <w:t> </w:t>
            </w:r>
            <w:r>
              <w:rPr>
                <w:spacing w:val="-3"/>
                <w:sz w:val="18"/>
              </w:rPr>
              <w:t>federación.</w:t>
            </w:r>
          </w:p>
        </w:tc>
      </w:tr>
    </w:tbl>
    <w:p>
      <w:pPr>
        <w:spacing w:after="0" w:line="249" w:lineRule="auto"/>
        <w:jc w:val="both"/>
        <w:rPr>
          <w:sz w:val="18"/>
        </w:rPr>
        <w:sectPr>
          <w:headerReference w:type="default" r:id="rId36"/>
          <w:footerReference w:type="default" r:id="rId37"/>
          <w:footerReference w:type="even" r:id="rId38"/>
          <w:pgSz w:w="9360" w:h="13040"/>
          <w:pgMar w:header="0" w:footer="514" w:top="1200" w:bottom="700" w:left="1300" w:right="740"/>
          <w:pgNumType w:start="35"/>
        </w:sectPr>
      </w:pPr>
    </w:p>
    <w:p>
      <w:pPr>
        <w:pStyle w:val="BodyText"/>
        <w:rPr>
          <w:sz w:val="20"/>
        </w:rPr>
      </w:pPr>
    </w:p>
    <w:p>
      <w:pPr>
        <w:pStyle w:val="BodyText"/>
        <w:rPr>
          <w:sz w:val="20"/>
        </w:rPr>
      </w:pPr>
    </w:p>
    <w:p>
      <w:pPr>
        <w:pStyle w:val="BodyText"/>
        <w:rPr>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3"/>
        <w:gridCol w:w="1576"/>
        <w:gridCol w:w="1644"/>
        <w:gridCol w:w="1594"/>
      </w:tblGrid>
      <w:tr>
        <w:trPr>
          <w:trHeight w:val="1967" w:hRule="exact"/>
        </w:trPr>
        <w:tc>
          <w:tcPr>
            <w:tcW w:w="460" w:type="dxa"/>
            <w:shd w:val="clear" w:color="auto" w:fill="D1D3D4"/>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8"/>
              <w:rPr>
                <w:sz w:val="21"/>
              </w:rPr>
            </w:pPr>
          </w:p>
          <w:p>
            <w:pPr>
              <w:pStyle w:val="TableParagraph"/>
              <w:spacing w:before="1"/>
              <w:jc w:val="center"/>
              <w:rPr>
                <w:b/>
                <w:sz w:val="18"/>
              </w:rPr>
            </w:pPr>
            <w:r>
              <w:rPr>
                <w:b/>
                <w:sz w:val="18"/>
              </w:rPr>
              <w:t>7</w:t>
            </w:r>
          </w:p>
        </w:tc>
        <w:tc>
          <w:tcPr>
            <w:tcW w:w="1803" w:type="dxa"/>
            <w:shd w:val="clear" w:color="auto" w:fill="D1D3D4"/>
          </w:tcPr>
          <w:p>
            <w:pPr>
              <w:pStyle w:val="TableParagraph"/>
              <w:spacing w:line="249" w:lineRule="auto" w:before="8"/>
              <w:ind w:left="103" w:right="100"/>
              <w:jc w:val="both"/>
              <w:rPr>
                <w:sz w:val="18"/>
              </w:rPr>
            </w:pPr>
            <w:r>
              <w:rPr>
                <w:sz w:val="18"/>
              </w:rPr>
              <w:t>El SNCF promueve una descentralización en la recaudación de los regímenes inter- medios, con una pla- neación concurrente federación-estados.</w:t>
            </w:r>
          </w:p>
        </w:tc>
        <w:tc>
          <w:tcPr>
            <w:tcW w:w="1576" w:type="dxa"/>
            <w:shd w:val="clear" w:color="auto" w:fill="D1D3D4"/>
          </w:tcPr>
          <w:p>
            <w:pPr>
              <w:pStyle w:val="TableParagraph"/>
              <w:spacing w:line="249" w:lineRule="auto" w:before="8"/>
              <w:ind w:left="103" w:right="100"/>
              <w:jc w:val="both"/>
              <w:rPr>
                <w:sz w:val="18"/>
              </w:rPr>
            </w:pPr>
            <w:r>
              <w:rPr>
                <w:sz w:val="18"/>
              </w:rPr>
              <w:t>Existencia de le- gislación para la descentralización recaudatoria de regímenes inter- medios y para la planeación concu- rrente federación- estados.</w:t>
            </w:r>
          </w:p>
        </w:tc>
        <w:tc>
          <w:tcPr>
            <w:tcW w:w="1644" w:type="dxa"/>
            <w:shd w:val="clear" w:color="auto" w:fill="D1D3D4"/>
          </w:tcPr>
          <w:p>
            <w:pPr>
              <w:pStyle w:val="TableParagraph"/>
              <w:spacing w:line="249" w:lineRule="auto" w:before="8"/>
              <w:ind w:left="103" w:right="100"/>
              <w:jc w:val="both"/>
              <w:rPr>
                <w:sz w:val="18"/>
              </w:rPr>
            </w:pPr>
            <w:r>
              <w:rPr>
                <w:sz w:val="18"/>
              </w:rPr>
              <w:t>Evaluación conti- nua e integral del desempeño inter- gubernamental  en la recaudación de regímenes interme- dios.</w:t>
            </w:r>
          </w:p>
        </w:tc>
        <w:tc>
          <w:tcPr>
            <w:tcW w:w="1594" w:type="dxa"/>
            <w:shd w:val="clear" w:color="auto" w:fill="D1D3D4"/>
          </w:tcPr>
          <w:p>
            <w:pPr>
              <w:pStyle w:val="TableParagraph"/>
              <w:spacing w:line="249" w:lineRule="auto" w:before="8"/>
              <w:ind w:left="103" w:right="100"/>
              <w:jc w:val="both"/>
              <w:rPr>
                <w:sz w:val="18"/>
              </w:rPr>
            </w:pPr>
            <w:r>
              <w:rPr>
                <w:sz w:val="18"/>
              </w:rPr>
              <w:t>Participación esta- tal en la descentra- lización recauda- toria de regímenes intermedios con la planeación concu- rrente federación- estados.</w:t>
            </w:r>
          </w:p>
        </w:tc>
      </w:tr>
      <w:tr>
        <w:trPr>
          <w:trHeight w:val="1967" w:hRule="exact"/>
        </w:trPr>
        <w:tc>
          <w:tcPr>
            <w:tcW w:w="460" w:type="dxa"/>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8"/>
              <w:rPr>
                <w:sz w:val="21"/>
              </w:rPr>
            </w:pPr>
          </w:p>
          <w:p>
            <w:pPr>
              <w:pStyle w:val="TableParagraph"/>
              <w:spacing w:before="1"/>
              <w:jc w:val="center"/>
              <w:rPr>
                <w:b/>
                <w:sz w:val="18"/>
              </w:rPr>
            </w:pPr>
            <w:r>
              <w:rPr>
                <w:b/>
                <w:sz w:val="18"/>
              </w:rPr>
              <w:t>6</w:t>
            </w:r>
          </w:p>
        </w:tc>
        <w:tc>
          <w:tcPr>
            <w:tcW w:w="1803" w:type="dxa"/>
          </w:tcPr>
          <w:p>
            <w:pPr>
              <w:pStyle w:val="TableParagraph"/>
              <w:spacing w:line="249" w:lineRule="auto"/>
              <w:ind w:left="103" w:right="100"/>
              <w:jc w:val="both"/>
              <w:rPr>
                <w:sz w:val="18"/>
              </w:rPr>
            </w:pPr>
            <w:r>
              <w:rPr>
                <w:sz w:val="18"/>
              </w:rPr>
              <w:t>El SNCF promueve facultar a los estados de competencias ex- clusivas sobre perso- nas físicas, a la par de conservar las transfe- rencias compensato- rias.</w:t>
            </w:r>
          </w:p>
        </w:tc>
        <w:tc>
          <w:tcPr>
            <w:tcW w:w="1576" w:type="dxa"/>
          </w:tcPr>
          <w:p>
            <w:pPr>
              <w:pStyle w:val="TableParagraph"/>
              <w:spacing w:line="249" w:lineRule="auto"/>
              <w:ind w:left="103" w:right="100"/>
              <w:jc w:val="both"/>
              <w:rPr>
                <w:sz w:val="18"/>
              </w:rPr>
            </w:pPr>
            <w:r>
              <w:rPr>
                <w:sz w:val="18"/>
              </w:rPr>
              <w:t>Existencia de le- gislación que fa- culte a los estados de competencias exclusivas sobre personas físicas, conservando ac- ciones compensa- torias.</w:t>
            </w:r>
          </w:p>
        </w:tc>
        <w:tc>
          <w:tcPr>
            <w:tcW w:w="1644" w:type="dxa"/>
          </w:tcPr>
          <w:p>
            <w:pPr>
              <w:pStyle w:val="TableParagraph"/>
              <w:spacing w:line="249" w:lineRule="auto"/>
              <w:ind w:left="103" w:right="100"/>
              <w:jc w:val="both"/>
              <w:rPr>
                <w:sz w:val="18"/>
              </w:rPr>
            </w:pPr>
            <w:r>
              <w:rPr>
                <w:sz w:val="18"/>
              </w:rPr>
              <w:t>Evaluación conti- nua e integral del desempeño estatal en recaudación ex- clusiva    delegada, y de las transferen- cias compensato- rias federales.</w:t>
            </w:r>
          </w:p>
        </w:tc>
        <w:tc>
          <w:tcPr>
            <w:tcW w:w="1594" w:type="dxa"/>
          </w:tcPr>
          <w:p>
            <w:pPr>
              <w:pStyle w:val="TableParagraph"/>
              <w:spacing w:line="249" w:lineRule="auto"/>
              <w:ind w:left="103" w:right="100"/>
              <w:jc w:val="both"/>
              <w:rPr>
                <w:sz w:val="18"/>
              </w:rPr>
            </w:pPr>
            <w:r>
              <w:rPr>
                <w:sz w:val="18"/>
              </w:rPr>
              <w:t>Participación esta- tal en el ejercicio de competencias exclusivas sobre personas físicas, conservando ac- ciones compensa- torias.</w:t>
            </w:r>
          </w:p>
        </w:tc>
      </w:tr>
      <w:tr>
        <w:trPr>
          <w:trHeight w:val="1967" w:hRule="exact"/>
        </w:trPr>
        <w:tc>
          <w:tcPr>
            <w:tcW w:w="460" w:type="dxa"/>
            <w:shd w:val="clear" w:color="auto" w:fill="D1D3D4"/>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rPr>
                <w:sz w:val="21"/>
              </w:rPr>
            </w:pPr>
          </w:p>
          <w:p>
            <w:pPr>
              <w:pStyle w:val="TableParagraph"/>
              <w:spacing w:before="0"/>
              <w:jc w:val="center"/>
              <w:rPr>
                <w:b/>
                <w:sz w:val="18"/>
              </w:rPr>
            </w:pPr>
            <w:r>
              <w:rPr>
                <w:b/>
                <w:sz w:val="18"/>
              </w:rPr>
              <w:t>5</w:t>
            </w:r>
          </w:p>
        </w:tc>
        <w:tc>
          <w:tcPr>
            <w:tcW w:w="1803" w:type="dxa"/>
            <w:shd w:val="clear" w:color="auto" w:fill="D1D3D4"/>
          </w:tcPr>
          <w:p>
            <w:pPr>
              <w:pStyle w:val="TableParagraph"/>
              <w:spacing w:line="249" w:lineRule="auto"/>
              <w:ind w:left="103" w:right="100"/>
              <w:jc w:val="both"/>
              <w:rPr>
                <w:sz w:val="18"/>
              </w:rPr>
            </w:pPr>
            <w:r>
              <w:rPr>
                <w:sz w:val="18"/>
              </w:rPr>
              <w:t>El SNCF promueve acuerdos de descen- tralización que con- serven procesos deci- sorios independientes para cada estado, sin inducir mayores</w:t>
            </w:r>
            <w:r>
              <w:rPr>
                <w:spacing w:val="-14"/>
                <w:sz w:val="18"/>
              </w:rPr>
              <w:t> </w:t>
            </w:r>
            <w:r>
              <w:rPr>
                <w:sz w:val="18"/>
              </w:rPr>
              <w:t>capa- cidades</w:t>
            </w:r>
            <w:r>
              <w:rPr>
                <w:spacing w:val="-1"/>
                <w:sz w:val="18"/>
              </w:rPr>
              <w:t> </w:t>
            </w:r>
            <w:r>
              <w:rPr>
                <w:sz w:val="18"/>
              </w:rPr>
              <w:t>estatales.</w:t>
            </w:r>
          </w:p>
        </w:tc>
        <w:tc>
          <w:tcPr>
            <w:tcW w:w="1576" w:type="dxa"/>
            <w:shd w:val="clear" w:color="auto" w:fill="D1D3D4"/>
          </w:tcPr>
          <w:p>
            <w:pPr>
              <w:pStyle w:val="TableParagraph"/>
              <w:spacing w:line="249" w:lineRule="auto"/>
              <w:ind w:left="103" w:right="100"/>
              <w:jc w:val="both"/>
              <w:rPr>
                <w:sz w:val="18"/>
              </w:rPr>
            </w:pPr>
            <w:r>
              <w:rPr>
                <w:sz w:val="18"/>
              </w:rPr>
              <w:t>Existencia conve- nios de colabora- ción</w:t>
            </w:r>
            <w:r>
              <w:rPr>
                <w:spacing w:val="-26"/>
                <w:sz w:val="18"/>
              </w:rPr>
              <w:t> </w:t>
            </w:r>
            <w:r>
              <w:rPr>
                <w:sz w:val="18"/>
              </w:rPr>
              <w:t>administrativa para descentralizar múltiples funcio- nes fiscales</w:t>
            </w:r>
            <w:r>
              <w:rPr>
                <w:spacing w:val="-31"/>
                <w:sz w:val="18"/>
              </w:rPr>
              <w:t> </w:t>
            </w:r>
            <w:r>
              <w:rPr>
                <w:sz w:val="18"/>
              </w:rPr>
              <w:t>asequi- bles para cada una de las haciendas estatales.</w:t>
            </w:r>
          </w:p>
        </w:tc>
        <w:tc>
          <w:tcPr>
            <w:tcW w:w="1644" w:type="dxa"/>
            <w:shd w:val="clear" w:color="auto" w:fill="D1D3D4"/>
          </w:tcPr>
          <w:p>
            <w:pPr>
              <w:pStyle w:val="TableParagraph"/>
              <w:spacing w:line="249" w:lineRule="auto"/>
              <w:ind w:left="103" w:right="100"/>
              <w:jc w:val="both"/>
              <w:rPr>
                <w:sz w:val="18"/>
              </w:rPr>
            </w:pPr>
            <w:r>
              <w:rPr>
                <w:sz w:val="18"/>
              </w:rPr>
              <w:t>Evaluación conti- nua e integral del desempeño de múl- tiples funciones fis- cales convenida por ser asequibles para cada una de las ha- ciendas estatales.</w:t>
            </w:r>
          </w:p>
        </w:tc>
        <w:tc>
          <w:tcPr>
            <w:tcW w:w="1594" w:type="dxa"/>
            <w:shd w:val="clear" w:color="auto" w:fill="D1D3D4"/>
          </w:tcPr>
          <w:p>
            <w:pPr>
              <w:pStyle w:val="TableParagraph"/>
              <w:spacing w:line="249" w:lineRule="auto"/>
              <w:ind w:left="103" w:right="100"/>
              <w:jc w:val="both"/>
              <w:rPr>
                <w:sz w:val="18"/>
              </w:rPr>
            </w:pPr>
            <w:r>
              <w:rPr>
                <w:sz w:val="18"/>
              </w:rPr>
              <w:t>Participación esta- tal en la celebra- ción de convenios de colaboración administrativa</w:t>
            </w:r>
            <w:r>
              <w:rPr>
                <w:spacing w:val="-9"/>
                <w:sz w:val="18"/>
              </w:rPr>
              <w:t> </w:t>
            </w:r>
            <w:r>
              <w:rPr>
                <w:sz w:val="18"/>
              </w:rPr>
              <w:t>para descentralizar fun- ciones fiscales en función de desem- peño</w:t>
            </w:r>
            <w:r>
              <w:rPr>
                <w:spacing w:val="-16"/>
                <w:sz w:val="18"/>
              </w:rPr>
              <w:t> </w:t>
            </w:r>
            <w:r>
              <w:rPr>
                <w:sz w:val="18"/>
              </w:rPr>
              <w:t>ascendente.</w:t>
            </w:r>
          </w:p>
        </w:tc>
      </w:tr>
      <w:tr>
        <w:trPr>
          <w:trHeight w:val="1751" w:hRule="exact"/>
        </w:trPr>
        <w:tc>
          <w:tcPr>
            <w:tcW w:w="460" w:type="dxa"/>
          </w:tcPr>
          <w:p>
            <w:pPr>
              <w:pStyle w:val="TableParagraph"/>
              <w:spacing w:before="0"/>
              <w:rPr>
                <w:sz w:val="18"/>
              </w:rPr>
            </w:pPr>
          </w:p>
          <w:p>
            <w:pPr>
              <w:pStyle w:val="TableParagraph"/>
              <w:spacing w:before="0"/>
              <w:rPr>
                <w:sz w:val="18"/>
              </w:rPr>
            </w:pPr>
          </w:p>
          <w:p>
            <w:pPr>
              <w:pStyle w:val="TableParagraph"/>
              <w:spacing w:before="0"/>
              <w:rPr>
                <w:sz w:val="18"/>
              </w:rPr>
            </w:pPr>
          </w:p>
          <w:p>
            <w:pPr>
              <w:pStyle w:val="TableParagraph"/>
              <w:spacing w:before="142"/>
              <w:jc w:val="center"/>
              <w:rPr>
                <w:b/>
                <w:sz w:val="18"/>
              </w:rPr>
            </w:pPr>
            <w:r>
              <w:rPr>
                <w:b/>
                <w:sz w:val="18"/>
              </w:rPr>
              <w:t>4</w:t>
            </w:r>
          </w:p>
        </w:tc>
        <w:tc>
          <w:tcPr>
            <w:tcW w:w="1803" w:type="dxa"/>
          </w:tcPr>
          <w:p>
            <w:pPr>
              <w:pStyle w:val="TableParagraph"/>
              <w:spacing w:line="249" w:lineRule="auto"/>
              <w:ind w:left="103" w:right="100"/>
              <w:jc w:val="both"/>
              <w:rPr>
                <w:sz w:val="18"/>
              </w:rPr>
            </w:pPr>
            <w:r>
              <w:rPr>
                <w:sz w:val="18"/>
              </w:rPr>
              <w:t>El  SNCF   promue- ve una coordinación controlada jerárquica- mente por la colabo- ración administrativa y por estrategias de eficiencia conjunta.</w:t>
            </w:r>
          </w:p>
        </w:tc>
        <w:tc>
          <w:tcPr>
            <w:tcW w:w="1576" w:type="dxa"/>
          </w:tcPr>
          <w:p>
            <w:pPr>
              <w:pStyle w:val="TableParagraph"/>
              <w:spacing w:line="249" w:lineRule="auto"/>
              <w:ind w:left="103" w:right="100"/>
              <w:jc w:val="both"/>
              <w:rPr>
                <w:sz w:val="18"/>
              </w:rPr>
            </w:pPr>
            <w:r>
              <w:rPr>
                <w:sz w:val="18"/>
              </w:rPr>
              <w:t>Existencia conve- nios de colabora- ción</w:t>
            </w:r>
            <w:r>
              <w:rPr>
                <w:spacing w:val="-26"/>
                <w:sz w:val="18"/>
              </w:rPr>
              <w:t> </w:t>
            </w:r>
            <w:r>
              <w:rPr>
                <w:sz w:val="18"/>
              </w:rPr>
              <w:t>administrativa para descentralizar funciones fiscales estandarizadas y para evaluar su</w:t>
            </w:r>
            <w:r>
              <w:rPr>
                <w:spacing w:val="-28"/>
                <w:sz w:val="18"/>
              </w:rPr>
              <w:t> </w:t>
            </w:r>
            <w:r>
              <w:rPr>
                <w:sz w:val="18"/>
              </w:rPr>
              <w:t>efi- ciencia.</w:t>
            </w:r>
          </w:p>
        </w:tc>
        <w:tc>
          <w:tcPr>
            <w:tcW w:w="1644" w:type="dxa"/>
          </w:tcPr>
          <w:p>
            <w:pPr>
              <w:pStyle w:val="TableParagraph"/>
              <w:spacing w:line="249" w:lineRule="auto"/>
              <w:ind w:left="103" w:right="100"/>
              <w:jc w:val="both"/>
              <w:rPr>
                <w:sz w:val="18"/>
              </w:rPr>
            </w:pPr>
            <w:r>
              <w:rPr>
                <w:spacing w:val="-3"/>
                <w:sz w:val="18"/>
              </w:rPr>
              <w:t>Evaluación continua </w:t>
            </w:r>
            <w:r>
              <w:rPr>
                <w:sz w:val="18"/>
              </w:rPr>
              <w:t>e</w:t>
            </w:r>
            <w:r>
              <w:rPr>
                <w:spacing w:val="-13"/>
                <w:sz w:val="18"/>
              </w:rPr>
              <w:t> </w:t>
            </w:r>
            <w:r>
              <w:rPr>
                <w:spacing w:val="-3"/>
                <w:sz w:val="18"/>
              </w:rPr>
              <w:t>integral</w:t>
            </w:r>
            <w:r>
              <w:rPr>
                <w:spacing w:val="-14"/>
                <w:sz w:val="18"/>
              </w:rPr>
              <w:t> </w:t>
            </w:r>
            <w:r>
              <w:rPr>
                <w:sz w:val="18"/>
              </w:rPr>
              <w:t>del</w:t>
            </w:r>
            <w:r>
              <w:rPr>
                <w:spacing w:val="-13"/>
                <w:sz w:val="18"/>
              </w:rPr>
              <w:t> </w:t>
            </w:r>
            <w:r>
              <w:rPr>
                <w:spacing w:val="-3"/>
                <w:sz w:val="18"/>
              </w:rPr>
              <w:t>desem- peño </w:t>
            </w:r>
            <w:r>
              <w:rPr>
                <w:sz w:val="18"/>
              </w:rPr>
              <w:t>de la </w:t>
            </w:r>
            <w:r>
              <w:rPr>
                <w:spacing w:val="-3"/>
                <w:sz w:val="18"/>
              </w:rPr>
              <w:t>colabora- ción administrativa para descentralizar funciones fiscales estandarizadas.</w:t>
            </w:r>
          </w:p>
        </w:tc>
        <w:tc>
          <w:tcPr>
            <w:tcW w:w="1594" w:type="dxa"/>
          </w:tcPr>
          <w:p>
            <w:pPr>
              <w:pStyle w:val="TableParagraph"/>
              <w:spacing w:line="249" w:lineRule="auto"/>
              <w:ind w:left="103" w:right="100"/>
              <w:jc w:val="both"/>
              <w:rPr>
                <w:sz w:val="18"/>
              </w:rPr>
            </w:pPr>
            <w:r>
              <w:rPr>
                <w:sz w:val="18"/>
              </w:rPr>
              <w:t>Propensión ascen- dente en los pro- gramas de fisca- lización y 100 en los programas de recaudación.</w:t>
            </w:r>
          </w:p>
        </w:tc>
      </w:tr>
      <w:tr>
        <w:trPr>
          <w:trHeight w:val="1535" w:hRule="exact"/>
        </w:trPr>
        <w:tc>
          <w:tcPr>
            <w:tcW w:w="460" w:type="dxa"/>
            <w:shd w:val="clear" w:color="auto" w:fill="D1D3D4"/>
          </w:tcPr>
          <w:p>
            <w:pPr>
              <w:pStyle w:val="TableParagraph"/>
              <w:spacing w:before="0"/>
              <w:rPr>
                <w:sz w:val="18"/>
              </w:rPr>
            </w:pPr>
          </w:p>
          <w:p>
            <w:pPr>
              <w:pStyle w:val="TableParagraph"/>
              <w:spacing w:before="0"/>
              <w:rPr>
                <w:sz w:val="18"/>
              </w:rPr>
            </w:pPr>
          </w:p>
          <w:p>
            <w:pPr>
              <w:pStyle w:val="TableParagraph"/>
              <w:spacing w:before="0"/>
              <w:rPr>
                <w:sz w:val="21"/>
              </w:rPr>
            </w:pPr>
          </w:p>
          <w:p>
            <w:pPr>
              <w:pStyle w:val="TableParagraph"/>
              <w:spacing w:before="0"/>
              <w:jc w:val="center"/>
              <w:rPr>
                <w:b/>
                <w:sz w:val="18"/>
              </w:rPr>
            </w:pPr>
            <w:r>
              <w:rPr>
                <w:b/>
                <w:sz w:val="18"/>
              </w:rPr>
              <w:t>3</w:t>
            </w:r>
          </w:p>
        </w:tc>
        <w:tc>
          <w:tcPr>
            <w:tcW w:w="1803" w:type="dxa"/>
            <w:shd w:val="clear" w:color="auto" w:fill="D1D3D4"/>
          </w:tcPr>
          <w:p>
            <w:pPr>
              <w:pStyle w:val="TableParagraph"/>
              <w:spacing w:line="249" w:lineRule="auto"/>
              <w:ind w:left="103" w:right="100"/>
              <w:jc w:val="both"/>
              <w:rPr>
                <w:sz w:val="18"/>
              </w:rPr>
            </w:pPr>
            <w:r>
              <w:rPr>
                <w:sz w:val="18"/>
              </w:rPr>
              <w:t>El  SNCF   promue- ve una coordinación controlada jerárquica- mente por la colabo- ración administrativa.</w:t>
            </w:r>
          </w:p>
        </w:tc>
        <w:tc>
          <w:tcPr>
            <w:tcW w:w="1576" w:type="dxa"/>
            <w:shd w:val="clear" w:color="auto" w:fill="D1D3D4"/>
          </w:tcPr>
          <w:p>
            <w:pPr>
              <w:pStyle w:val="TableParagraph"/>
              <w:spacing w:line="249" w:lineRule="auto"/>
              <w:ind w:left="103" w:right="100"/>
              <w:jc w:val="both"/>
              <w:rPr>
                <w:sz w:val="18"/>
              </w:rPr>
            </w:pPr>
            <w:r>
              <w:rPr>
                <w:sz w:val="18"/>
              </w:rPr>
              <w:t>Existencia conve- nios de colabora- ción</w:t>
            </w:r>
            <w:r>
              <w:rPr>
                <w:spacing w:val="-26"/>
                <w:sz w:val="18"/>
              </w:rPr>
              <w:t> </w:t>
            </w:r>
            <w:r>
              <w:rPr>
                <w:sz w:val="18"/>
              </w:rPr>
              <w:t>administrativa para descentralizar funciones fiscales estandarizadas.</w:t>
            </w:r>
          </w:p>
        </w:tc>
        <w:tc>
          <w:tcPr>
            <w:tcW w:w="1644" w:type="dxa"/>
            <w:shd w:val="clear" w:color="auto" w:fill="D1D3D4"/>
          </w:tcPr>
          <w:p>
            <w:pPr>
              <w:pStyle w:val="TableParagraph"/>
              <w:spacing w:line="249" w:lineRule="auto"/>
              <w:ind w:left="103" w:right="100"/>
              <w:jc w:val="both"/>
              <w:rPr>
                <w:sz w:val="18"/>
              </w:rPr>
            </w:pPr>
            <w:r>
              <w:rPr>
                <w:sz w:val="18"/>
              </w:rPr>
              <w:t>Evaluación conti- nua del desempeño de la colaboración administrativa para descentralizar fun- ciones fiscales es- tandarizadas.</w:t>
            </w:r>
          </w:p>
        </w:tc>
        <w:tc>
          <w:tcPr>
            <w:tcW w:w="1594" w:type="dxa"/>
            <w:shd w:val="clear" w:color="auto" w:fill="D1D3D4"/>
          </w:tcPr>
          <w:p>
            <w:pPr>
              <w:pStyle w:val="TableParagraph"/>
              <w:spacing w:line="249" w:lineRule="auto"/>
              <w:ind w:left="103" w:right="100"/>
              <w:jc w:val="both"/>
              <w:rPr>
                <w:sz w:val="18"/>
              </w:rPr>
            </w:pPr>
            <w:r>
              <w:rPr>
                <w:sz w:val="18"/>
              </w:rPr>
              <w:t>Propensión estable en los programas de  fiscalización  y</w:t>
            </w:r>
          </w:p>
          <w:p>
            <w:pPr>
              <w:pStyle w:val="TableParagraph"/>
              <w:spacing w:line="249" w:lineRule="auto" w:before="1"/>
              <w:ind w:left="103" w:right="100"/>
              <w:jc w:val="both"/>
              <w:rPr>
                <w:sz w:val="18"/>
              </w:rPr>
            </w:pPr>
            <w:r>
              <w:rPr>
                <w:sz w:val="18"/>
              </w:rPr>
              <w:t>75 en los progra- mas de recauda- ción.</w:t>
            </w:r>
          </w:p>
        </w:tc>
      </w:tr>
    </w:tbl>
    <w:p>
      <w:pPr>
        <w:spacing w:after="0" w:line="249" w:lineRule="auto"/>
        <w:jc w:val="both"/>
        <w:rPr>
          <w:sz w:val="18"/>
        </w:rPr>
        <w:sectPr>
          <w:headerReference w:type="default" r:id="rId39"/>
          <w:headerReference w:type="even" r:id="rId40"/>
          <w:pgSz w:w="9360" w:h="13040"/>
          <w:pgMar w:header="527" w:footer="514" w:top="720" w:bottom="700" w:left="740" w:right="1300"/>
        </w:sectPr>
      </w:pPr>
    </w:p>
    <w:p>
      <w:pPr>
        <w:pStyle w:val="BodyText"/>
        <w:rPr>
          <w:sz w:val="20"/>
        </w:rPr>
      </w:pPr>
    </w:p>
    <w:p>
      <w:pPr>
        <w:pStyle w:val="BodyText"/>
        <w:spacing w:before="10"/>
        <w:rPr>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3"/>
        <w:gridCol w:w="1576"/>
        <w:gridCol w:w="1644"/>
        <w:gridCol w:w="1594"/>
      </w:tblGrid>
      <w:tr>
        <w:trPr>
          <w:trHeight w:val="1319" w:hRule="exact"/>
        </w:trPr>
        <w:tc>
          <w:tcPr>
            <w:tcW w:w="460" w:type="dxa"/>
          </w:tcPr>
          <w:p>
            <w:pPr>
              <w:pStyle w:val="TableParagraph"/>
              <w:spacing w:before="0"/>
              <w:rPr>
                <w:sz w:val="18"/>
              </w:rPr>
            </w:pPr>
          </w:p>
          <w:p>
            <w:pPr>
              <w:pStyle w:val="TableParagraph"/>
              <w:spacing w:before="0"/>
              <w:rPr>
                <w:sz w:val="18"/>
              </w:rPr>
            </w:pPr>
          </w:p>
          <w:p>
            <w:pPr>
              <w:pStyle w:val="TableParagraph"/>
              <w:spacing w:before="133"/>
              <w:ind w:left="180"/>
              <w:rPr>
                <w:b/>
                <w:sz w:val="18"/>
              </w:rPr>
            </w:pPr>
            <w:r>
              <w:rPr>
                <w:b/>
                <w:sz w:val="18"/>
              </w:rPr>
              <w:t>2</w:t>
            </w:r>
          </w:p>
        </w:tc>
        <w:tc>
          <w:tcPr>
            <w:tcW w:w="1803" w:type="dxa"/>
          </w:tcPr>
          <w:p>
            <w:pPr>
              <w:pStyle w:val="TableParagraph"/>
              <w:spacing w:line="249" w:lineRule="auto" w:before="8"/>
              <w:ind w:left="103" w:right="100"/>
              <w:jc w:val="both"/>
              <w:rPr>
                <w:sz w:val="18"/>
              </w:rPr>
            </w:pPr>
            <w:r>
              <w:rPr>
                <w:sz w:val="18"/>
              </w:rPr>
              <w:t>El SNCF promueve estrategias de eficien- cia sólo de las recau- daciones estatales ex- clusivas.</w:t>
            </w:r>
          </w:p>
        </w:tc>
        <w:tc>
          <w:tcPr>
            <w:tcW w:w="1576" w:type="dxa"/>
          </w:tcPr>
          <w:p>
            <w:pPr>
              <w:pStyle w:val="TableParagraph"/>
              <w:spacing w:before="8"/>
              <w:ind w:left="103"/>
              <w:jc w:val="both"/>
              <w:rPr>
                <w:sz w:val="18"/>
              </w:rPr>
            </w:pPr>
            <w:r>
              <w:rPr>
                <w:sz w:val="18"/>
              </w:rPr>
              <w:t>Existencia         de</w:t>
            </w:r>
          </w:p>
          <w:p>
            <w:pPr>
              <w:pStyle w:val="TableParagraph"/>
              <w:spacing w:line="249" w:lineRule="auto"/>
              <w:ind w:left="103" w:right="101"/>
              <w:jc w:val="both"/>
              <w:rPr>
                <w:sz w:val="18"/>
              </w:rPr>
            </w:pPr>
            <w:r>
              <w:rPr>
                <w:sz w:val="18"/>
              </w:rPr>
              <w:t>acuerdos sobre fuentes de ingreso local.</w:t>
            </w:r>
          </w:p>
        </w:tc>
        <w:tc>
          <w:tcPr>
            <w:tcW w:w="1644" w:type="dxa"/>
          </w:tcPr>
          <w:p>
            <w:pPr>
              <w:pStyle w:val="TableParagraph"/>
              <w:spacing w:line="249" w:lineRule="auto" w:before="8"/>
              <w:ind w:left="103" w:right="100"/>
              <w:jc w:val="both"/>
              <w:rPr>
                <w:sz w:val="18"/>
              </w:rPr>
            </w:pPr>
            <w:r>
              <w:rPr>
                <w:sz w:val="18"/>
              </w:rPr>
              <w:t>Evaluación conti- nua del desempeño de estrategias de eficiencia de las re- caudaciones estata- les exclusivas.</w:t>
            </w:r>
          </w:p>
        </w:tc>
        <w:tc>
          <w:tcPr>
            <w:tcW w:w="1594" w:type="dxa"/>
          </w:tcPr>
          <w:p>
            <w:pPr>
              <w:pStyle w:val="TableParagraph"/>
              <w:spacing w:line="249" w:lineRule="auto" w:before="8"/>
              <w:ind w:left="103" w:right="100"/>
              <w:jc w:val="both"/>
              <w:rPr>
                <w:sz w:val="18"/>
              </w:rPr>
            </w:pPr>
            <w:r>
              <w:rPr>
                <w:sz w:val="18"/>
              </w:rPr>
              <w:t>Propensión estable en los programas de  fiscalización  y</w:t>
            </w:r>
          </w:p>
          <w:p>
            <w:pPr>
              <w:pStyle w:val="TableParagraph"/>
              <w:spacing w:line="249" w:lineRule="auto" w:before="1"/>
              <w:ind w:left="103" w:right="100"/>
              <w:jc w:val="both"/>
              <w:rPr>
                <w:sz w:val="18"/>
              </w:rPr>
            </w:pPr>
            <w:r>
              <w:rPr>
                <w:sz w:val="18"/>
              </w:rPr>
              <w:t>50 en los progra- mas de recauda- ción.</w:t>
            </w:r>
          </w:p>
        </w:tc>
      </w:tr>
      <w:tr>
        <w:trPr>
          <w:trHeight w:val="1319" w:hRule="exact"/>
        </w:trPr>
        <w:tc>
          <w:tcPr>
            <w:tcW w:w="460" w:type="dxa"/>
            <w:shd w:val="clear" w:color="auto" w:fill="D1D3D4"/>
          </w:tcPr>
          <w:p>
            <w:pPr>
              <w:pStyle w:val="TableParagraph"/>
              <w:spacing w:before="0"/>
              <w:rPr>
                <w:sz w:val="18"/>
              </w:rPr>
            </w:pPr>
          </w:p>
          <w:p>
            <w:pPr>
              <w:pStyle w:val="TableParagraph"/>
              <w:spacing w:before="0"/>
              <w:rPr>
                <w:sz w:val="18"/>
              </w:rPr>
            </w:pPr>
          </w:p>
          <w:p>
            <w:pPr>
              <w:pStyle w:val="TableParagraph"/>
              <w:spacing w:before="133"/>
              <w:ind w:left="179"/>
              <w:rPr>
                <w:b/>
                <w:sz w:val="18"/>
              </w:rPr>
            </w:pPr>
            <w:r>
              <w:rPr>
                <w:b/>
                <w:sz w:val="18"/>
              </w:rPr>
              <w:t>1</w:t>
            </w:r>
          </w:p>
        </w:tc>
        <w:tc>
          <w:tcPr>
            <w:tcW w:w="1803" w:type="dxa"/>
            <w:shd w:val="clear" w:color="auto" w:fill="D1D3D4"/>
          </w:tcPr>
          <w:p>
            <w:pPr>
              <w:pStyle w:val="TableParagraph"/>
              <w:spacing w:line="249" w:lineRule="auto"/>
              <w:ind w:left="103" w:right="100"/>
              <w:jc w:val="both"/>
              <w:rPr>
                <w:sz w:val="18"/>
              </w:rPr>
            </w:pPr>
            <w:r>
              <w:rPr>
                <w:sz w:val="18"/>
              </w:rPr>
              <w:t>El SNCF sólo abor- da aspectos de gasto intergubernamental y excluye temas de in- greso.</w:t>
            </w:r>
          </w:p>
        </w:tc>
        <w:tc>
          <w:tcPr>
            <w:tcW w:w="1576" w:type="dxa"/>
            <w:shd w:val="clear" w:color="auto" w:fill="D1D3D4"/>
          </w:tcPr>
          <w:p>
            <w:pPr>
              <w:pStyle w:val="TableParagraph"/>
              <w:ind w:left="103"/>
              <w:jc w:val="both"/>
              <w:rPr>
                <w:sz w:val="18"/>
              </w:rPr>
            </w:pPr>
            <w:r>
              <w:rPr>
                <w:sz w:val="18"/>
              </w:rPr>
              <w:t>Existencia         de</w:t>
            </w:r>
          </w:p>
          <w:p>
            <w:pPr>
              <w:pStyle w:val="TableParagraph"/>
              <w:spacing w:line="249" w:lineRule="auto"/>
              <w:ind w:left="103" w:right="100"/>
              <w:jc w:val="both"/>
              <w:rPr>
                <w:sz w:val="18"/>
              </w:rPr>
            </w:pPr>
            <w:r>
              <w:rPr>
                <w:sz w:val="18"/>
              </w:rPr>
              <w:t>acuerdos sobre gasto público in- tergubernamental.</w:t>
            </w:r>
          </w:p>
        </w:tc>
        <w:tc>
          <w:tcPr>
            <w:tcW w:w="1644" w:type="dxa"/>
            <w:shd w:val="clear" w:color="auto" w:fill="D1D3D4"/>
          </w:tcPr>
          <w:p>
            <w:pPr>
              <w:pStyle w:val="TableParagraph"/>
              <w:spacing w:line="249" w:lineRule="auto"/>
              <w:ind w:left="103" w:right="100"/>
              <w:jc w:val="both"/>
              <w:rPr>
                <w:sz w:val="18"/>
              </w:rPr>
            </w:pPr>
            <w:r>
              <w:rPr>
                <w:sz w:val="18"/>
              </w:rPr>
              <w:t>Evaluación conti- nua del desempeño de estrategias de eficiencia del gasto intergubernamen- tal.</w:t>
            </w:r>
          </w:p>
        </w:tc>
        <w:tc>
          <w:tcPr>
            <w:tcW w:w="1594" w:type="dxa"/>
            <w:shd w:val="clear" w:color="auto" w:fill="D1D3D4"/>
          </w:tcPr>
          <w:p>
            <w:pPr>
              <w:pStyle w:val="TableParagraph"/>
              <w:spacing w:line="249" w:lineRule="auto"/>
              <w:ind w:left="103" w:right="100"/>
              <w:jc w:val="both"/>
              <w:rPr>
                <w:sz w:val="18"/>
              </w:rPr>
            </w:pPr>
            <w:r>
              <w:rPr>
                <w:sz w:val="18"/>
              </w:rPr>
              <w:t>Propensión des- cendente en los programas de fis- calización y 25 en los programas de recaudación.</w:t>
            </w:r>
          </w:p>
        </w:tc>
      </w:tr>
      <w:tr>
        <w:trPr>
          <w:trHeight w:val="1103" w:hRule="exact"/>
        </w:trPr>
        <w:tc>
          <w:tcPr>
            <w:tcW w:w="460" w:type="dxa"/>
          </w:tcPr>
          <w:p>
            <w:pPr>
              <w:pStyle w:val="TableParagraph"/>
              <w:spacing w:before="0"/>
              <w:rPr>
                <w:sz w:val="18"/>
              </w:rPr>
            </w:pPr>
          </w:p>
          <w:p>
            <w:pPr>
              <w:pStyle w:val="TableParagraph"/>
              <w:spacing w:before="2"/>
              <w:rPr>
                <w:sz w:val="20"/>
              </w:rPr>
            </w:pPr>
          </w:p>
          <w:p>
            <w:pPr>
              <w:pStyle w:val="TableParagraph"/>
              <w:spacing w:before="0"/>
              <w:ind w:left="179"/>
              <w:rPr>
                <w:b/>
                <w:sz w:val="18"/>
              </w:rPr>
            </w:pPr>
            <w:r>
              <w:rPr>
                <w:b/>
                <w:sz w:val="18"/>
              </w:rPr>
              <w:t>0</w:t>
            </w:r>
          </w:p>
        </w:tc>
        <w:tc>
          <w:tcPr>
            <w:tcW w:w="1803" w:type="dxa"/>
          </w:tcPr>
          <w:p>
            <w:pPr>
              <w:pStyle w:val="TableParagraph"/>
              <w:spacing w:line="249" w:lineRule="auto"/>
              <w:ind w:left="103" w:right="100"/>
              <w:jc w:val="both"/>
              <w:rPr>
                <w:sz w:val="18"/>
              </w:rPr>
            </w:pPr>
            <w:r>
              <w:rPr>
                <w:sz w:val="18"/>
              </w:rPr>
              <w:t>El SNCF promueve</w:t>
            </w:r>
            <w:r>
              <w:rPr>
                <w:spacing w:val="-12"/>
                <w:sz w:val="18"/>
              </w:rPr>
              <w:t> </w:t>
            </w:r>
            <w:r>
              <w:rPr>
                <w:sz w:val="18"/>
              </w:rPr>
              <w:t>la extralimitación fiscal del orden federal.</w:t>
            </w:r>
          </w:p>
        </w:tc>
        <w:tc>
          <w:tcPr>
            <w:tcW w:w="1576" w:type="dxa"/>
          </w:tcPr>
          <w:p>
            <w:pPr>
              <w:pStyle w:val="TableParagraph"/>
              <w:spacing w:line="249" w:lineRule="auto"/>
              <w:ind w:left="103" w:right="100"/>
              <w:jc w:val="both"/>
              <w:rPr>
                <w:sz w:val="18"/>
              </w:rPr>
            </w:pPr>
            <w:r>
              <w:rPr>
                <w:sz w:val="18"/>
              </w:rPr>
              <w:t>Ausencia</w:t>
            </w:r>
            <w:r>
              <w:rPr>
                <w:spacing w:val="-22"/>
                <w:sz w:val="18"/>
              </w:rPr>
              <w:t> </w:t>
            </w:r>
            <w:r>
              <w:rPr>
                <w:sz w:val="18"/>
              </w:rPr>
              <w:t>de</w:t>
            </w:r>
            <w:r>
              <w:rPr>
                <w:spacing w:val="-22"/>
                <w:sz w:val="18"/>
              </w:rPr>
              <w:t> </w:t>
            </w:r>
            <w:r>
              <w:rPr>
                <w:sz w:val="18"/>
              </w:rPr>
              <w:t>instru- mentos jurídicos para la coordina- ción fiscal </w:t>
            </w:r>
            <w:r>
              <w:rPr>
                <w:spacing w:val="-3"/>
                <w:sz w:val="18"/>
              </w:rPr>
              <w:t>intergu- </w:t>
            </w:r>
            <w:r>
              <w:rPr>
                <w:spacing w:val="-2"/>
                <w:sz w:val="18"/>
              </w:rPr>
              <w:t>bernamental.</w:t>
            </w:r>
          </w:p>
        </w:tc>
        <w:tc>
          <w:tcPr>
            <w:tcW w:w="1644" w:type="dxa"/>
          </w:tcPr>
          <w:p>
            <w:pPr>
              <w:pStyle w:val="TableParagraph"/>
              <w:spacing w:line="249" w:lineRule="auto"/>
              <w:ind w:left="103" w:right="100"/>
              <w:jc w:val="both"/>
              <w:rPr>
                <w:sz w:val="18"/>
              </w:rPr>
            </w:pPr>
            <w:r>
              <w:rPr>
                <w:sz w:val="18"/>
              </w:rPr>
              <w:t>La evaluación</w:t>
            </w:r>
            <w:r>
              <w:rPr>
                <w:spacing w:val="-22"/>
                <w:sz w:val="18"/>
              </w:rPr>
              <w:t> </w:t>
            </w:r>
            <w:r>
              <w:rPr>
                <w:sz w:val="18"/>
              </w:rPr>
              <w:t>fiscal intergubernamental no es factor para</w:t>
            </w:r>
            <w:r>
              <w:rPr>
                <w:spacing w:val="-12"/>
                <w:sz w:val="18"/>
              </w:rPr>
              <w:t> </w:t>
            </w:r>
            <w:r>
              <w:rPr>
                <w:sz w:val="18"/>
              </w:rPr>
              <w:t>re- definir los ámbitos inherentes.</w:t>
            </w:r>
          </w:p>
        </w:tc>
        <w:tc>
          <w:tcPr>
            <w:tcW w:w="1594" w:type="dxa"/>
          </w:tcPr>
          <w:p>
            <w:pPr>
              <w:pStyle w:val="TableParagraph"/>
              <w:spacing w:line="249" w:lineRule="auto"/>
              <w:ind w:left="103" w:right="100"/>
              <w:jc w:val="both"/>
              <w:rPr>
                <w:sz w:val="18"/>
              </w:rPr>
            </w:pPr>
            <w:r>
              <w:rPr>
                <w:sz w:val="18"/>
              </w:rPr>
              <w:t>Ausencia estatal del ejercicio de procesos de des- centralización fis- cal.</w:t>
            </w:r>
          </w:p>
        </w:tc>
      </w:tr>
    </w:tbl>
    <w:p>
      <w:pPr>
        <w:pStyle w:val="BodyText"/>
        <w:spacing w:before="5"/>
        <w:rPr>
          <w:sz w:val="13"/>
        </w:rPr>
      </w:pPr>
    </w:p>
    <w:p>
      <w:pPr>
        <w:pStyle w:val="BodyText"/>
        <w:spacing w:line="235" w:lineRule="auto" w:before="75"/>
        <w:ind w:left="117" w:right="107"/>
        <w:jc w:val="both"/>
      </w:pPr>
      <w:r>
        <w:rPr/>
        <w:t>En el uso del instrumento anterior, a continuación se confronta la visión para cada elemento del federalismo subsidiario en relación a las conclusiones de investigaciones anteriores que en conjunto han analizado la coordinación recaudatoria de seis gobiernos estatales (Aguascalientes, Baja California, Guanajuato, Jalisco, Morelos y Querétaro)</w:t>
      </w:r>
      <w:r>
        <w:rPr>
          <w:position w:val="8"/>
          <w:sz w:val="13"/>
        </w:rPr>
        <w:t>17</w:t>
      </w:r>
      <w:r>
        <w:rPr/>
        <w:t>.</w:t>
      </w:r>
    </w:p>
    <w:p>
      <w:pPr>
        <w:pStyle w:val="BodyText"/>
        <w:spacing w:before="10"/>
        <w:rPr>
          <w:sz w:val="22"/>
        </w:rPr>
      </w:pPr>
    </w:p>
    <w:p>
      <w:pPr>
        <w:pStyle w:val="ListParagraph"/>
        <w:numPr>
          <w:ilvl w:val="0"/>
          <w:numId w:val="3"/>
        </w:numPr>
        <w:tabs>
          <w:tab w:pos="685" w:val="left" w:leader="none"/>
        </w:tabs>
        <w:spacing w:line="260" w:lineRule="exact" w:before="0" w:after="0"/>
        <w:ind w:left="684" w:right="106" w:hanging="284"/>
        <w:jc w:val="both"/>
        <w:rPr>
          <w:sz w:val="23"/>
        </w:rPr>
      </w:pPr>
      <w:r>
        <w:rPr/>
        <w:pict>
          <v:line style="position:absolute;mso-position-horizontal-relative:page;mso-position-vertical-relative:paragraph;z-index:1264;mso-wrap-distance-left:0;mso-wrap-distance-right:0" from="70.866096pt,199.514099pt" to="142.866096pt,199.514099pt" stroked="true" strokeweight="1pt" strokecolor="#000000">
            <w10:wrap type="topAndBottom"/>
          </v:line>
        </w:pict>
      </w:r>
      <w:r>
        <w:rPr>
          <w:sz w:val="23"/>
        </w:rPr>
        <w:t>Premisa</w:t>
      </w:r>
      <w:r>
        <w:rPr>
          <w:spacing w:val="-14"/>
          <w:sz w:val="23"/>
        </w:rPr>
        <w:t> </w:t>
      </w:r>
      <w:r>
        <w:rPr>
          <w:sz w:val="23"/>
        </w:rPr>
        <w:t>de</w:t>
      </w:r>
      <w:r>
        <w:rPr>
          <w:spacing w:val="-14"/>
          <w:sz w:val="23"/>
        </w:rPr>
        <w:t> </w:t>
      </w:r>
      <w:r>
        <w:rPr>
          <w:sz w:val="23"/>
        </w:rPr>
        <w:t>la</w:t>
      </w:r>
      <w:r>
        <w:rPr>
          <w:spacing w:val="-14"/>
          <w:sz w:val="23"/>
        </w:rPr>
        <w:t> </w:t>
      </w:r>
      <w:r>
        <w:rPr>
          <w:i/>
          <w:sz w:val="23"/>
        </w:rPr>
        <w:t>capacidad</w:t>
      </w:r>
      <w:r>
        <w:rPr>
          <w:i/>
          <w:spacing w:val="-14"/>
          <w:sz w:val="23"/>
        </w:rPr>
        <w:t> </w:t>
      </w:r>
      <w:r>
        <w:rPr>
          <w:i/>
          <w:sz w:val="23"/>
        </w:rPr>
        <w:t>intergubernamental</w:t>
      </w:r>
      <w:r>
        <w:rPr>
          <w:i/>
          <w:spacing w:val="-14"/>
          <w:sz w:val="23"/>
        </w:rPr>
        <w:t> </w:t>
      </w:r>
      <w:r>
        <w:rPr>
          <w:i/>
          <w:sz w:val="23"/>
        </w:rPr>
        <w:t>de</w:t>
      </w:r>
      <w:r>
        <w:rPr>
          <w:i/>
          <w:spacing w:val="-14"/>
          <w:sz w:val="23"/>
        </w:rPr>
        <w:t> </w:t>
      </w:r>
      <w:r>
        <w:rPr>
          <w:i/>
          <w:sz w:val="23"/>
        </w:rPr>
        <w:t>asociación</w:t>
      </w:r>
      <w:r>
        <w:rPr>
          <w:i/>
          <w:spacing w:val="-14"/>
          <w:sz w:val="23"/>
        </w:rPr>
        <w:t> </w:t>
      </w:r>
      <w:r>
        <w:rPr>
          <w:i/>
          <w:sz w:val="23"/>
        </w:rPr>
        <w:t>estratégica</w:t>
      </w:r>
      <w:r>
        <w:rPr>
          <w:sz w:val="23"/>
        </w:rPr>
        <w:t>. Las interacciones entre los componentes federales deben orientarse a reforzar preferentemente las funciones recaudatorias de los estados,   en virtud de ser estos la sociedad intermedia entre el individuo y la instancia superior, promoviendo así mayor autonomía financiera en    la construcción del bien común regional. Sin embargo, en la prác-  tica, la Ley de Coordinación Fiscal se refieren a una integración sin    la representación plena y continua de los estados en la Comisión Per- manente de Funcionarios Fiscales (CPFF) del Sistema Nacional de Coordinación Fiscal (SNCF), limitando así la capacidad asociativa del conjunto.</w:t>
      </w:r>
      <w:r>
        <w:rPr>
          <w:spacing w:val="-20"/>
          <w:sz w:val="23"/>
        </w:rPr>
        <w:t> </w:t>
      </w:r>
      <w:r>
        <w:rPr>
          <w:sz w:val="23"/>
        </w:rPr>
        <w:t>Adicionalmente,</w:t>
      </w:r>
      <w:r>
        <w:rPr>
          <w:spacing w:val="-9"/>
          <w:sz w:val="23"/>
        </w:rPr>
        <w:t> </w:t>
      </w:r>
      <w:r>
        <w:rPr>
          <w:sz w:val="23"/>
        </w:rPr>
        <w:t>la</w:t>
      </w:r>
      <w:r>
        <w:rPr>
          <w:spacing w:val="-9"/>
          <w:sz w:val="23"/>
        </w:rPr>
        <w:t> </w:t>
      </w:r>
      <w:r>
        <w:rPr>
          <w:sz w:val="23"/>
        </w:rPr>
        <w:t>ley</w:t>
      </w:r>
      <w:r>
        <w:rPr>
          <w:spacing w:val="-9"/>
          <w:sz w:val="23"/>
        </w:rPr>
        <w:t> </w:t>
      </w:r>
      <w:r>
        <w:rPr>
          <w:sz w:val="23"/>
        </w:rPr>
        <w:t>referida</w:t>
      </w:r>
      <w:r>
        <w:rPr>
          <w:spacing w:val="-9"/>
          <w:sz w:val="23"/>
        </w:rPr>
        <w:t> </w:t>
      </w:r>
      <w:r>
        <w:rPr>
          <w:sz w:val="23"/>
        </w:rPr>
        <w:t>confiere</w:t>
      </w:r>
      <w:r>
        <w:rPr>
          <w:spacing w:val="-9"/>
          <w:sz w:val="23"/>
        </w:rPr>
        <w:t> </w:t>
      </w:r>
      <w:r>
        <w:rPr>
          <w:sz w:val="23"/>
        </w:rPr>
        <w:t>atribuciones</w:t>
      </w:r>
      <w:r>
        <w:rPr>
          <w:spacing w:val="-9"/>
          <w:sz w:val="23"/>
        </w:rPr>
        <w:t> </w:t>
      </w:r>
      <w:r>
        <w:rPr>
          <w:sz w:val="23"/>
        </w:rPr>
        <w:t>a</w:t>
      </w:r>
      <w:r>
        <w:rPr>
          <w:spacing w:val="-9"/>
          <w:sz w:val="23"/>
        </w:rPr>
        <w:t> </w:t>
      </w:r>
      <w:r>
        <w:rPr>
          <w:sz w:val="23"/>
        </w:rPr>
        <w:t>los</w:t>
      </w:r>
      <w:r>
        <w:rPr>
          <w:spacing w:val="-9"/>
          <w:sz w:val="23"/>
        </w:rPr>
        <w:t> </w:t>
      </w:r>
      <w:r>
        <w:rPr>
          <w:spacing w:val="-3"/>
          <w:sz w:val="23"/>
        </w:rPr>
        <w:t>ór- </w:t>
      </w:r>
      <w:r>
        <w:rPr>
          <w:sz w:val="23"/>
        </w:rPr>
        <w:t>ganos del SNCF principalmente para vigilar el cumplimiento de las bases centralistas de recaudación-participación, así como facultades para realizar propuestas reformistas sólo a través del ejecutivo federal. En</w:t>
      </w:r>
      <w:r>
        <w:rPr>
          <w:spacing w:val="42"/>
          <w:sz w:val="23"/>
        </w:rPr>
        <w:t> </w:t>
      </w:r>
      <w:r>
        <w:rPr>
          <w:sz w:val="23"/>
        </w:rPr>
        <w:t>la</w:t>
      </w:r>
      <w:r>
        <w:rPr>
          <w:spacing w:val="42"/>
          <w:sz w:val="23"/>
        </w:rPr>
        <w:t> </w:t>
      </w:r>
      <w:r>
        <w:rPr>
          <w:sz w:val="23"/>
        </w:rPr>
        <w:t>aplicación</w:t>
      </w:r>
      <w:r>
        <w:rPr>
          <w:spacing w:val="41"/>
          <w:sz w:val="23"/>
        </w:rPr>
        <w:t> </w:t>
      </w:r>
      <w:r>
        <w:rPr>
          <w:sz w:val="23"/>
        </w:rPr>
        <w:t>de</w:t>
      </w:r>
      <w:r>
        <w:rPr>
          <w:spacing w:val="42"/>
          <w:sz w:val="23"/>
        </w:rPr>
        <w:t> </w:t>
      </w:r>
      <w:r>
        <w:rPr>
          <w:sz w:val="23"/>
        </w:rPr>
        <w:t>la</w:t>
      </w:r>
      <w:r>
        <w:rPr>
          <w:spacing w:val="42"/>
          <w:sz w:val="23"/>
        </w:rPr>
        <w:t> </w:t>
      </w:r>
      <w:r>
        <w:rPr>
          <w:sz w:val="23"/>
        </w:rPr>
        <w:t>ley</w:t>
      </w:r>
      <w:r>
        <w:rPr>
          <w:spacing w:val="42"/>
          <w:sz w:val="23"/>
        </w:rPr>
        <w:t> </w:t>
      </w:r>
      <w:r>
        <w:rPr>
          <w:sz w:val="23"/>
        </w:rPr>
        <w:t>sólo</w:t>
      </w:r>
      <w:r>
        <w:rPr>
          <w:spacing w:val="42"/>
          <w:sz w:val="23"/>
        </w:rPr>
        <w:t> </w:t>
      </w:r>
      <w:r>
        <w:rPr>
          <w:sz w:val="23"/>
        </w:rPr>
        <w:t>la</w:t>
      </w:r>
      <w:r>
        <w:rPr>
          <w:spacing w:val="42"/>
          <w:sz w:val="23"/>
        </w:rPr>
        <w:t> </w:t>
      </w:r>
      <w:r>
        <w:rPr>
          <w:sz w:val="23"/>
        </w:rPr>
        <w:t>mitad</w:t>
      </w:r>
      <w:r>
        <w:rPr>
          <w:spacing w:val="42"/>
          <w:sz w:val="23"/>
        </w:rPr>
        <w:t> </w:t>
      </w:r>
      <w:r>
        <w:rPr>
          <w:sz w:val="23"/>
        </w:rPr>
        <w:t>de</w:t>
      </w:r>
      <w:r>
        <w:rPr>
          <w:spacing w:val="42"/>
          <w:sz w:val="23"/>
        </w:rPr>
        <w:t> </w:t>
      </w:r>
      <w:r>
        <w:rPr>
          <w:sz w:val="23"/>
        </w:rPr>
        <w:t>seis</w:t>
      </w:r>
      <w:r>
        <w:rPr>
          <w:spacing w:val="42"/>
          <w:sz w:val="23"/>
        </w:rPr>
        <w:t> </w:t>
      </w:r>
      <w:r>
        <w:rPr>
          <w:sz w:val="23"/>
        </w:rPr>
        <w:t>estados</w:t>
      </w:r>
      <w:r>
        <w:rPr>
          <w:spacing w:val="42"/>
          <w:sz w:val="23"/>
        </w:rPr>
        <w:t> </w:t>
      </w:r>
      <w:r>
        <w:rPr>
          <w:sz w:val="23"/>
        </w:rPr>
        <w:t>analizados</w:t>
      </w:r>
    </w:p>
    <w:p>
      <w:pPr>
        <w:spacing w:line="249" w:lineRule="auto" w:before="28"/>
        <w:ind w:left="344" w:right="108" w:hanging="227"/>
        <w:jc w:val="both"/>
        <w:rPr>
          <w:sz w:val="18"/>
        </w:rPr>
      </w:pPr>
      <w:r>
        <w:rPr>
          <w:position w:val="7"/>
          <w:sz w:val="11"/>
        </w:rPr>
        <w:t>17 </w:t>
      </w:r>
      <w:r>
        <w:rPr>
          <w:sz w:val="18"/>
        </w:rPr>
        <w:t>Los resultados de la investigación anterior pueden consultarse en: Mendoza Ruiz, Joel; </w:t>
      </w:r>
      <w:r>
        <w:rPr>
          <w:i/>
          <w:sz w:val="18"/>
        </w:rPr>
        <w:t>El </w:t>
      </w:r>
      <w:r>
        <w:rPr>
          <w:i/>
          <w:sz w:val="18"/>
        </w:rPr>
        <w:t>principio de subsidiariedad en la evaluación del federalismo mexicano</w:t>
      </w:r>
      <w:r>
        <w:rPr>
          <w:sz w:val="18"/>
        </w:rPr>
        <w:t>, México, Instituto de Administración Pública del Estado de México A. C. (IAPEM), 2010, pp. 74-77.</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50" w:lineRule="exact" w:before="85"/>
        <w:ind w:left="677" w:right="115"/>
        <w:jc w:val="both"/>
      </w:pPr>
      <w:r>
        <w:rPr/>
        <w:t>dan muestras de que realmente desarrollan actividades analíticas y deliberativas a través de los subgrupos de la CPFF.</w:t>
      </w:r>
    </w:p>
    <w:p>
      <w:pPr>
        <w:pStyle w:val="BodyText"/>
        <w:spacing w:before="8"/>
        <w:rPr>
          <w:sz w:val="21"/>
        </w:rPr>
      </w:pPr>
    </w:p>
    <w:p>
      <w:pPr>
        <w:pStyle w:val="ListParagraph"/>
        <w:numPr>
          <w:ilvl w:val="0"/>
          <w:numId w:val="3"/>
        </w:numPr>
        <w:tabs>
          <w:tab w:pos="678" w:val="left" w:leader="none"/>
        </w:tabs>
        <w:spacing w:line="250" w:lineRule="exact" w:before="0" w:after="0"/>
        <w:ind w:left="677" w:right="114" w:hanging="284"/>
        <w:jc w:val="both"/>
        <w:rPr>
          <w:sz w:val="23"/>
        </w:rPr>
      </w:pPr>
      <w:r>
        <w:rPr>
          <w:sz w:val="23"/>
        </w:rPr>
        <w:t>En</w:t>
      </w:r>
      <w:r>
        <w:rPr>
          <w:spacing w:val="-14"/>
          <w:sz w:val="23"/>
        </w:rPr>
        <w:t> </w:t>
      </w:r>
      <w:r>
        <w:rPr>
          <w:sz w:val="23"/>
        </w:rPr>
        <w:t>la</w:t>
      </w:r>
      <w:r>
        <w:rPr>
          <w:spacing w:val="-14"/>
          <w:sz w:val="23"/>
        </w:rPr>
        <w:t> </w:t>
      </w:r>
      <w:r>
        <w:rPr>
          <w:sz w:val="23"/>
        </w:rPr>
        <w:t>esencia</w:t>
      </w:r>
      <w:r>
        <w:rPr>
          <w:spacing w:val="-14"/>
          <w:sz w:val="23"/>
        </w:rPr>
        <w:t> </w:t>
      </w:r>
      <w:r>
        <w:rPr>
          <w:sz w:val="23"/>
        </w:rPr>
        <w:t>de</w:t>
      </w:r>
      <w:r>
        <w:rPr>
          <w:spacing w:val="-14"/>
          <w:sz w:val="23"/>
        </w:rPr>
        <w:t> </w:t>
      </w:r>
      <w:r>
        <w:rPr>
          <w:sz w:val="23"/>
        </w:rPr>
        <w:t>la</w:t>
      </w:r>
      <w:r>
        <w:rPr>
          <w:spacing w:val="-14"/>
          <w:sz w:val="23"/>
        </w:rPr>
        <w:t> </w:t>
      </w:r>
      <w:r>
        <w:rPr>
          <w:i/>
          <w:sz w:val="23"/>
        </w:rPr>
        <w:t>restricción</w:t>
      </w:r>
      <w:r>
        <w:rPr>
          <w:i/>
          <w:spacing w:val="-14"/>
          <w:sz w:val="23"/>
        </w:rPr>
        <w:t> </w:t>
      </w:r>
      <w:r>
        <w:rPr>
          <w:i/>
          <w:sz w:val="23"/>
        </w:rPr>
        <w:t>competencial</w:t>
      </w:r>
      <w:r>
        <w:rPr>
          <w:i/>
          <w:spacing w:val="-15"/>
          <w:sz w:val="23"/>
        </w:rPr>
        <w:t> </w:t>
      </w:r>
      <w:r>
        <w:rPr>
          <w:i/>
          <w:sz w:val="23"/>
        </w:rPr>
        <w:t>de</w:t>
      </w:r>
      <w:r>
        <w:rPr>
          <w:i/>
          <w:spacing w:val="-14"/>
          <w:sz w:val="23"/>
        </w:rPr>
        <w:t> </w:t>
      </w:r>
      <w:r>
        <w:rPr>
          <w:i/>
          <w:sz w:val="23"/>
        </w:rPr>
        <w:t>las</w:t>
      </w:r>
      <w:r>
        <w:rPr>
          <w:i/>
          <w:spacing w:val="-14"/>
          <w:sz w:val="23"/>
        </w:rPr>
        <w:t> </w:t>
      </w:r>
      <w:r>
        <w:rPr>
          <w:i/>
          <w:sz w:val="23"/>
        </w:rPr>
        <w:t>formaciones</w:t>
      </w:r>
      <w:r>
        <w:rPr>
          <w:i/>
          <w:spacing w:val="-15"/>
          <w:sz w:val="23"/>
        </w:rPr>
        <w:t> </w:t>
      </w:r>
      <w:r>
        <w:rPr>
          <w:i/>
          <w:sz w:val="23"/>
        </w:rPr>
        <w:t>sociales </w:t>
      </w:r>
      <w:r>
        <w:rPr>
          <w:i/>
          <w:sz w:val="23"/>
        </w:rPr>
        <w:t>más complejas</w:t>
      </w:r>
      <w:r>
        <w:rPr>
          <w:sz w:val="23"/>
        </w:rPr>
        <w:t>, se debe evitar que la federación asuma la exclusividad o preferencia del ejercicio recaudatorio sobre las rentas personales y los impuestos sobre el consumo, considerando que tales conceptos constituyen los principales rubros compartidos en las federaciones consolidadas.</w:t>
      </w:r>
      <w:r>
        <w:rPr>
          <w:spacing w:val="-15"/>
          <w:sz w:val="23"/>
        </w:rPr>
        <w:t> </w:t>
      </w:r>
      <w:r>
        <w:rPr>
          <w:sz w:val="23"/>
        </w:rPr>
        <w:t>No</w:t>
      </w:r>
      <w:r>
        <w:rPr>
          <w:spacing w:val="-14"/>
          <w:sz w:val="23"/>
        </w:rPr>
        <w:t> </w:t>
      </w:r>
      <w:r>
        <w:rPr>
          <w:sz w:val="23"/>
        </w:rPr>
        <w:t>obstante,</w:t>
      </w:r>
      <w:r>
        <w:rPr>
          <w:spacing w:val="-14"/>
          <w:sz w:val="23"/>
        </w:rPr>
        <w:t> </w:t>
      </w:r>
      <w:r>
        <w:rPr>
          <w:sz w:val="23"/>
        </w:rPr>
        <w:t>salvo</w:t>
      </w:r>
      <w:r>
        <w:rPr>
          <w:spacing w:val="-14"/>
          <w:sz w:val="23"/>
        </w:rPr>
        <w:t> </w:t>
      </w:r>
      <w:r>
        <w:rPr>
          <w:sz w:val="23"/>
        </w:rPr>
        <w:t>la</w:t>
      </w:r>
      <w:r>
        <w:rPr>
          <w:spacing w:val="-14"/>
          <w:sz w:val="23"/>
        </w:rPr>
        <w:t> </w:t>
      </w:r>
      <w:r>
        <w:rPr>
          <w:sz w:val="23"/>
        </w:rPr>
        <w:t>excepción</w:t>
      </w:r>
      <w:r>
        <w:rPr>
          <w:spacing w:val="-15"/>
          <w:sz w:val="23"/>
        </w:rPr>
        <w:t> </w:t>
      </w:r>
      <w:r>
        <w:rPr>
          <w:sz w:val="23"/>
        </w:rPr>
        <w:t>que</w:t>
      </w:r>
      <w:r>
        <w:rPr>
          <w:spacing w:val="-14"/>
          <w:sz w:val="23"/>
        </w:rPr>
        <w:t> </w:t>
      </w:r>
      <w:r>
        <w:rPr>
          <w:sz w:val="23"/>
        </w:rPr>
        <w:t>representó</w:t>
      </w:r>
      <w:r>
        <w:rPr>
          <w:spacing w:val="-14"/>
          <w:sz w:val="23"/>
        </w:rPr>
        <w:t> </w:t>
      </w:r>
      <w:r>
        <w:rPr>
          <w:sz w:val="23"/>
        </w:rPr>
        <w:t>la</w:t>
      </w:r>
      <w:r>
        <w:rPr>
          <w:spacing w:val="-14"/>
          <w:sz w:val="23"/>
        </w:rPr>
        <w:t> </w:t>
      </w:r>
      <w:r>
        <w:rPr>
          <w:sz w:val="23"/>
        </w:rPr>
        <w:t>reforma al cobro del Impuesto Especial sobre Producción y Servicios (IEPS) sobre la venta final de gasolina y diesel (artículo 4-A de la LCF), la tendencia mayoritaria es la de conservar vigente la actual legislación y de</w:t>
      </w:r>
      <w:r>
        <w:rPr>
          <w:spacing w:val="-4"/>
          <w:sz w:val="23"/>
        </w:rPr>
        <w:t> </w:t>
      </w:r>
      <w:r>
        <w:rPr>
          <w:sz w:val="23"/>
        </w:rPr>
        <w:t>llevar</w:t>
      </w:r>
      <w:r>
        <w:rPr>
          <w:spacing w:val="-4"/>
          <w:sz w:val="23"/>
        </w:rPr>
        <w:t> </w:t>
      </w:r>
      <w:r>
        <w:rPr>
          <w:sz w:val="23"/>
        </w:rPr>
        <w:t>a</w:t>
      </w:r>
      <w:r>
        <w:rPr>
          <w:spacing w:val="-4"/>
          <w:sz w:val="23"/>
        </w:rPr>
        <w:t> </w:t>
      </w:r>
      <w:r>
        <w:rPr>
          <w:sz w:val="23"/>
        </w:rPr>
        <w:t>cabo</w:t>
      </w:r>
      <w:r>
        <w:rPr>
          <w:spacing w:val="-4"/>
          <w:sz w:val="23"/>
        </w:rPr>
        <w:t> </w:t>
      </w:r>
      <w:r>
        <w:rPr>
          <w:sz w:val="23"/>
        </w:rPr>
        <w:t>una</w:t>
      </w:r>
      <w:r>
        <w:rPr>
          <w:spacing w:val="-4"/>
          <w:sz w:val="23"/>
        </w:rPr>
        <w:t> </w:t>
      </w:r>
      <w:r>
        <w:rPr>
          <w:sz w:val="23"/>
        </w:rPr>
        <w:t>descentralización</w:t>
      </w:r>
      <w:r>
        <w:rPr>
          <w:spacing w:val="-4"/>
          <w:sz w:val="23"/>
        </w:rPr>
        <w:t> </w:t>
      </w:r>
      <w:r>
        <w:rPr>
          <w:sz w:val="23"/>
        </w:rPr>
        <w:t>fiscal</w:t>
      </w:r>
      <w:r>
        <w:rPr>
          <w:spacing w:val="-4"/>
          <w:sz w:val="23"/>
        </w:rPr>
        <w:t> </w:t>
      </w:r>
      <w:r>
        <w:rPr>
          <w:sz w:val="23"/>
        </w:rPr>
        <w:t>por</w:t>
      </w:r>
      <w:r>
        <w:rPr>
          <w:spacing w:val="-4"/>
          <w:sz w:val="23"/>
        </w:rPr>
        <w:t> </w:t>
      </w:r>
      <w:r>
        <w:rPr>
          <w:sz w:val="23"/>
        </w:rPr>
        <w:t>la</w:t>
      </w:r>
      <w:r>
        <w:rPr>
          <w:spacing w:val="-4"/>
          <w:sz w:val="23"/>
        </w:rPr>
        <w:t> </w:t>
      </w:r>
      <w:r>
        <w:rPr>
          <w:sz w:val="23"/>
        </w:rPr>
        <w:t>vía</w:t>
      </w:r>
      <w:r>
        <w:rPr>
          <w:spacing w:val="-4"/>
          <w:sz w:val="23"/>
        </w:rPr>
        <w:t> </w:t>
      </w:r>
      <w:r>
        <w:rPr>
          <w:sz w:val="23"/>
        </w:rPr>
        <w:t>de</w:t>
      </w:r>
      <w:r>
        <w:rPr>
          <w:spacing w:val="-4"/>
          <w:sz w:val="23"/>
        </w:rPr>
        <w:t> </w:t>
      </w:r>
      <w:r>
        <w:rPr>
          <w:sz w:val="23"/>
        </w:rPr>
        <w:t>los</w:t>
      </w:r>
      <w:r>
        <w:rPr>
          <w:spacing w:val="-4"/>
          <w:sz w:val="23"/>
        </w:rPr>
        <w:t> </w:t>
      </w:r>
      <w:r>
        <w:rPr>
          <w:sz w:val="23"/>
        </w:rPr>
        <w:t>convenios de colaboración</w:t>
      </w:r>
      <w:r>
        <w:rPr>
          <w:spacing w:val="-1"/>
          <w:sz w:val="23"/>
        </w:rPr>
        <w:t> </w:t>
      </w:r>
      <w:r>
        <w:rPr>
          <w:sz w:val="23"/>
        </w:rPr>
        <w:t>administrativa.</w:t>
      </w:r>
    </w:p>
    <w:p>
      <w:pPr>
        <w:pStyle w:val="BodyText"/>
        <w:spacing w:before="8"/>
        <w:rPr>
          <w:sz w:val="21"/>
        </w:rPr>
      </w:pPr>
    </w:p>
    <w:p>
      <w:pPr>
        <w:pStyle w:val="BodyText"/>
        <w:spacing w:line="250" w:lineRule="exact"/>
        <w:ind w:left="677" w:right="114"/>
        <w:jc w:val="both"/>
      </w:pPr>
      <w:r>
        <w:rPr/>
        <w:t>La divergencia de criterios del orden federal dificulta en parte la reforma legislativa para iniciar una distribución de facultades más descentralizada, la Secretaría de Hacienda y Crédito Público (SHCP) tiende a dilatar las propuestas de reforma de las entidades federativas, el Sistema de Administración Tributaria </w:t>
      </w:r>
      <w:r>
        <w:rPr>
          <w:spacing w:val="-6"/>
        </w:rPr>
        <w:t>(SAT) </w:t>
      </w:r>
      <w:r>
        <w:rPr/>
        <w:t>argumenta limitaciones tecnológicas</w:t>
      </w:r>
      <w:r>
        <w:rPr>
          <w:spacing w:val="-15"/>
        </w:rPr>
        <w:t> </w:t>
      </w:r>
      <w:r>
        <w:rPr/>
        <w:t>en</w:t>
      </w:r>
      <w:r>
        <w:rPr>
          <w:spacing w:val="-14"/>
        </w:rPr>
        <w:t> </w:t>
      </w:r>
      <w:r>
        <w:rPr/>
        <w:t>los</w:t>
      </w:r>
      <w:r>
        <w:rPr>
          <w:spacing w:val="-14"/>
        </w:rPr>
        <w:t> </w:t>
      </w:r>
      <w:r>
        <w:rPr/>
        <w:t>estados,</w:t>
      </w:r>
      <w:r>
        <w:rPr>
          <w:spacing w:val="-14"/>
        </w:rPr>
        <w:t> </w:t>
      </w:r>
      <w:r>
        <w:rPr/>
        <w:t>y</w:t>
      </w:r>
      <w:r>
        <w:rPr>
          <w:spacing w:val="-14"/>
        </w:rPr>
        <w:t> </w:t>
      </w:r>
      <w:r>
        <w:rPr/>
        <w:t>la</w:t>
      </w:r>
      <w:r>
        <w:rPr>
          <w:spacing w:val="-14"/>
        </w:rPr>
        <w:t> </w:t>
      </w:r>
      <w:r>
        <w:rPr/>
        <w:t>Cámara</w:t>
      </w:r>
      <w:r>
        <w:rPr>
          <w:spacing w:val="-14"/>
        </w:rPr>
        <w:t> </w:t>
      </w:r>
      <w:r>
        <w:rPr/>
        <w:t>de</w:t>
      </w:r>
      <w:r>
        <w:rPr>
          <w:spacing w:val="-14"/>
        </w:rPr>
        <w:t> </w:t>
      </w:r>
      <w:r>
        <w:rPr/>
        <w:t>Diputados</w:t>
      </w:r>
      <w:r>
        <w:rPr>
          <w:spacing w:val="-13"/>
        </w:rPr>
        <w:t> </w:t>
      </w:r>
      <w:r>
        <w:rPr/>
        <w:t>apoya</w:t>
      </w:r>
      <w:r>
        <w:rPr>
          <w:spacing w:val="-14"/>
        </w:rPr>
        <w:t> </w:t>
      </w:r>
      <w:r>
        <w:rPr/>
        <w:t>la</w:t>
      </w:r>
      <w:r>
        <w:rPr>
          <w:spacing w:val="-14"/>
        </w:rPr>
        <w:t> </w:t>
      </w:r>
      <w:r>
        <w:rPr/>
        <w:t>posición cómoda de los gobernadores sobre recibir transferencias sin asumir el costo social de la recaudación. Por su parte, la representación de las entidades</w:t>
      </w:r>
      <w:r>
        <w:rPr>
          <w:spacing w:val="-22"/>
        </w:rPr>
        <w:t> </w:t>
      </w:r>
      <w:r>
        <w:rPr/>
        <w:t>federativas</w:t>
      </w:r>
      <w:r>
        <w:rPr>
          <w:spacing w:val="-21"/>
        </w:rPr>
        <w:t> </w:t>
      </w:r>
      <w:r>
        <w:rPr/>
        <w:t>en</w:t>
      </w:r>
      <w:r>
        <w:rPr>
          <w:spacing w:val="-21"/>
        </w:rPr>
        <w:t> </w:t>
      </w:r>
      <w:r>
        <w:rPr/>
        <w:t>el</w:t>
      </w:r>
      <w:r>
        <w:rPr>
          <w:spacing w:val="-21"/>
        </w:rPr>
        <w:t> </w:t>
      </w:r>
      <w:r>
        <w:rPr>
          <w:spacing w:val="-5"/>
        </w:rPr>
        <w:t>SNCF,</w:t>
      </w:r>
      <w:r>
        <w:rPr>
          <w:spacing w:val="-21"/>
        </w:rPr>
        <w:t> </w:t>
      </w:r>
      <w:r>
        <w:rPr/>
        <w:t>así</w:t>
      </w:r>
      <w:r>
        <w:rPr>
          <w:spacing w:val="-21"/>
        </w:rPr>
        <w:t> </w:t>
      </w:r>
      <w:r>
        <w:rPr/>
        <w:t>como</w:t>
      </w:r>
      <w:r>
        <w:rPr>
          <w:spacing w:val="-21"/>
        </w:rPr>
        <w:t> </w:t>
      </w:r>
      <w:r>
        <w:rPr/>
        <w:t>la</w:t>
      </w:r>
      <w:r>
        <w:rPr>
          <w:spacing w:val="-21"/>
        </w:rPr>
        <w:t> </w:t>
      </w:r>
      <w:r>
        <w:rPr/>
        <w:t>actuación</w:t>
      </w:r>
      <w:r>
        <w:rPr>
          <w:spacing w:val="-22"/>
        </w:rPr>
        <w:t> </w:t>
      </w:r>
      <w:r>
        <w:rPr/>
        <w:t>de</w:t>
      </w:r>
      <w:r>
        <w:rPr>
          <w:spacing w:val="-21"/>
        </w:rPr>
        <w:t> </w:t>
      </w:r>
      <w:r>
        <w:rPr/>
        <w:t>la</w:t>
      </w:r>
      <w:r>
        <w:rPr>
          <w:spacing w:val="-21"/>
        </w:rPr>
        <w:t> </w:t>
      </w:r>
      <w:r>
        <w:rPr/>
        <w:t>CONAGO, no dan muestras de pretender realmente una reforma legislativa para lograr una distribución de facultades más descentralizada. En el primer conjunto, sólo dos de seis estados revisados tienen propuestas que implicarían la reforma citada, mientras que la CONAGO centra su actividad en la gestión de gasto por vía de la Cámara de Diputados y excluye</w:t>
      </w:r>
      <w:r>
        <w:rPr>
          <w:spacing w:val="-5"/>
        </w:rPr>
        <w:t> </w:t>
      </w:r>
      <w:r>
        <w:rPr/>
        <w:t>de</w:t>
      </w:r>
      <w:r>
        <w:rPr>
          <w:spacing w:val="-5"/>
        </w:rPr>
        <w:t> </w:t>
      </w:r>
      <w:r>
        <w:rPr/>
        <w:t>su</w:t>
      </w:r>
      <w:r>
        <w:rPr>
          <w:spacing w:val="-5"/>
        </w:rPr>
        <w:t> </w:t>
      </w:r>
      <w:r>
        <w:rPr/>
        <w:t>agenda</w:t>
      </w:r>
      <w:r>
        <w:rPr>
          <w:spacing w:val="-5"/>
        </w:rPr>
        <w:t> </w:t>
      </w:r>
      <w:r>
        <w:rPr/>
        <w:t>la</w:t>
      </w:r>
      <w:r>
        <w:rPr>
          <w:spacing w:val="-5"/>
        </w:rPr>
        <w:t> </w:t>
      </w:r>
      <w:r>
        <w:rPr/>
        <w:t>depuración</w:t>
      </w:r>
      <w:r>
        <w:rPr>
          <w:spacing w:val="-5"/>
        </w:rPr>
        <w:t> </w:t>
      </w:r>
      <w:r>
        <w:rPr/>
        <w:t>de</w:t>
      </w:r>
      <w:r>
        <w:rPr>
          <w:spacing w:val="-5"/>
        </w:rPr>
        <w:t> </w:t>
      </w:r>
      <w:r>
        <w:rPr/>
        <w:t>las</w:t>
      </w:r>
      <w:r>
        <w:rPr>
          <w:spacing w:val="-5"/>
        </w:rPr>
        <w:t> </w:t>
      </w:r>
      <w:r>
        <w:rPr/>
        <w:t>propuestas</w:t>
      </w:r>
      <w:r>
        <w:rPr>
          <w:spacing w:val="-5"/>
        </w:rPr>
        <w:t> </w:t>
      </w:r>
      <w:r>
        <w:rPr/>
        <w:t>de</w:t>
      </w:r>
      <w:r>
        <w:rPr>
          <w:spacing w:val="-5"/>
        </w:rPr>
        <w:t> </w:t>
      </w:r>
      <w:r>
        <w:rPr/>
        <w:t>la</w:t>
      </w:r>
      <w:r>
        <w:rPr>
          <w:spacing w:val="-5"/>
        </w:rPr>
        <w:t> </w:t>
      </w:r>
      <w:r>
        <w:rPr/>
        <w:t>Convención Nacional Hacendaria para que las desarrollen en los grupos del</w:t>
      </w:r>
      <w:r>
        <w:rPr>
          <w:spacing w:val="-18"/>
        </w:rPr>
        <w:t> </w:t>
      </w:r>
      <w:r>
        <w:rPr>
          <w:spacing w:val="-5"/>
        </w:rPr>
        <w:t>SNCF.</w:t>
      </w:r>
    </w:p>
    <w:p>
      <w:pPr>
        <w:pStyle w:val="BodyText"/>
        <w:spacing w:before="8"/>
        <w:rPr>
          <w:sz w:val="21"/>
        </w:rPr>
      </w:pPr>
    </w:p>
    <w:p>
      <w:pPr>
        <w:pStyle w:val="ListParagraph"/>
        <w:numPr>
          <w:ilvl w:val="0"/>
          <w:numId w:val="3"/>
        </w:numPr>
        <w:tabs>
          <w:tab w:pos="678" w:val="left" w:leader="none"/>
        </w:tabs>
        <w:spacing w:line="250" w:lineRule="exact" w:before="0" w:after="0"/>
        <w:ind w:left="677" w:right="114" w:hanging="284"/>
        <w:jc w:val="both"/>
        <w:rPr>
          <w:sz w:val="23"/>
        </w:rPr>
      </w:pPr>
      <w:r>
        <w:rPr>
          <w:sz w:val="23"/>
        </w:rPr>
        <w:t>Dentro de la visión de la </w:t>
      </w:r>
      <w:r>
        <w:rPr>
          <w:i/>
          <w:sz w:val="23"/>
        </w:rPr>
        <w:t>evaluación de las sociedades más simples </w:t>
      </w:r>
      <w:r>
        <w:rPr>
          <w:i/>
          <w:sz w:val="23"/>
        </w:rPr>
        <w:t>para el ejercicio subsidiario</w:t>
      </w:r>
      <w:r>
        <w:rPr>
          <w:sz w:val="23"/>
        </w:rPr>
        <w:t>, se deberá valorar por su naturaleza y circunstancias la eficiencia recaudatoria de los estados. En este caso, las prácticas comprenden dos procesos aparentemente inconexos: 1)   la Unidad Coordinadora de Entidades Federativas (UCEF) evalúa en forma general los ingresos estatales y la eficiencia de los programas  de fiscalización  y  recaudación  de  la  colaboración  administrativa,  la principal aplicación de esta evaluación es la de transparentar por medios electrónicos el desempeño del sistema coordinado; se   </w:t>
      </w:r>
      <w:r>
        <w:rPr>
          <w:spacing w:val="50"/>
          <w:sz w:val="23"/>
        </w:rPr>
        <w:t> </w:t>
      </w:r>
      <w:r>
        <w:rPr>
          <w:sz w:val="23"/>
        </w:rPr>
        <w:t>carece</w:t>
      </w:r>
    </w:p>
    <w:p>
      <w:pPr>
        <w:spacing w:after="0" w:line="250" w:lineRule="exact"/>
        <w:jc w:val="both"/>
        <w:rPr>
          <w:sz w:val="23"/>
        </w:rPr>
        <w:sectPr>
          <w:pgSz w:w="9360" w:h="13040"/>
          <w:pgMar w:header="527" w:footer="514" w:top="720" w:bottom="700" w:left="740" w:right="1300"/>
        </w:sectPr>
      </w:pPr>
    </w:p>
    <w:p>
      <w:pPr>
        <w:pStyle w:val="BodyText"/>
        <w:spacing w:before="11"/>
        <w:rPr>
          <w:sz w:val="29"/>
        </w:rPr>
      </w:pPr>
    </w:p>
    <w:p>
      <w:pPr>
        <w:pStyle w:val="BodyText"/>
        <w:spacing w:line="250" w:lineRule="exact" w:before="85"/>
        <w:ind w:left="684" w:right="107"/>
        <w:jc w:val="both"/>
      </w:pPr>
      <w:r>
        <w:rPr/>
        <w:t>aún de evaluaciones análogas a las de la UCEF en los estados; y 2)     el subgrupo de ingresos coordinados de la CPFF diagnostica la aplicación de ingresos coordinados y propone soluciones en el caso de incongruencias, el trabajo se realiza sobre conceptos concurrentes y sobre otros que no lo son, esto es, sobre ingresos que jurídicamente se comparten y sobre otros que no se comparten pero que es conveniente homologar para beneficio público o facilidad</w:t>
      </w:r>
      <w:r>
        <w:rPr>
          <w:spacing w:val="-12"/>
        </w:rPr>
        <w:t> </w:t>
      </w:r>
      <w:r>
        <w:rPr/>
        <w:t>operativa.</w:t>
      </w:r>
    </w:p>
    <w:p>
      <w:pPr>
        <w:pStyle w:val="BodyText"/>
        <w:spacing w:before="8"/>
        <w:rPr>
          <w:sz w:val="21"/>
        </w:rPr>
      </w:pPr>
    </w:p>
    <w:p>
      <w:pPr>
        <w:pStyle w:val="ListParagraph"/>
        <w:numPr>
          <w:ilvl w:val="0"/>
          <w:numId w:val="3"/>
        </w:numPr>
        <w:tabs>
          <w:tab w:pos="685" w:val="left" w:leader="none"/>
        </w:tabs>
        <w:spacing w:line="250" w:lineRule="exact" w:before="0" w:after="0"/>
        <w:ind w:left="684" w:right="107" w:hanging="284"/>
        <w:jc w:val="both"/>
        <w:rPr>
          <w:sz w:val="23"/>
        </w:rPr>
      </w:pPr>
      <w:r>
        <w:rPr>
          <w:sz w:val="23"/>
        </w:rPr>
        <w:t>Para el último lineamiento subsidiario, el correspondiente al </w:t>
      </w:r>
      <w:r>
        <w:rPr>
          <w:i/>
          <w:sz w:val="23"/>
        </w:rPr>
        <w:t>avance </w:t>
      </w:r>
      <w:r>
        <w:rPr>
          <w:i/>
          <w:sz w:val="23"/>
        </w:rPr>
        <w:t>competencial de las sociedades más simples</w:t>
      </w:r>
      <w:r>
        <w:rPr>
          <w:sz w:val="23"/>
        </w:rPr>
        <w:t>, los estados deberán procurar la asunción de las funciones recaudatorias sobre rentas personales e impuestos sobre consumo, o bien, la federación podrá subsidiar tales funciones por tiempo y circunstancias determinadas. En contraparte, se destacan los efectos de aplicar una descentralización fiscal limitada y estandarizada para todas las entidades federativas, lo que además da como resultado diferentes grados de eficiencia en el ejercicio de la colaboración administrativa estatal. Dentro del análisis de una muestra de seis estados, Aguascalientes presenta la mejor efi- ciencia operativa que hace hincapié en las metas de fiscalización y en el</w:t>
      </w:r>
      <w:r>
        <w:rPr>
          <w:spacing w:val="-9"/>
          <w:sz w:val="23"/>
        </w:rPr>
        <w:t> </w:t>
      </w:r>
      <w:r>
        <w:rPr>
          <w:sz w:val="23"/>
        </w:rPr>
        <w:t>control</w:t>
      </w:r>
      <w:r>
        <w:rPr>
          <w:spacing w:val="-9"/>
          <w:sz w:val="23"/>
        </w:rPr>
        <w:t> </w:t>
      </w:r>
      <w:r>
        <w:rPr>
          <w:sz w:val="23"/>
        </w:rPr>
        <w:t>de</w:t>
      </w:r>
      <w:r>
        <w:rPr>
          <w:spacing w:val="-9"/>
          <w:sz w:val="23"/>
        </w:rPr>
        <w:t> </w:t>
      </w:r>
      <w:r>
        <w:rPr>
          <w:sz w:val="23"/>
        </w:rPr>
        <w:t>obligaciones</w:t>
      </w:r>
      <w:r>
        <w:rPr>
          <w:spacing w:val="-9"/>
          <w:sz w:val="23"/>
        </w:rPr>
        <w:t> </w:t>
      </w:r>
      <w:r>
        <w:rPr>
          <w:sz w:val="23"/>
        </w:rPr>
        <w:t>fiscales.</w:t>
      </w:r>
      <w:r>
        <w:rPr>
          <w:spacing w:val="-9"/>
          <w:sz w:val="23"/>
        </w:rPr>
        <w:t> </w:t>
      </w:r>
      <w:r>
        <w:rPr>
          <w:sz w:val="23"/>
        </w:rPr>
        <w:t>Baja</w:t>
      </w:r>
      <w:r>
        <w:rPr>
          <w:spacing w:val="-9"/>
          <w:sz w:val="23"/>
        </w:rPr>
        <w:t> </w:t>
      </w:r>
      <w:r>
        <w:rPr>
          <w:sz w:val="23"/>
        </w:rPr>
        <w:t>California</w:t>
      </w:r>
      <w:r>
        <w:rPr>
          <w:spacing w:val="-9"/>
          <w:sz w:val="23"/>
        </w:rPr>
        <w:t> </w:t>
      </w:r>
      <w:r>
        <w:rPr>
          <w:sz w:val="23"/>
        </w:rPr>
        <w:t>y</w:t>
      </w:r>
      <w:r>
        <w:rPr>
          <w:spacing w:val="-9"/>
          <w:sz w:val="23"/>
        </w:rPr>
        <w:t> </w:t>
      </w:r>
      <w:r>
        <w:rPr>
          <w:sz w:val="23"/>
        </w:rPr>
        <w:t>Morelos</w:t>
      </w:r>
      <w:r>
        <w:rPr>
          <w:spacing w:val="-9"/>
          <w:sz w:val="23"/>
        </w:rPr>
        <w:t> </w:t>
      </w:r>
      <w:r>
        <w:rPr>
          <w:sz w:val="23"/>
        </w:rPr>
        <w:t>coinciden en</w:t>
      </w:r>
      <w:r>
        <w:rPr>
          <w:spacing w:val="-14"/>
          <w:sz w:val="23"/>
        </w:rPr>
        <w:t> </w:t>
      </w:r>
      <w:r>
        <w:rPr>
          <w:sz w:val="23"/>
        </w:rPr>
        <w:t>una</w:t>
      </w:r>
      <w:r>
        <w:rPr>
          <w:spacing w:val="-13"/>
          <w:sz w:val="23"/>
        </w:rPr>
        <w:t> </w:t>
      </w:r>
      <w:r>
        <w:rPr>
          <w:sz w:val="23"/>
        </w:rPr>
        <w:t>eficiencia</w:t>
      </w:r>
      <w:r>
        <w:rPr>
          <w:spacing w:val="-14"/>
          <w:sz w:val="23"/>
        </w:rPr>
        <w:t> </w:t>
      </w:r>
      <w:r>
        <w:rPr>
          <w:sz w:val="23"/>
        </w:rPr>
        <w:t>relativa</w:t>
      </w:r>
      <w:r>
        <w:rPr>
          <w:spacing w:val="-14"/>
          <w:sz w:val="23"/>
        </w:rPr>
        <w:t> </w:t>
      </w:r>
      <w:r>
        <w:rPr>
          <w:sz w:val="23"/>
        </w:rPr>
        <w:t>en</w:t>
      </w:r>
      <w:r>
        <w:rPr>
          <w:spacing w:val="-14"/>
          <w:sz w:val="23"/>
        </w:rPr>
        <w:t> </w:t>
      </w:r>
      <w:r>
        <w:rPr>
          <w:sz w:val="23"/>
        </w:rPr>
        <w:t>la</w:t>
      </w:r>
      <w:r>
        <w:rPr>
          <w:spacing w:val="-14"/>
          <w:sz w:val="23"/>
        </w:rPr>
        <w:t> </w:t>
      </w:r>
      <w:r>
        <w:rPr>
          <w:sz w:val="23"/>
        </w:rPr>
        <w:t>mayoría</w:t>
      </w:r>
      <w:r>
        <w:rPr>
          <w:spacing w:val="-14"/>
          <w:sz w:val="23"/>
        </w:rPr>
        <w:t> </w:t>
      </w:r>
      <w:r>
        <w:rPr>
          <w:sz w:val="23"/>
        </w:rPr>
        <w:t>de</w:t>
      </w:r>
      <w:r>
        <w:rPr>
          <w:spacing w:val="-14"/>
          <w:sz w:val="23"/>
        </w:rPr>
        <w:t> </w:t>
      </w:r>
      <w:r>
        <w:rPr>
          <w:sz w:val="23"/>
        </w:rPr>
        <w:t>los</w:t>
      </w:r>
      <w:r>
        <w:rPr>
          <w:spacing w:val="-14"/>
          <w:sz w:val="23"/>
        </w:rPr>
        <w:t> </w:t>
      </w:r>
      <w:r>
        <w:rPr>
          <w:sz w:val="23"/>
        </w:rPr>
        <w:t>rubros</w:t>
      </w:r>
      <w:r>
        <w:rPr>
          <w:spacing w:val="-14"/>
          <w:sz w:val="23"/>
        </w:rPr>
        <w:t> </w:t>
      </w:r>
      <w:r>
        <w:rPr>
          <w:sz w:val="23"/>
        </w:rPr>
        <w:t>de</w:t>
      </w:r>
      <w:r>
        <w:rPr>
          <w:spacing w:val="-14"/>
          <w:sz w:val="23"/>
        </w:rPr>
        <w:t> </w:t>
      </w:r>
      <w:r>
        <w:rPr>
          <w:sz w:val="23"/>
        </w:rPr>
        <w:t>donde</w:t>
      </w:r>
      <w:r>
        <w:rPr>
          <w:spacing w:val="-14"/>
          <w:sz w:val="23"/>
        </w:rPr>
        <w:t> </w:t>
      </w:r>
      <w:r>
        <w:rPr>
          <w:sz w:val="23"/>
        </w:rPr>
        <w:t>sobresale la ejecución de multas federales no fiscales. El resto de las entidades muestran un ejercicio de la autorresponsabilidad</w:t>
      </w:r>
      <w:r>
        <w:rPr>
          <w:spacing w:val="-4"/>
          <w:sz w:val="23"/>
        </w:rPr>
        <w:t> </w:t>
      </w:r>
      <w:r>
        <w:rPr>
          <w:sz w:val="23"/>
        </w:rPr>
        <w:t>cuestionable.</w:t>
      </w:r>
    </w:p>
    <w:p>
      <w:pPr>
        <w:pStyle w:val="BodyText"/>
        <w:spacing w:before="8"/>
        <w:rPr>
          <w:sz w:val="21"/>
        </w:rPr>
      </w:pPr>
    </w:p>
    <w:p>
      <w:pPr>
        <w:pStyle w:val="BodyText"/>
        <w:spacing w:line="250" w:lineRule="exact"/>
        <w:ind w:left="117" w:right="108"/>
        <w:jc w:val="both"/>
      </w:pPr>
      <w:r>
        <w:rPr/>
        <w:t>En suma, mediante la aplicación de la escala de evaluación definida en el presente apartado, el promedio general de las seis entidades analizadas</w:t>
      </w:r>
      <w:r>
        <w:rPr>
          <w:spacing w:val="-23"/>
        </w:rPr>
        <w:t> </w:t>
      </w:r>
      <w:r>
        <w:rPr/>
        <w:t>según las relaciones federación-estado en la función recaudatoria fue de 3.58. Bajo este antecedente, en los siguientes apartados se analizará específicamente el caso del gobierno del Estado de</w:t>
      </w:r>
      <w:r>
        <w:rPr>
          <w:spacing w:val="-10"/>
        </w:rPr>
        <w:t> </w:t>
      </w:r>
      <w:r>
        <w:rPr/>
        <w:t>Hidalgo.</w:t>
      </w:r>
    </w:p>
    <w:p>
      <w:pPr>
        <w:pStyle w:val="BodyText"/>
        <w:spacing w:before="5"/>
        <w:rPr>
          <w:sz w:val="20"/>
        </w:rPr>
      </w:pPr>
    </w:p>
    <w:p>
      <w:pPr>
        <w:pStyle w:val="Heading3"/>
      </w:pPr>
      <w:bookmarkStart w:name="_TOC_250034" w:id="9"/>
      <w:bookmarkEnd w:id="9"/>
      <w:r>
        <w:rPr/>
        <w:t>La Secretaría de Finanzas del Gobierno del Estado de Hidalgo (SFGEH).</w:t>
      </w:r>
    </w:p>
    <w:p>
      <w:pPr>
        <w:pStyle w:val="BodyText"/>
        <w:spacing w:before="8"/>
        <w:rPr>
          <w:b/>
          <w:sz w:val="21"/>
        </w:rPr>
      </w:pPr>
    </w:p>
    <w:p>
      <w:pPr>
        <w:pStyle w:val="BodyText"/>
        <w:spacing w:line="250" w:lineRule="exact"/>
        <w:ind w:left="117" w:right="107"/>
        <w:jc w:val="both"/>
      </w:pPr>
      <w:r>
        <w:rPr/>
        <w:t>Para</w:t>
      </w:r>
      <w:r>
        <w:rPr>
          <w:spacing w:val="-11"/>
        </w:rPr>
        <w:t> </w:t>
      </w:r>
      <w:r>
        <w:rPr/>
        <w:t>inducir</w:t>
      </w:r>
      <w:r>
        <w:rPr>
          <w:spacing w:val="-12"/>
        </w:rPr>
        <w:t> </w:t>
      </w:r>
      <w:r>
        <w:rPr/>
        <w:t>una</w:t>
      </w:r>
      <w:r>
        <w:rPr>
          <w:spacing w:val="-11"/>
        </w:rPr>
        <w:t> </w:t>
      </w:r>
      <w:r>
        <w:rPr/>
        <w:t>mayor</w:t>
      </w:r>
      <w:r>
        <w:rPr>
          <w:spacing w:val="-11"/>
        </w:rPr>
        <w:t> </w:t>
      </w:r>
      <w:r>
        <w:rPr/>
        <w:t>comprensión</w:t>
      </w:r>
      <w:r>
        <w:rPr>
          <w:spacing w:val="-12"/>
        </w:rPr>
        <w:t> </w:t>
      </w:r>
      <w:r>
        <w:rPr/>
        <w:t>sobre</w:t>
      </w:r>
      <w:r>
        <w:rPr>
          <w:spacing w:val="-11"/>
        </w:rPr>
        <w:t> </w:t>
      </w:r>
      <w:r>
        <w:rPr/>
        <w:t>los</w:t>
      </w:r>
      <w:r>
        <w:rPr>
          <w:spacing w:val="-11"/>
        </w:rPr>
        <w:t> </w:t>
      </w:r>
      <w:r>
        <w:rPr/>
        <w:t>conductos</w:t>
      </w:r>
      <w:r>
        <w:rPr>
          <w:spacing w:val="-12"/>
        </w:rPr>
        <w:t> </w:t>
      </w:r>
      <w:r>
        <w:rPr/>
        <w:t>de</w:t>
      </w:r>
      <w:r>
        <w:rPr>
          <w:spacing w:val="-11"/>
        </w:rPr>
        <w:t> </w:t>
      </w:r>
      <w:r>
        <w:rPr/>
        <w:t>interacción</w:t>
      </w:r>
      <w:r>
        <w:rPr>
          <w:spacing w:val="-12"/>
        </w:rPr>
        <w:t> </w:t>
      </w:r>
      <w:r>
        <w:rPr/>
        <w:t>inter- gubernamental con los que cuenta la autoridad fiscal hidalguense en materia de recaudación, es importante ubicarlos en la estructura de la Secretaría de Finanzas del Gobierno del Estado de Hidalgo. La Secretaría ejerce las fun- ciones derivadas de los convenios de colaboración administrativa a  través  de la Subsecretaría de Ingresos y de la Procuraduría Fiscal, la primera de    las enunciadas, cuenta con una Dirección General de Recaudación  y  con una Dirección General de Auditoría. Dada la especialización interna de los procesos administrativos, destaca el hecho de que la recaudación </w:t>
      </w:r>
      <w:r>
        <w:rPr>
          <w:spacing w:val="22"/>
        </w:rPr>
        <w:t> </w:t>
      </w:r>
      <w:r>
        <w:rPr/>
        <w:t>catalogada</w:t>
      </w:r>
    </w:p>
    <w:p>
      <w:pPr>
        <w:spacing w:after="0" w:line="250" w:lineRule="exact"/>
        <w:jc w:val="both"/>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57" w:lineRule="exact" w:before="70"/>
        <w:ind w:left="110"/>
        <w:jc w:val="both"/>
      </w:pPr>
      <w:r>
        <w:rPr/>
        <w:t>como federal es ejecutada por las mismas dependencias que ejecutan el cobro</w:t>
      </w:r>
    </w:p>
    <w:p>
      <w:pPr>
        <w:pStyle w:val="BodyText"/>
        <w:spacing w:line="257" w:lineRule="exact"/>
        <w:ind w:left="110"/>
        <w:jc w:val="both"/>
      </w:pPr>
      <w:r>
        <w:rPr/>
        <w:t>y la fiscalización de los conceptos estatales.</w:t>
      </w:r>
    </w:p>
    <w:p>
      <w:pPr>
        <w:pStyle w:val="BodyText"/>
        <w:spacing w:before="8"/>
        <w:rPr>
          <w:sz w:val="21"/>
        </w:rPr>
      </w:pPr>
    </w:p>
    <w:p>
      <w:pPr>
        <w:pStyle w:val="BodyText"/>
        <w:spacing w:line="250" w:lineRule="exact"/>
        <w:ind w:left="110" w:right="115"/>
        <w:jc w:val="both"/>
      </w:pPr>
      <w:r>
        <w:rPr/>
        <w:t>Para el ejercicio de sus atribuciones, la Dirección General de Recaudación cuenta con doce Centros Regionales de Atención al Contribuyente (CRAC), los cuales se ubican en las cabeceras municipales de Pachuca, Tizayuca, </w:t>
      </w:r>
      <w:r>
        <w:rPr>
          <w:spacing w:val="-3"/>
        </w:rPr>
        <w:t>Tu- </w:t>
      </w:r>
      <w:r>
        <w:rPr/>
        <w:t>la, </w:t>
      </w:r>
      <w:r>
        <w:rPr>
          <w:spacing w:val="-3"/>
        </w:rPr>
        <w:t>Zacualtipan, Huejutla, </w:t>
      </w:r>
      <w:r>
        <w:rPr>
          <w:spacing w:val="-6"/>
        </w:rPr>
        <w:t>Tepeji </w:t>
      </w:r>
      <w:r>
        <w:rPr/>
        <w:t>del </w:t>
      </w:r>
      <w:r>
        <w:rPr>
          <w:spacing w:val="-3"/>
        </w:rPr>
        <w:t>Río, Ixmiquilpan, </w:t>
      </w:r>
      <w:r>
        <w:rPr>
          <w:spacing w:val="-5"/>
        </w:rPr>
        <w:t>Tepeapulco, </w:t>
      </w:r>
      <w:r>
        <w:rPr>
          <w:spacing w:val="-3"/>
        </w:rPr>
        <w:t>Actopan, </w:t>
      </w:r>
      <w:r>
        <w:rPr/>
        <w:t>Huichapan, Tulancingo y Zimapan. En el caso específico de los conceptos impositivos federales, los CRAC fiscalizan por la vía de la conciliación per- sonalizada la tenencia vehicular federal, el IEPS por la venta de gasolinas, así como los regímenes pequeño e intermedio (éste último recientemente delegado) del impuesto sobre la renta (ISR), del impuesto al valor agregado </w:t>
      </w:r>
      <w:r>
        <w:rPr>
          <w:spacing w:val="-6"/>
        </w:rPr>
        <w:t>(IVA)</w:t>
      </w:r>
      <w:r>
        <w:rPr>
          <w:spacing w:val="-21"/>
        </w:rPr>
        <w:t> </w:t>
      </w:r>
      <w:r>
        <w:rPr/>
        <w:t>y</w:t>
      </w:r>
      <w:r>
        <w:rPr>
          <w:spacing w:val="-21"/>
        </w:rPr>
        <w:t> </w:t>
      </w:r>
      <w:r>
        <w:rPr/>
        <w:t>del</w:t>
      </w:r>
      <w:r>
        <w:rPr>
          <w:spacing w:val="-21"/>
        </w:rPr>
        <w:t> </w:t>
      </w:r>
      <w:r>
        <w:rPr/>
        <w:t>impuesto</w:t>
      </w:r>
      <w:r>
        <w:rPr>
          <w:spacing w:val="-21"/>
        </w:rPr>
        <w:t> </w:t>
      </w:r>
      <w:r>
        <w:rPr/>
        <w:t>empresarial</w:t>
      </w:r>
      <w:r>
        <w:rPr>
          <w:spacing w:val="-21"/>
        </w:rPr>
        <w:t> </w:t>
      </w:r>
      <w:r>
        <w:rPr/>
        <w:t>a</w:t>
      </w:r>
      <w:r>
        <w:rPr>
          <w:spacing w:val="-21"/>
        </w:rPr>
        <w:t> </w:t>
      </w:r>
      <w:r>
        <w:rPr/>
        <w:t>tasa</w:t>
      </w:r>
      <w:r>
        <w:rPr>
          <w:spacing w:val="-21"/>
        </w:rPr>
        <w:t> </w:t>
      </w:r>
      <w:r>
        <w:rPr/>
        <w:t>única</w:t>
      </w:r>
      <w:r>
        <w:rPr>
          <w:spacing w:val="-21"/>
        </w:rPr>
        <w:t> </w:t>
      </w:r>
      <w:r>
        <w:rPr/>
        <w:t>(IETU).</w:t>
      </w:r>
      <w:r>
        <w:rPr>
          <w:spacing w:val="-21"/>
        </w:rPr>
        <w:t> </w:t>
      </w:r>
      <w:r>
        <w:rPr/>
        <w:t>Las</w:t>
      </w:r>
      <w:r>
        <w:rPr>
          <w:spacing w:val="-21"/>
        </w:rPr>
        <w:t> </w:t>
      </w:r>
      <w:r>
        <w:rPr/>
        <w:t>acciones</w:t>
      </w:r>
      <w:r>
        <w:rPr>
          <w:spacing w:val="-21"/>
        </w:rPr>
        <w:t> </w:t>
      </w:r>
      <w:r>
        <w:rPr/>
        <w:t>específicas para</w:t>
      </w:r>
      <w:r>
        <w:rPr>
          <w:spacing w:val="-16"/>
        </w:rPr>
        <w:t> </w:t>
      </w:r>
      <w:r>
        <w:rPr/>
        <w:t>la</w:t>
      </w:r>
      <w:r>
        <w:rPr>
          <w:spacing w:val="-16"/>
        </w:rPr>
        <w:t> </w:t>
      </w:r>
      <w:r>
        <w:rPr/>
        <w:t>fiscalización</w:t>
      </w:r>
      <w:r>
        <w:rPr>
          <w:spacing w:val="-16"/>
        </w:rPr>
        <w:t> </w:t>
      </w:r>
      <w:r>
        <w:rPr/>
        <w:t>de</w:t>
      </w:r>
      <w:r>
        <w:rPr>
          <w:spacing w:val="-16"/>
        </w:rPr>
        <w:t> </w:t>
      </w:r>
      <w:r>
        <w:rPr/>
        <w:t>impuestos</w:t>
      </w:r>
      <w:r>
        <w:rPr>
          <w:spacing w:val="-16"/>
        </w:rPr>
        <w:t> </w:t>
      </w:r>
      <w:r>
        <w:rPr/>
        <w:t>federales</w:t>
      </w:r>
      <w:r>
        <w:rPr>
          <w:spacing w:val="-16"/>
        </w:rPr>
        <w:t> </w:t>
      </w:r>
      <w:r>
        <w:rPr/>
        <w:t>son:</w:t>
      </w:r>
      <w:r>
        <w:rPr>
          <w:spacing w:val="-16"/>
        </w:rPr>
        <w:t> </w:t>
      </w:r>
      <w:r>
        <w:rPr/>
        <w:t>1)</w:t>
      </w:r>
      <w:r>
        <w:rPr>
          <w:spacing w:val="-16"/>
        </w:rPr>
        <w:t> </w:t>
      </w:r>
      <w:r>
        <w:rPr/>
        <w:t>la</w:t>
      </w:r>
      <w:r>
        <w:rPr>
          <w:spacing w:val="-16"/>
        </w:rPr>
        <w:t> </w:t>
      </w:r>
      <w:r>
        <w:rPr/>
        <w:t>atención</w:t>
      </w:r>
      <w:r>
        <w:rPr>
          <w:spacing w:val="-16"/>
        </w:rPr>
        <w:t> </w:t>
      </w:r>
      <w:r>
        <w:rPr/>
        <w:t>al</w:t>
      </w:r>
      <w:r>
        <w:rPr>
          <w:spacing w:val="-16"/>
        </w:rPr>
        <w:t> </w:t>
      </w:r>
      <w:r>
        <w:rPr/>
        <w:t>público,</w:t>
      </w:r>
      <w:r>
        <w:rPr>
          <w:spacing w:val="-16"/>
        </w:rPr>
        <w:t> </w:t>
      </w:r>
      <w:r>
        <w:rPr/>
        <w:t>2)</w:t>
      </w:r>
      <w:r>
        <w:rPr>
          <w:spacing w:val="-16"/>
        </w:rPr>
        <w:t> </w:t>
      </w:r>
      <w:r>
        <w:rPr/>
        <w:t>el seguimiento de notificaciones</w:t>
      </w:r>
      <w:r>
        <w:rPr>
          <w:position w:val="8"/>
          <w:sz w:val="13"/>
        </w:rPr>
        <w:t>18</w:t>
      </w:r>
      <w:r>
        <w:rPr/>
        <w:t>, y 3) la elaboración de reportes de</w:t>
      </w:r>
      <w:r>
        <w:rPr>
          <w:spacing w:val="-7"/>
        </w:rPr>
        <w:t> </w:t>
      </w:r>
      <w:r>
        <w:rPr/>
        <w:t>avance</w:t>
      </w:r>
      <w:r>
        <w:rPr>
          <w:position w:val="8"/>
          <w:sz w:val="13"/>
        </w:rPr>
        <w:t>19</w:t>
      </w:r>
      <w:r>
        <w:rPr/>
        <w:t>.</w:t>
      </w:r>
    </w:p>
    <w:p>
      <w:pPr>
        <w:pStyle w:val="BodyText"/>
        <w:spacing w:before="8"/>
        <w:rPr>
          <w:sz w:val="21"/>
        </w:rPr>
      </w:pPr>
    </w:p>
    <w:p>
      <w:pPr>
        <w:pStyle w:val="BodyText"/>
        <w:spacing w:line="250" w:lineRule="exact"/>
        <w:ind w:left="110" w:right="114"/>
        <w:jc w:val="both"/>
      </w:pPr>
      <w:r>
        <w:rPr/>
        <w:t>Por su parte, la Dirección General de Auditoría se dedica a la práctica de revisiones a contribuyentes específicos en relación al cumplimiento de determinado impuesto, todos los auditores que desarrollan esta actividad     se ubican en la oficina sede de la dirección en la ciudad capital del estado. Finalmente, la Procuraduría Fiscal se dedica a instrumentar procedimientos jurídicos para el cobro de créditos fiscales que se originan en la Dirección General de Auditoría y en la Dirección General de Recaudación. La Procuraduría Fiscal está  integrada  por  nueve  abogados  sobre  los  cuales se distribuye la instrumentación del total de los procedimientos jurídicos referidos</w:t>
      </w:r>
      <w:r>
        <w:rPr>
          <w:position w:val="8"/>
          <w:sz w:val="13"/>
        </w:rPr>
        <w:t>20</w:t>
      </w:r>
      <w:r>
        <w:rPr/>
        <w:t>.</w:t>
      </w:r>
    </w:p>
    <w:p>
      <w:pPr>
        <w:pStyle w:val="BodyText"/>
        <w:spacing w:before="5"/>
        <w:rPr>
          <w:sz w:val="20"/>
        </w:rPr>
      </w:pPr>
    </w:p>
    <w:p>
      <w:pPr>
        <w:spacing w:before="0"/>
        <w:ind w:left="110" w:right="0" w:firstLine="0"/>
        <w:jc w:val="both"/>
        <w:rPr>
          <w:b/>
          <w:sz w:val="23"/>
        </w:rPr>
      </w:pPr>
      <w:r>
        <w:rPr>
          <w:b/>
          <w:sz w:val="23"/>
        </w:rPr>
        <w:t>La coordinación bajo el </w:t>
      </w:r>
      <w:r>
        <w:rPr>
          <w:b/>
          <w:i/>
          <w:sz w:val="23"/>
        </w:rPr>
        <w:t>tinte político</w:t>
      </w:r>
      <w:r>
        <w:rPr>
          <w:b/>
          <w:sz w:val="23"/>
        </w:rPr>
        <w:t>.</w:t>
      </w:r>
    </w:p>
    <w:p>
      <w:pPr>
        <w:pStyle w:val="BodyText"/>
        <w:rPr>
          <w:b/>
          <w:sz w:val="21"/>
        </w:rPr>
      </w:pPr>
    </w:p>
    <w:p>
      <w:pPr>
        <w:pStyle w:val="BodyText"/>
        <w:spacing w:line="260" w:lineRule="exact"/>
        <w:ind w:left="110" w:right="115"/>
        <w:jc w:val="both"/>
      </w:pPr>
      <w:r>
        <w:rPr/>
        <w:t>Durante</w:t>
      </w:r>
      <w:r>
        <w:rPr>
          <w:spacing w:val="-12"/>
        </w:rPr>
        <w:t> </w:t>
      </w:r>
      <w:r>
        <w:rPr/>
        <w:t>el</w:t>
      </w:r>
      <w:r>
        <w:rPr>
          <w:spacing w:val="-12"/>
        </w:rPr>
        <w:t> </w:t>
      </w:r>
      <w:r>
        <w:rPr/>
        <w:t>año</w:t>
      </w:r>
      <w:r>
        <w:rPr>
          <w:spacing w:val="-12"/>
        </w:rPr>
        <w:t> </w:t>
      </w:r>
      <w:r>
        <w:rPr/>
        <w:t>2010,</w:t>
      </w:r>
      <w:r>
        <w:rPr>
          <w:spacing w:val="-12"/>
        </w:rPr>
        <w:t> </w:t>
      </w:r>
      <w:r>
        <w:rPr/>
        <w:t>la</w:t>
      </w:r>
      <w:r>
        <w:rPr>
          <w:spacing w:val="-12"/>
        </w:rPr>
        <w:t> </w:t>
      </w:r>
      <w:r>
        <w:rPr/>
        <w:t>participación</w:t>
      </w:r>
      <w:r>
        <w:rPr>
          <w:spacing w:val="-12"/>
        </w:rPr>
        <w:t> </w:t>
      </w:r>
      <w:r>
        <w:rPr/>
        <w:t>de</w:t>
      </w:r>
      <w:r>
        <w:rPr>
          <w:spacing w:val="-12"/>
        </w:rPr>
        <w:t> </w:t>
      </w:r>
      <w:r>
        <w:rPr/>
        <w:t>la</w:t>
      </w:r>
      <w:r>
        <w:rPr>
          <w:spacing w:val="-12"/>
        </w:rPr>
        <w:t> </w:t>
      </w:r>
      <w:r>
        <w:rPr/>
        <w:t>Secretaría</w:t>
      </w:r>
      <w:r>
        <w:rPr>
          <w:spacing w:val="-11"/>
        </w:rPr>
        <w:t> </w:t>
      </w:r>
      <w:r>
        <w:rPr/>
        <w:t>de</w:t>
      </w:r>
      <w:r>
        <w:rPr>
          <w:spacing w:val="-12"/>
        </w:rPr>
        <w:t> </w:t>
      </w:r>
      <w:r>
        <w:rPr/>
        <w:t>Finanzas</w:t>
      </w:r>
      <w:r>
        <w:rPr>
          <w:spacing w:val="-12"/>
        </w:rPr>
        <w:t> </w:t>
      </w:r>
      <w:r>
        <w:rPr/>
        <w:t>hidalguense en el SNCF incluyó su integración como parte del subgrupo de trabajo de ingresos  coordinados,  fuentes  de  ingreso  local  y  potestades </w:t>
      </w:r>
      <w:r>
        <w:rPr>
          <w:spacing w:val="12"/>
        </w:rPr>
        <w:t> </w:t>
      </w:r>
      <w:r>
        <w:rPr/>
        <w:t>tributarias</w:t>
      </w:r>
      <w:r>
        <w:rPr>
          <w:position w:val="8"/>
          <w:sz w:val="13"/>
        </w:rPr>
        <w:t>21</w:t>
      </w:r>
      <w:r>
        <w:rPr/>
        <w:t>,</w:t>
      </w:r>
    </w:p>
    <w:p>
      <w:pPr>
        <w:pStyle w:val="BodyText"/>
        <w:rPr>
          <w:sz w:val="20"/>
        </w:rPr>
      </w:pPr>
    </w:p>
    <w:p>
      <w:pPr>
        <w:pStyle w:val="BodyText"/>
        <w:spacing w:before="5"/>
        <w:rPr>
          <w:sz w:val="10"/>
        </w:rPr>
      </w:pPr>
      <w:r>
        <w:rPr/>
        <w:pict>
          <v:line style="position:absolute;mso-position-horizontal-relative:page;mso-position-vertical-relative:paragraph;z-index:1288;mso-wrap-distance-left:0;mso-wrap-distance-right:0" from="42.519699pt,8.471581pt" to="114.519699pt,8.471581pt" stroked="true" strokeweight="1pt" strokecolor="#000000">
            <w10:wrap type="topAndBottom"/>
          </v:line>
        </w:pict>
      </w:r>
    </w:p>
    <w:p>
      <w:pPr>
        <w:spacing w:before="28"/>
        <w:ind w:left="110" w:right="0" w:firstLine="0"/>
        <w:jc w:val="left"/>
        <w:rPr>
          <w:sz w:val="18"/>
        </w:rPr>
      </w:pPr>
      <w:r>
        <w:rPr>
          <w:position w:val="7"/>
          <w:sz w:val="11"/>
        </w:rPr>
        <w:t>18    </w:t>
      </w:r>
      <w:r>
        <w:rPr>
          <w:sz w:val="18"/>
        </w:rPr>
        <w:t>A manera  de  ejemplo,  el  CRAC  de Actopan  cuenta  con  once  notificadores  para  los siete</w:t>
      </w:r>
    </w:p>
    <w:p>
      <w:pPr>
        <w:spacing w:before="9"/>
        <w:ind w:left="337" w:right="0" w:firstLine="0"/>
        <w:jc w:val="left"/>
        <w:rPr>
          <w:sz w:val="18"/>
        </w:rPr>
      </w:pPr>
      <w:r>
        <w:rPr>
          <w:sz w:val="18"/>
        </w:rPr>
        <w:t>municipios de su jurisdicción.</w:t>
      </w:r>
    </w:p>
    <w:p>
      <w:pPr>
        <w:spacing w:line="249" w:lineRule="auto" w:before="28"/>
        <w:ind w:left="337" w:right="101" w:hanging="227"/>
        <w:jc w:val="left"/>
        <w:rPr>
          <w:sz w:val="18"/>
        </w:rPr>
      </w:pPr>
      <w:r>
        <w:rPr>
          <w:position w:val="7"/>
          <w:sz w:val="11"/>
        </w:rPr>
        <w:t>19 </w:t>
      </w:r>
      <w:r>
        <w:rPr>
          <w:sz w:val="18"/>
        </w:rPr>
        <w:t>Información proporcionada para esta investigación en entrevista con personal del CRAC Actopan, 5 de octubre del 2010.</w:t>
      </w:r>
    </w:p>
    <w:p>
      <w:pPr>
        <w:spacing w:before="20"/>
        <w:ind w:left="110" w:right="0" w:firstLine="0"/>
        <w:jc w:val="left"/>
        <w:rPr>
          <w:i/>
          <w:sz w:val="18"/>
        </w:rPr>
      </w:pPr>
      <w:r>
        <w:rPr>
          <w:position w:val="7"/>
          <w:sz w:val="11"/>
        </w:rPr>
        <w:t>20  </w:t>
      </w:r>
      <w:r>
        <w:rPr>
          <w:spacing w:val="22"/>
          <w:position w:val="7"/>
          <w:sz w:val="11"/>
        </w:rPr>
        <w:t> </w:t>
      </w:r>
      <w:r>
        <w:rPr>
          <w:sz w:val="18"/>
        </w:rPr>
        <w:t>Secretaría</w:t>
      </w:r>
      <w:r>
        <w:rPr>
          <w:spacing w:val="-17"/>
          <w:sz w:val="18"/>
        </w:rPr>
        <w:t> </w:t>
      </w:r>
      <w:r>
        <w:rPr>
          <w:sz w:val="18"/>
        </w:rPr>
        <w:t>de</w:t>
      </w:r>
      <w:r>
        <w:rPr>
          <w:spacing w:val="-17"/>
          <w:sz w:val="18"/>
        </w:rPr>
        <w:t> </w:t>
      </w:r>
      <w:r>
        <w:rPr>
          <w:sz w:val="18"/>
        </w:rPr>
        <w:t>Finanzas,</w:t>
      </w:r>
      <w:r>
        <w:rPr>
          <w:spacing w:val="-17"/>
          <w:sz w:val="18"/>
        </w:rPr>
        <w:t> </w:t>
      </w:r>
      <w:r>
        <w:rPr>
          <w:sz w:val="18"/>
        </w:rPr>
        <w:t>procuraduría</w:t>
      </w:r>
      <w:r>
        <w:rPr>
          <w:spacing w:val="-17"/>
          <w:sz w:val="18"/>
        </w:rPr>
        <w:t> </w:t>
      </w:r>
      <w:r>
        <w:rPr>
          <w:sz w:val="18"/>
        </w:rPr>
        <w:t>fiscal;</w:t>
      </w:r>
      <w:r>
        <w:rPr>
          <w:spacing w:val="-17"/>
          <w:sz w:val="18"/>
        </w:rPr>
        <w:t> </w:t>
      </w:r>
      <w:r>
        <w:rPr>
          <w:i/>
          <w:sz w:val="18"/>
        </w:rPr>
        <w:t>cartera</w:t>
      </w:r>
      <w:r>
        <w:rPr>
          <w:i/>
          <w:spacing w:val="-17"/>
          <w:sz w:val="18"/>
        </w:rPr>
        <w:t> </w:t>
      </w:r>
      <w:r>
        <w:rPr>
          <w:i/>
          <w:sz w:val="18"/>
        </w:rPr>
        <w:t>de</w:t>
      </w:r>
      <w:r>
        <w:rPr>
          <w:i/>
          <w:spacing w:val="-17"/>
          <w:sz w:val="18"/>
        </w:rPr>
        <w:t> </w:t>
      </w:r>
      <w:r>
        <w:rPr>
          <w:i/>
          <w:sz w:val="18"/>
        </w:rPr>
        <w:t>créditos</w:t>
      </w:r>
      <w:r>
        <w:rPr>
          <w:i/>
          <w:spacing w:val="-17"/>
          <w:sz w:val="18"/>
        </w:rPr>
        <w:t> </w:t>
      </w:r>
      <w:r>
        <w:rPr>
          <w:i/>
          <w:sz w:val="18"/>
        </w:rPr>
        <w:t>fiscales,</w:t>
      </w:r>
      <w:r>
        <w:rPr>
          <w:i/>
          <w:spacing w:val="-17"/>
          <w:sz w:val="18"/>
        </w:rPr>
        <w:t> </w:t>
      </w:r>
      <w:r>
        <w:rPr>
          <w:i/>
          <w:sz w:val="18"/>
        </w:rPr>
        <w:t>propuesta</w:t>
      </w:r>
      <w:r>
        <w:rPr>
          <w:i/>
          <w:spacing w:val="-17"/>
          <w:sz w:val="18"/>
        </w:rPr>
        <w:t> </w:t>
      </w:r>
      <w:r>
        <w:rPr>
          <w:i/>
          <w:sz w:val="18"/>
        </w:rPr>
        <w:t>de</w:t>
      </w:r>
      <w:r>
        <w:rPr>
          <w:i/>
          <w:spacing w:val="-17"/>
          <w:sz w:val="18"/>
        </w:rPr>
        <w:t> </w:t>
      </w:r>
      <w:r>
        <w:rPr>
          <w:i/>
          <w:sz w:val="18"/>
        </w:rPr>
        <w:t>abatimiento</w:t>
      </w:r>
    </w:p>
    <w:p>
      <w:pPr>
        <w:spacing w:before="9"/>
        <w:ind w:left="337" w:right="0" w:firstLine="0"/>
        <w:jc w:val="left"/>
        <w:rPr>
          <w:sz w:val="18"/>
        </w:rPr>
      </w:pPr>
      <w:r>
        <w:rPr>
          <w:i/>
          <w:sz w:val="18"/>
        </w:rPr>
        <w:t>de inventarios créditos prescritos, </w:t>
      </w:r>
      <w:r>
        <w:rPr>
          <w:sz w:val="18"/>
        </w:rPr>
        <w:t>presentación power point.</w:t>
      </w:r>
    </w:p>
    <w:p>
      <w:pPr>
        <w:spacing w:line="249" w:lineRule="auto" w:before="28"/>
        <w:ind w:left="337" w:right="0" w:hanging="227"/>
        <w:jc w:val="left"/>
        <w:rPr>
          <w:sz w:val="18"/>
        </w:rPr>
      </w:pPr>
      <w:r>
        <w:rPr>
          <w:position w:val="7"/>
          <w:sz w:val="11"/>
        </w:rPr>
        <w:t>21 </w:t>
      </w:r>
      <w:r>
        <w:rPr>
          <w:sz w:val="18"/>
        </w:rPr>
        <w:t>Información proporcionada para esta investigación en entrevista con el director general de recaudación, 13 de octubre del 2010.</w:t>
      </w:r>
    </w:p>
    <w:p>
      <w:pPr>
        <w:spacing w:after="0" w:line="249" w:lineRule="auto"/>
        <w:jc w:val="left"/>
        <w:rPr>
          <w:sz w:val="18"/>
        </w:rPr>
        <w:sectPr>
          <w:pgSz w:w="9360" w:h="13040"/>
          <w:pgMar w:header="527" w:footer="514" w:top="720" w:bottom="700" w:left="740" w:right="1300"/>
        </w:sectPr>
      </w:pPr>
    </w:p>
    <w:p>
      <w:pPr>
        <w:pStyle w:val="BodyText"/>
        <w:spacing w:before="11"/>
        <w:rPr>
          <w:sz w:val="29"/>
        </w:rPr>
      </w:pPr>
    </w:p>
    <w:p>
      <w:pPr>
        <w:pStyle w:val="BodyText"/>
        <w:spacing w:line="260" w:lineRule="exact" w:before="77"/>
        <w:ind w:left="117" w:right="108" w:hanging="1"/>
        <w:jc w:val="both"/>
      </w:pPr>
      <w:r>
        <w:rPr/>
        <w:t>asimismo participó en el Comité Técnico de Auditoría</w:t>
      </w:r>
      <w:r>
        <w:rPr>
          <w:position w:val="8"/>
          <w:sz w:val="13"/>
        </w:rPr>
        <w:t>22</w:t>
      </w:r>
      <w:r>
        <w:rPr/>
        <w:t>. En el periodo 2008- 2010,</w:t>
      </w:r>
      <w:r>
        <w:rPr>
          <w:spacing w:val="-7"/>
        </w:rPr>
        <w:t> </w:t>
      </w:r>
      <w:r>
        <w:rPr/>
        <w:t>la</w:t>
      </w:r>
      <w:r>
        <w:rPr>
          <w:spacing w:val="-7"/>
        </w:rPr>
        <w:t> </w:t>
      </w:r>
      <w:r>
        <w:rPr/>
        <w:t>titular</w:t>
      </w:r>
      <w:r>
        <w:rPr>
          <w:spacing w:val="-7"/>
        </w:rPr>
        <w:t> </w:t>
      </w:r>
      <w:r>
        <w:rPr/>
        <w:t>de</w:t>
      </w:r>
      <w:r>
        <w:rPr>
          <w:spacing w:val="-7"/>
        </w:rPr>
        <w:t> </w:t>
      </w:r>
      <w:r>
        <w:rPr/>
        <w:t>la</w:t>
      </w:r>
      <w:r>
        <w:rPr>
          <w:spacing w:val="-7"/>
        </w:rPr>
        <w:t> </w:t>
      </w:r>
      <w:r>
        <w:rPr/>
        <w:t>Secretaría</w:t>
      </w:r>
      <w:r>
        <w:rPr>
          <w:spacing w:val="-7"/>
        </w:rPr>
        <w:t> </w:t>
      </w:r>
      <w:r>
        <w:rPr/>
        <w:t>de</w:t>
      </w:r>
      <w:r>
        <w:rPr>
          <w:spacing w:val="-7"/>
        </w:rPr>
        <w:t> </w:t>
      </w:r>
      <w:r>
        <w:rPr/>
        <w:t>Finanzas</w:t>
      </w:r>
      <w:r>
        <w:rPr>
          <w:spacing w:val="-7"/>
        </w:rPr>
        <w:t> </w:t>
      </w:r>
      <w:r>
        <w:rPr/>
        <w:t>y</w:t>
      </w:r>
      <w:r>
        <w:rPr>
          <w:spacing w:val="-7"/>
        </w:rPr>
        <w:t> </w:t>
      </w:r>
      <w:r>
        <w:rPr/>
        <w:t>el</w:t>
      </w:r>
      <w:r>
        <w:rPr>
          <w:spacing w:val="-7"/>
        </w:rPr>
        <w:t> </w:t>
      </w:r>
      <w:r>
        <w:rPr/>
        <w:t>procurador</w:t>
      </w:r>
      <w:r>
        <w:rPr>
          <w:spacing w:val="-7"/>
        </w:rPr>
        <w:t> </w:t>
      </w:r>
      <w:r>
        <w:rPr/>
        <w:t>fiscal</w:t>
      </w:r>
      <w:r>
        <w:rPr>
          <w:spacing w:val="-7"/>
        </w:rPr>
        <w:t> </w:t>
      </w:r>
      <w:r>
        <w:rPr/>
        <w:t>participaron en las tres reuniones nacionales de funcionarios</w:t>
      </w:r>
      <w:r>
        <w:rPr>
          <w:spacing w:val="-9"/>
        </w:rPr>
        <w:t> </w:t>
      </w:r>
      <w:r>
        <w:rPr/>
        <w:t>fiscales</w:t>
      </w:r>
      <w:r>
        <w:rPr>
          <w:position w:val="8"/>
          <w:sz w:val="13"/>
        </w:rPr>
        <w:t>23</w:t>
      </w:r>
      <w:r>
        <w:rPr/>
        <w:t>.</w:t>
      </w:r>
    </w:p>
    <w:p>
      <w:pPr>
        <w:pStyle w:val="BodyText"/>
        <w:spacing w:before="4"/>
        <w:rPr>
          <w:sz w:val="22"/>
        </w:rPr>
      </w:pPr>
    </w:p>
    <w:p>
      <w:pPr>
        <w:spacing w:line="235" w:lineRule="auto" w:before="1"/>
        <w:ind w:left="117" w:right="107" w:firstLine="0"/>
        <w:jc w:val="both"/>
        <w:rPr>
          <w:i/>
          <w:sz w:val="23"/>
        </w:rPr>
      </w:pPr>
      <w:r>
        <w:rPr>
          <w:sz w:val="23"/>
        </w:rPr>
        <w:t>En</w:t>
      </w:r>
      <w:r>
        <w:rPr>
          <w:spacing w:val="-8"/>
          <w:sz w:val="23"/>
        </w:rPr>
        <w:t> </w:t>
      </w:r>
      <w:r>
        <w:rPr>
          <w:sz w:val="23"/>
        </w:rPr>
        <w:t>2008,</w:t>
      </w:r>
      <w:r>
        <w:rPr>
          <w:spacing w:val="-8"/>
          <w:sz w:val="23"/>
        </w:rPr>
        <w:t> </w:t>
      </w:r>
      <w:r>
        <w:rPr>
          <w:sz w:val="23"/>
        </w:rPr>
        <w:t>los</w:t>
      </w:r>
      <w:r>
        <w:rPr>
          <w:spacing w:val="-8"/>
          <w:sz w:val="23"/>
        </w:rPr>
        <w:t> </w:t>
      </w:r>
      <w:r>
        <w:rPr>
          <w:sz w:val="23"/>
        </w:rPr>
        <w:t>mismos</w:t>
      </w:r>
      <w:r>
        <w:rPr>
          <w:spacing w:val="-8"/>
          <w:sz w:val="23"/>
        </w:rPr>
        <w:t> </w:t>
      </w:r>
      <w:r>
        <w:rPr>
          <w:sz w:val="23"/>
        </w:rPr>
        <w:t>funcionarios</w:t>
      </w:r>
      <w:r>
        <w:rPr>
          <w:spacing w:val="-8"/>
          <w:sz w:val="23"/>
        </w:rPr>
        <w:t> </w:t>
      </w:r>
      <w:r>
        <w:rPr>
          <w:sz w:val="23"/>
        </w:rPr>
        <w:t>acudieron</w:t>
      </w:r>
      <w:r>
        <w:rPr>
          <w:spacing w:val="-8"/>
          <w:sz w:val="23"/>
        </w:rPr>
        <w:t> </w:t>
      </w:r>
      <w:r>
        <w:rPr>
          <w:sz w:val="23"/>
        </w:rPr>
        <w:t>a</w:t>
      </w:r>
      <w:r>
        <w:rPr>
          <w:spacing w:val="-8"/>
          <w:sz w:val="23"/>
        </w:rPr>
        <w:t> </w:t>
      </w:r>
      <w:r>
        <w:rPr>
          <w:sz w:val="23"/>
        </w:rPr>
        <w:t>las</w:t>
      </w:r>
      <w:r>
        <w:rPr>
          <w:spacing w:val="-8"/>
          <w:sz w:val="23"/>
        </w:rPr>
        <w:t> </w:t>
      </w:r>
      <w:r>
        <w:rPr>
          <w:sz w:val="23"/>
        </w:rPr>
        <w:t>nueve</w:t>
      </w:r>
      <w:r>
        <w:rPr>
          <w:spacing w:val="-8"/>
          <w:sz w:val="23"/>
        </w:rPr>
        <w:t> </w:t>
      </w:r>
      <w:r>
        <w:rPr>
          <w:sz w:val="23"/>
        </w:rPr>
        <w:t>reuniones</w:t>
      </w:r>
      <w:r>
        <w:rPr>
          <w:spacing w:val="-8"/>
          <w:sz w:val="23"/>
        </w:rPr>
        <w:t> </w:t>
      </w:r>
      <w:r>
        <w:rPr>
          <w:sz w:val="23"/>
        </w:rPr>
        <w:t>celebradas de la Comisión Permanente de Funcionarios Fiscales</w:t>
      </w:r>
      <w:r>
        <w:rPr>
          <w:position w:val="8"/>
          <w:sz w:val="13"/>
        </w:rPr>
        <w:t>24</w:t>
      </w:r>
      <w:r>
        <w:rPr>
          <w:sz w:val="23"/>
        </w:rPr>
        <w:t>. En los años 2009 y 2010 las participaciones de funcionarios hidalguenses en la misma comisión se redujeron a cuatro y tres respectivamente, el Instituto para el Desarrollo Técnico de las Haciendas (INDETEC) explica que </w:t>
      </w:r>
      <w:r>
        <w:rPr>
          <w:i/>
          <w:sz w:val="23"/>
        </w:rPr>
        <w:t>como ese año Hidalgo no </w:t>
      </w:r>
      <w:r>
        <w:rPr>
          <w:i/>
          <w:sz w:val="23"/>
        </w:rPr>
        <w:t>formó parte de los ocho representantes de grupos zonales sólo asistió a las reuniones</w:t>
      </w:r>
      <w:r>
        <w:rPr>
          <w:i/>
          <w:spacing w:val="-7"/>
          <w:sz w:val="23"/>
        </w:rPr>
        <w:t> </w:t>
      </w:r>
      <w:r>
        <w:rPr>
          <w:i/>
          <w:sz w:val="23"/>
        </w:rPr>
        <w:t>ampliadas</w:t>
      </w:r>
      <w:r>
        <w:rPr>
          <w:position w:val="8"/>
          <w:sz w:val="13"/>
        </w:rPr>
        <w:t>25</w:t>
      </w:r>
      <w:r>
        <w:rPr>
          <w:i/>
          <w:sz w:val="23"/>
        </w:rPr>
        <w:t>.</w:t>
      </w:r>
    </w:p>
    <w:p>
      <w:pPr>
        <w:pStyle w:val="BodyText"/>
        <w:spacing w:before="7"/>
        <w:rPr>
          <w:i/>
          <w:sz w:val="22"/>
        </w:rPr>
      </w:pPr>
    </w:p>
    <w:p>
      <w:pPr>
        <w:pStyle w:val="BodyText"/>
        <w:spacing w:line="235" w:lineRule="auto" w:before="1"/>
        <w:ind w:left="117" w:right="107"/>
        <w:jc w:val="both"/>
      </w:pPr>
      <w:r>
        <w:rPr/>
        <w:t>Para febrero de 2011, dada la reasignación de responsabilidades en el SNCF, se consideró al gobierno hidalguense para que fuera integrado al comité de vigilancia de aportaciones y otros recursos descentralizados, así como al grupo temático de deuda y empréstitos</w:t>
      </w:r>
      <w:r>
        <w:rPr>
          <w:position w:val="8"/>
          <w:sz w:val="13"/>
        </w:rPr>
        <w:t>26</w:t>
      </w:r>
      <w:r>
        <w:rPr/>
        <w:t>. Para esas fechas, el discurso del SHCP anunció mayor actividad en el SNCF, cuya franca sugerencia fue que durante la gestión de su antecesor el referido sistema no tenía un desempeño significativo. Por su parte, pese a que el trabajo en el SNCF es de carácter eminentemente técnico, la autoridad fiscal del estado argumenta que las actividades de tal sistema tienen </w:t>
      </w:r>
      <w:r>
        <w:rPr>
          <w:i/>
        </w:rPr>
        <w:t>mayor tinte político </w:t>
      </w:r>
      <w:r>
        <w:rPr/>
        <w:t>que cualquier otro sistema formal de coordinación intergubernamental</w:t>
      </w:r>
      <w:r>
        <w:rPr>
          <w:position w:val="8"/>
          <w:sz w:val="13"/>
        </w:rPr>
        <w:t>27</w:t>
      </w:r>
      <w:r>
        <w:rPr/>
        <w:t>. En tal caso, y dada las diferentes extracciones políticas de los gobiernos federal y estatal, se intuye que esta diferencia se traduce en un trabajo poco cooperativo al interior de las actividades del SNCF, afectando los fines asociativos que prevé la lógica subsidiaria.</w:t>
      </w:r>
    </w:p>
    <w:p>
      <w:pPr>
        <w:pStyle w:val="BodyText"/>
        <w:spacing w:before="10"/>
        <w:rPr>
          <w:sz w:val="22"/>
        </w:rPr>
      </w:pPr>
    </w:p>
    <w:p>
      <w:pPr>
        <w:pStyle w:val="BodyText"/>
        <w:spacing w:line="260" w:lineRule="exact"/>
        <w:ind w:left="117" w:right="109"/>
        <w:jc w:val="both"/>
      </w:pPr>
      <w:r>
        <w:rPr/>
        <w:t>El escaso trabajo formal coordinado ocasiona que las necesidades de coordinación  sean  desahogadas  a  través  de  mecanismos  informales   que</w:t>
      </w:r>
    </w:p>
    <w:p>
      <w:pPr>
        <w:pStyle w:val="BodyText"/>
        <w:spacing w:before="6"/>
        <w:rPr>
          <w:sz w:val="12"/>
        </w:rPr>
      </w:pPr>
      <w:r>
        <w:rPr/>
        <w:pict>
          <v:line style="position:absolute;mso-position-horizontal-relative:page;mso-position-vertical-relative:paragraph;z-index:1312;mso-wrap-distance-left:0;mso-wrap-distance-right:0" from="70.866096pt,9.686107pt" to="142.866096pt,9.686107pt" stroked="true" strokeweight="1pt" strokecolor="#000000">
            <w10:wrap type="topAndBottom"/>
          </v:line>
        </w:pict>
      </w:r>
    </w:p>
    <w:p>
      <w:pPr>
        <w:spacing w:line="249" w:lineRule="auto" w:before="28"/>
        <w:ind w:left="344" w:right="0" w:hanging="227"/>
        <w:jc w:val="left"/>
        <w:rPr>
          <w:sz w:val="18"/>
        </w:rPr>
      </w:pPr>
      <w:r>
        <w:rPr>
          <w:position w:val="7"/>
          <w:sz w:val="11"/>
        </w:rPr>
        <w:t>22 </w:t>
      </w:r>
      <w:r>
        <w:rPr>
          <w:sz w:val="18"/>
        </w:rPr>
        <w:t>Información proporcionada para esta investigación en entrevista con el director general de auditoría, 29 de octubre del 2010.</w:t>
      </w:r>
    </w:p>
    <w:p>
      <w:pPr>
        <w:spacing w:line="249" w:lineRule="auto" w:before="20"/>
        <w:ind w:left="344" w:right="108" w:hanging="227"/>
        <w:jc w:val="both"/>
        <w:rPr>
          <w:sz w:val="18"/>
        </w:rPr>
      </w:pPr>
      <w:r>
        <w:rPr>
          <w:position w:val="7"/>
          <w:sz w:val="11"/>
        </w:rPr>
        <w:t>23  </w:t>
      </w:r>
      <w:r>
        <w:rPr>
          <w:sz w:val="18"/>
        </w:rPr>
        <w:t>Información proporcionada por la unidad de enlace del instituto para el desarrollo técnico de   las haciendas (INDETEC), según solicitud con el número de expediente 0611000001311 del sistema INFOMEX gobierno federal, 5 de julio del año</w:t>
      </w:r>
      <w:r>
        <w:rPr>
          <w:spacing w:val="-7"/>
          <w:sz w:val="18"/>
        </w:rPr>
        <w:t> </w:t>
      </w:r>
      <w:r>
        <w:rPr>
          <w:sz w:val="18"/>
        </w:rPr>
        <w:t>2011.</w:t>
      </w:r>
    </w:p>
    <w:p>
      <w:pPr>
        <w:spacing w:before="20"/>
        <w:ind w:left="117" w:right="0" w:firstLine="0"/>
        <w:jc w:val="left"/>
        <w:rPr>
          <w:i/>
          <w:sz w:val="18"/>
        </w:rPr>
      </w:pPr>
      <w:r>
        <w:rPr>
          <w:w w:val="105"/>
          <w:position w:val="7"/>
          <w:sz w:val="11"/>
        </w:rPr>
        <w:t>24  </w:t>
      </w:r>
      <w:r>
        <w:rPr>
          <w:i/>
          <w:w w:val="105"/>
          <w:sz w:val="18"/>
        </w:rPr>
        <w:t>Ibídem.</w:t>
      </w:r>
    </w:p>
    <w:p>
      <w:pPr>
        <w:spacing w:before="28"/>
        <w:ind w:left="117" w:right="0" w:firstLine="0"/>
        <w:jc w:val="left"/>
        <w:rPr>
          <w:i/>
          <w:sz w:val="18"/>
        </w:rPr>
      </w:pPr>
      <w:r>
        <w:rPr>
          <w:w w:val="105"/>
          <w:position w:val="7"/>
          <w:sz w:val="11"/>
        </w:rPr>
        <w:t>25  </w:t>
      </w:r>
      <w:r>
        <w:rPr>
          <w:i/>
          <w:w w:val="105"/>
          <w:sz w:val="18"/>
        </w:rPr>
        <w:t>Ibídem.</w:t>
      </w:r>
    </w:p>
    <w:p>
      <w:pPr>
        <w:spacing w:before="28"/>
        <w:ind w:left="117" w:right="0" w:firstLine="0"/>
        <w:jc w:val="left"/>
        <w:rPr>
          <w:i/>
          <w:sz w:val="18"/>
        </w:rPr>
      </w:pPr>
      <w:r>
        <w:rPr>
          <w:position w:val="7"/>
          <w:sz w:val="11"/>
        </w:rPr>
        <w:t>26   </w:t>
      </w:r>
      <w:r>
        <w:rPr>
          <w:sz w:val="18"/>
        </w:rPr>
        <w:t>García Sotelo, Luis; </w:t>
      </w:r>
      <w:r>
        <w:rPr>
          <w:i/>
          <w:sz w:val="18"/>
        </w:rPr>
        <w:t>se fortalecen los trabajos del sistema nacional de coordinación fiscal,</w:t>
      </w:r>
    </w:p>
    <w:p>
      <w:pPr>
        <w:spacing w:before="9"/>
        <w:ind w:left="344" w:right="0" w:firstLine="0"/>
        <w:jc w:val="left"/>
        <w:rPr>
          <w:i/>
          <w:sz w:val="18"/>
        </w:rPr>
      </w:pPr>
      <w:r>
        <w:rPr>
          <w:sz w:val="18"/>
        </w:rPr>
        <w:t>artículo publicado en </w:t>
      </w:r>
      <w:hyperlink r:id="rId41">
        <w:r>
          <w:rPr>
            <w:sz w:val="18"/>
          </w:rPr>
          <w:t>http://www.indetec.gob.mx,</w:t>
        </w:r>
      </w:hyperlink>
      <w:r>
        <w:rPr>
          <w:sz w:val="18"/>
        </w:rPr>
        <w:t> 24 de febrero de 2011</w:t>
      </w:r>
      <w:r>
        <w:rPr>
          <w:i/>
          <w:sz w:val="18"/>
        </w:rPr>
        <w:t>.</w:t>
      </w:r>
    </w:p>
    <w:p>
      <w:pPr>
        <w:spacing w:line="249" w:lineRule="auto" w:before="28"/>
        <w:ind w:left="344" w:right="0" w:hanging="227"/>
        <w:jc w:val="left"/>
        <w:rPr>
          <w:sz w:val="18"/>
        </w:rPr>
      </w:pPr>
      <w:r>
        <w:rPr>
          <w:position w:val="7"/>
          <w:sz w:val="11"/>
        </w:rPr>
        <w:t>27 </w:t>
      </w:r>
      <w:r>
        <w:rPr>
          <w:sz w:val="18"/>
        </w:rPr>
        <w:t>Información proporcionada para esta investigación en entrevista con el director general de recaudación, 13 de octubre del 2010.</w:t>
      </w:r>
    </w:p>
    <w:p>
      <w:pPr>
        <w:spacing w:after="0" w:line="249" w:lineRule="auto"/>
        <w:jc w:val="left"/>
        <w:rPr>
          <w:sz w:val="18"/>
        </w:rPr>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35" w:lineRule="auto" w:before="75"/>
        <w:ind w:left="110" w:right="114"/>
        <w:jc w:val="both"/>
      </w:pPr>
      <w:r>
        <w:rPr/>
        <w:t>promueven algunas dependencias de la Secretaría de Finanzas a título individual. El titular de la Dirección General de Recaudación acostumbra participar</w:t>
      </w:r>
      <w:r>
        <w:rPr>
          <w:spacing w:val="-9"/>
        </w:rPr>
        <w:t> </w:t>
      </w:r>
      <w:r>
        <w:rPr/>
        <w:t>en</w:t>
      </w:r>
      <w:r>
        <w:rPr>
          <w:spacing w:val="-9"/>
        </w:rPr>
        <w:t> </w:t>
      </w:r>
      <w:r>
        <w:rPr/>
        <w:t>un</w:t>
      </w:r>
      <w:r>
        <w:rPr>
          <w:spacing w:val="-9"/>
        </w:rPr>
        <w:t> </w:t>
      </w:r>
      <w:r>
        <w:rPr/>
        <w:t>grupo</w:t>
      </w:r>
      <w:r>
        <w:rPr>
          <w:spacing w:val="-9"/>
        </w:rPr>
        <w:t> </w:t>
      </w:r>
      <w:r>
        <w:rPr/>
        <w:t>informal</w:t>
      </w:r>
      <w:r>
        <w:rPr>
          <w:spacing w:val="-10"/>
        </w:rPr>
        <w:t> </w:t>
      </w:r>
      <w:r>
        <w:rPr/>
        <w:t>que</w:t>
      </w:r>
      <w:r>
        <w:rPr>
          <w:spacing w:val="-9"/>
        </w:rPr>
        <w:t> </w:t>
      </w:r>
      <w:r>
        <w:rPr/>
        <w:t>eventualmente</w:t>
      </w:r>
      <w:r>
        <w:rPr>
          <w:spacing w:val="-10"/>
        </w:rPr>
        <w:t> </w:t>
      </w:r>
      <w:r>
        <w:rPr/>
        <w:t>se</w:t>
      </w:r>
      <w:r>
        <w:rPr>
          <w:spacing w:val="-9"/>
        </w:rPr>
        <w:t> </w:t>
      </w:r>
      <w:r>
        <w:rPr/>
        <w:t>reúne</w:t>
      </w:r>
      <w:r>
        <w:rPr>
          <w:spacing w:val="-9"/>
        </w:rPr>
        <w:t> </w:t>
      </w:r>
      <w:r>
        <w:rPr/>
        <w:t>para</w:t>
      </w:r>
      <w:r>
        <w:rPr>
          <w:spacing w:val="-9"/>
        </w:rPr>
        <w:t> </w:t>
      </w:r>
      <w:r>
        <w:rPr/>
        <w:t>intercambiar criterios,</w:t>
      </w:r>
      <w:r>
        <w:rPr>
          <w:spacing w:val="-24"/>
        </w:rPr>
        <w:t> </w:t>
      </w:r>
      <w:r>
        <w:rPr/>
        <w:t>del</w:t>
      </w:r>
      <w:r>
        <w:rPr>
          <w:spacing w:val="-24"/>
        </w:rPr>
        <w:t> </w:t>
      </w:r>
      <w:r>
        <w:rPr/>
        <w:t>cual</w:t>
      </w:r>
      <w:r>
        <w:rPr>
          <w:spacing w:val="-24"/>
        </w:rPr>
        <w:t> </w:t>
      </w:r>
      <w:r>
        <w:rPr/>
        <w:t>forman</w:t>
      </w:r>
      <w:r>
        <w:rPr>
          <w:spacing w:val="-24"/>
        </w:rPr>
        <w:t> </w:t>
      </w:r>
      <w:r>
        <w:rPr/>
        <w:t>parte</w:t>
      </w:r>
      <w:r>
        <w:rPr>
          <w:spacing w:val="-24"/>
        </w:rPr>
        <w:t> </w:t>
      </w:r>
      <w:r>
        <w:rPr/>
        <w:t>autoridades</w:t>
      </w:r>
      <w:r>
        <w:rPr>
          <w:spacing w:val="-24"/>
        </w:rPr>
        <w:t> </w:t>
      </w:r>
      <w:r>
        <w:rPr/>
        <w:t>fiscales</w:t>
      </w:r>
      <w:r>
        <w:rPr>
          <w:spacing w:val="-24"/>
        </w:rPr>
        <w:t> </w:t>
      </w:r>
      <w:r>
        <w:rPr/>
        <w:t>de</w:t>
      </w:r>
      <w:r>
        <w:rPr>
          <w:spacing w:val="-24"/>
        </w:rPr>
        <w:t> </w:t>
      </w:r>
      <w:r>
        <w:rPr/>
        <w:t>los</w:t>
      </w:r>
      <w:r>
        <w:rPr>
          <w:spacing w:val="-24"/>
        </w:rPr>
        <w:t> </w:t>
      </w:r>
      <w:r>
        <w:rPr/>
        <w:t>estados</w:t>
      </w:r>
      <w:r>
        <w:rPr>
          <w:spacing w:val="-24"/>
        </w:rPr>
        <w:t> </w:t>
      </w:r>
      <w:r>
        <w:rPr/>
        <w:t>de</w:t>
      </w:r>
      <w:r>
        <w:rPr>
          <w:spacing w:val="-24"/>
        </w:rPr>
        <w:t> </w:t>
      </w:r>
      <w:r>
        <w:rPr/>
        <w:t>Querétaro, Morelos, Tlaxcala, Puebla, Distrito Federal y Estado de México. A manera de ejemplo, en determinado momento la autoridad fiscal federal dio libertad en el establecimiento de cuotas para el cobro en el Régimen de Pequeños Contribuyentes (REPECO), estas cuotas fueron estandarizadas mediante el trabajo del referido grupo informal, pues al inicio de las conciliaciones el estado de Tlaxcala propuso quince pesos mensuales, el Estado de México doscientos y el Estado de Hidalgo ochenta. Actualmente, para satisfacer una meta del año </w:t>
      </w:r>
      <w:r>
        <w:rPr>
          <w:spacing w:val="-3"/>
        </w:rPr>
        <w:t>2011 </w:t>
      </w:r>
      <w:r>
        <w:rPr/>
        <w:t>del </w:t>
      </w:r>
      <w:r>
        <w:rPr>
          <w:spacing w:val="-5"/>
        </w:rPr>
        <w:t>SNCF, </w:t>
      </w:r>
      <w:r>
        <w:rPr/>
        <w:t>el grupo informal de intercambio de criterios ha abordado el tema de la estandarización de la contabilidad gubernamental, para lo cual existen limitaciones de agenda y el trabajo está en riesgo de interrumpirse</w:t>
      </w:r>
      <w:r>
        <w:rPr>
          <w:position w:val="8"/>
          <w:sz w:val="13"/>
        </w:rPr>
        <w:t>28</w:t>
      </w:r>
      <w:r>
        <w:rPr/>
        <w:t>.</w:t>
      </w:r>
    </w:p>
    <w:p>
      <w:pPr>
        <w:pStyle w:val="BodyText"/>
        <w:spacing w:before="10"/>
        <w:rPr>
          <w:sz w:val="22"/>
        </w:rPr>
      </w:pPr>
    </w:p>
    <w:p>
      <w:pPr>
        <w:pStyle w:val="BodyText"/>
        <w:spacing w:line="260" w:lineRule="exact"/>
        <w:ind w:left="110" w:right="114"/>
        <w:jc w:val="both"/>
      </w:pPr>
      <w:r>
        <w:rPr/>
        <w:t>En suma, la polarización política afecta gravemente la participación de la Secretaría de Finanzas de Hidalgo en el trabajo formal del </w:t>
      </w:r>
      <w:r>
        <w:rPr>
          <w:spacing w:val="-5"/>
        </w:rPr>
        <w:t>SNCF, </w:t>
      </w:r>
      <w:r>
        <w:rPr/>
        <w:t>en cuyo caso, la visión de </w:t>
      </w:r>
      <w:r>
        <w:rPr>
          <w:i/>
        </w:rPr>
        <w:t>reforzar las funciones recaudatorias estatales a través de </w:t>
      </w:r>
      <w:r>
        <w:rPr>
          <w:i/>
        </w:rPr>
        <w:t>las relaciones asociativas </w:t>
      </w:r>
      <w:r>
        <w:rPr/>
        <w:t>no llega a instrumentarse por aparentes prejuicios de la alta representación estatal. Consecuentemente, en el caso hidalguense, el avance obligado por la coordinación netamente jerárquica es solventado mediante mecanismos informales de coordinación, en donde funcionarios   de menor nivel logran estandarizar criterios en reuniones regionales que celebran dejando a un lado las diferencias de extracción política. Esto es, en éste último caso, las relaciones asociativas si se dan pero sólo para favorecer la</w:t>
      </w:r>
      <w:r>
        <w:rPr>
          <w:spacing w:val="-9"/>
        </w:rPr>
        <w:t> </w:t>
      </w:r>
      <w:r>
        <w:rPr/>
        <w:t>continuidad</w:t>
      </w:r>
      <w:r>
        <w:rPr>
          <w:spacing w:val="-9"/>
        </w:rPr>
        <w:t> </w:t>
      </w:r>
      <w:r>
        <w:rPr/>
        <w:t>del</w:t>
      </w:r>
      <w:r>
        <w:rPr>
          <w:spacing w:val="-9"/>
        </w:rPr>
        <w:t> </w:t>
      </w:r>
      <w:r>
        <w:rPr/>
        <w:t>modelo</w:t>
      </w:r>
      <w:r>
        <w:rPr>
          <w:spacing w:val="-10"/>
        </w:rPr>
        <w:t> </w:t>
      </w:r>
      <w:r>
        <w:rPr/>
        <w:t>de</w:t>
      </w:r>
      <w:r>
        <w:rPr>
          <w:spacing w:val="-9"/>
        </w:rPr>
        <w:t> </w:t>
      </w:r>
      <w:r>
        <w:rPr/>
        <w:t>coordinación</w:t>
      </w:r>
      <w:r>
        <w:rPr>
          <w:spacing w:val="-10"/>
        </w:rPr>
        <w:t> </w:t>
      </w:r>
      <w:r>
        <w:rPr/>
        <w:t>controlada</w:t>
      </w:r>
      <w:r>
        <w:rPr>
          <w:spacing w:val="-10"/>
        </w:rPr>
        <w:t> </w:t>
      </w:r>
      <w:r>
        <w:rPr/>
        <w:t>e</w:t>
      </w:r>
      <w:r>
        <w:rPr>
          <w:spacing w:val="-9"/>
        </w:rPr>
        <w:t> </w:t>
      </w:r>
      <w:r>
        <w:rPr/>
        <w:t>impuesta</w:t>
      </w:r>
      <w:r>
        <w:rPr>
          <w:spacing w:val="-10"/>
        </w:rPr>
        <w:t> </w:t>
      </w:r>
      <w:r>
        <w:rPr/>
        <w:t>por</w:t>
      </w:r>
      <w:r>
        <w:rPr>
          <w:spacing w:val="-9"/>
        </w:rPr>
        <w:t> </w:t>
      </w:r>
      <w:r>
        <w:rPr/>
        <w:t>el</w:t>
      </w:r>
      <w:r>
        <w:rPr>
          <w:spacing w:val="-9"/>
        </w:rPr>
        <w:t> </w:t>
      </w:r>
      <w:r>
        <w:rPr/>
        <w:t>orden federal de gobierno.</w:t>
      </w:r>
    </w:p>
    <w:p>
      <w:pPr>
        <w:pStyle w:val="BodyText"/>
        <w:rPr>
          <w:sz w:val="22"/>
        </w:rPr>
      </w:pPr>
    </w:p>
    <w:p>
      <w:pPr>
        <w:pStyle w:val="Heading3"/>
        <w:ind w:left="110"/>
      </w:pPr>
      <w:bookmarkStart w:name="_TOC_250033" w:id="10"/>
      <w:bookmarkEnd w:id="10"/>
      <w:r>
        <w:rPr/>
        <w:t>Metas vs incidencias en la colaboración administrativa.</w:t>
      </w:r>
    </w:p>
    <w:p>
      <w:pPr>
        <w:pStyle w:val="BodyText"/>
        <w:spacing w:before="9"/>
        <w:rPr>
          <w:b/>
          <w:sz w:val="22"/>
        </w:rPr>
      </w:pPr>
    </w:p>
    <w:p>
      <w:pPr>
        <w:pStyle w:val="BodyText"/>
        <w:spacing w:line="260" w:lineRule="exact"/>
        <w:ind w:left="110" w:right="114"/>
        <w:jc w:val="both"/>
      </w:pPr>
      <w:r>
        <w:rPr/>
        <w:pict>
          <v:line style="position:absolute;mso-position-horizontal-relative:page;mso-position-vertical-relative:paragraph;z-index:1336;mso-wrap-distance-left:0;mso-wrap-distance-right:0" from="42.519699pt,97.713097pt" to="114.519699pt,97.713097pt" stroked="true" strokeweight="1pt" strokecolor="#000000">
            <w10:wrap type="topAndBottom"/>
          </v:line>
        </w:pict>
      </w:r>
      <w:r>
        <w:rPr/>
        <w:t>Lejos de procurar mayores facultades recaudatorias en </w:t>
      </w:r>
      <w:r>
        <w:rPr>
          <w:spacing w:val="-10"/>
        </w:rPr>
        <w:t>IVA </w:t>
      </w:r>
      <w:r>
        <w:rPr/>
        <w:t>e ISR para la autoridad</w:t>
      </w:r>
      <w:r>
        <w:rPr>
          <w:spacing w:val="-13"/>
        </w:rPr>
        <w:t> </w:t>
      </w:r>
      <w:r>
        <w:rPr/>
        <w:t>fiscal</w:t>
      </w:r>
      <w:r>
        <w:rPr>
          <w:spacing w:val="-12"/>
        </w:rPr>
        <w:t> </w:t>
      </w:r>
      <w:r>
        <w:rPr/>
        <w:t>hidalguense,</w:t>
      </w:r>
      <w:r>
        <w:rPr>
          <w:spacing w:val="-13"/>
        </w:rPr>
        <w:t> </w:t>
      </w:r>
      <w:r>
        <w:rPr/>
        <w:t>ésta</w:t>
      </w:r>
      <w:r>
        <w:rPr>
          <w:spacing w:val="-12"/>
        </w:rPr>
        <w:t> </w:t>
      </w:r>
      <w:r>
        <w:rPr/>
        <w:t>muestra</w:t>
      </w:r>
      <w:r>
        <w:rPr>
          <w:spacing w:val="-12"/>
        </w:rPr>
        <w:t> </w:t>
      </w:r>
      <w:r>
        <w:rPr/>
        <w:t>su</w:t>
      </w:r>
      <w:r>
        <w:rPr>
          <w:spacing w:val="-12"/>
        </w:rPr>
        <w:t> </w:t>
      </w:r>
      <w:r>
        <w:rPr/>
        <w:t>acuerdo</w:t>
      </w:r>
      <w:r>
        <w:rPr>
          <w:spacing w:val="-12"/>
        </w:rPr>
        <w:t> </w:t>
      </w:r>
      <w:r>
        <w:rPr/>
        <w:t>tácito</w:t>
      </w:r>
      <w:r>
        <w:rPr>
          <w:spacing w:val="-12"/>
        </w:rPr>
        <w:t> </w:t>
      </w:r>
      <w:r>
        <w:rPr/>
        <w:t>por</w:t>
      </w:r>
      <w:r>
        <w:rPr>
          <w:spacing w:val="-12"/>
        </w:rPr>
        <w:t> </w:t>
      </w:r>
      <w:r>
        <w:rPr/>
        <w:t>la</w:t>
      </w:r>
      <w:r>
        <w:rPr>
          <w:spacing w:val="-12"/>
        </w:rPr>
        <w:t> </w:t>
      </w:r>
      <w:r>
        <w:rPr/>
        <w:t>distribución de acciones que establece el orden federal en el marco de la colaboración administrativa</w:t>
      </w:r>
      <w:r>
        <w:rPr>
          <w:spacing w:val="-17"/>
        </w:rPr>
        <w:t> </w:t>
      </w:r>
      <w:r>
        <w:rPr/>
        <w:t>convenida.</w:t>
      </w:r>
      <w:r>
        <w:rPr>
          <w:spacing w:val="-17"/>
        </w:rPr>
        <w:t> </w:t>
      </w:r>
      <w:r>
        <w:rPr/>
        <w:t>El</w:t>
      </w:r>
      <w:r>
        <w:rPr>
          <w:spacing w:val="-16"/>
        </w:rPr>
        <w:t> </w:t>
      </w:r>
      <w:r>
        <w:rPr/>
        <w:t>volumen</w:t>
      </w:r>
      <w:r>
        <w:rPr>
          <w:spacing w:val="-16"/>
        </w:rPr>
        <w:t> </w:t>
      </w:r>
      <w:r>
        <w:rPr/>
        <w:t>de</w:t>
      </w:r>
      <w:r>
        <w:rPr>
          <w:spacing w:val="-16"/>
        </w:rPr>
        <w:t> </w:t>
      </w:r>
      <w:r>
        <w:rPr/>
        <w:t>trabajo</w:t>
      </w:r>
      <w:r>
        <w:rPr>
          <w:spacing w:val="-17"/>
        </w:rPr>
        <w:t> </w:t>
      </w:r>
      <w:r>
        <w:rPr/>
        <w:t>para</w:t>
      </w:r>
      <w:r>
        <w:rPr>
          <w:spacing w:val="-17"/>
        </w:rPr>
        <w:t> </w:t>
      </w:r>
      <w:r>
        <w:rPr/>
        <w:t>la</w:t>
      </w:r>
      <w:r>
        <w:rPr>
          <w:spacing w:val="-16"/>
        </w:rPr>
        <w:t> </w:t>
      </w:r>
      <w:r>
        <w:rPr/>
        <w:t>autoridad</w:t>
      </w:r>
      <w:r>
        <w:rPr>
          <w:spacing w:val="-17"/>
        </w:rPr>
        <w:t> </w:t>
      </w:r>
      <w:r>
        <w:rPr/>
        <w:t>hidalguense se reduce a menudo por las incidencias o características administrativas      de ambos niveles (federal y estatal). En contraste, pese a que la autoridad fiscal  estatal  manifiesta  que  fueron  los  primeros  en  hacer  una</w:t>
      </w:r>
      <w:r>
        <w:rPr>
          <w:spacing w:val="-17"/>
        </w:rPr>
        <w:t> </w:t>
      </w:r>
      <w:r>
        <w:rPr/>
        <w:t>propuesta</w:t>
      </w:r>
    </w:p>
    <w:p>
      <w:pPr>
        <w:spacing w:before="28"/>
        <w:ind w:left="110" w:right="0" w:firstLine="0"/>
        <w:jc w:val="left"/>
        <w:rPr>
          <w:i/>
          <w:sz w:val="18"/>
        </w:rPr>
      </w:pPr>
      <w:r>
        <w:rPr>
          <w:w w:val="105"/>
          <w:position w:val="7"/>
          <w:sz w:val="11"/>
        </w:rPr>
        <w:t>28  </w:t>
      </w:r>
      <w:r>
        <w:rPr>
          <w:i/>
          <w:w w:val="105"/>
          <w:sz w:val="18"/>
        </w:rPr>
        <w:t>Ibídem.</w:t>
      </w:r>
    </w:p>
    <w:p>
      <w:pPr>
        <w:spacing w:after="0"/>
        <w:jc w:val="left"/>
        <w:rPr>
          <w:sz w:val="18"/>
        </w:rPr>
        <w:sectPr>
          <w:pgSz w:w="9360" w:h="13040"/>
          <w:pgMar w:header="527" w:footer="514" w:top="720" w:bottom="700" w:left="740" w:right="1300"/>
        </w:sectPr>
      </w:pPr>
    </w:p>
    <w:p>
      <w:pPr>
        <w:pStyle w:val="BodyText"/>
        <w:spacing w:before="11"/>
        <w:rPr>
          <w:i/>
          <w:sz w:val="29"/>
        </w:rPr>
      </w:pPr>
    </w:p>
    <w:p>
      <w:pPr>
        <w:pStyle w:val="BodyText"/>
        <w:spacing w:line="260" w:lineRule="exact" w:before="77"/>
        <w:ind w:left="117" w:right="108"/>
        <w:jc w:val="both"/>
      </w:pPr>
      <w:r>
        <w:rPr/>
        <w:t>para descentralizar la fiscalización del impuesto sobre depósitos en efectivo (IDE), actualmente no ha logrado hacerse de esta facultad, el argumento de la Dirección General de Recaudación se basa en que la federación se niega a perder</w:t>
      </w:r>
      <w:r>
        <w:rPr>
          <w:spacing w:val="-5"/>
        </w:rPr>
        <w:t> </w:t>
      </w:r>
      <w:r>
        <w:rPr/>
        <w:t>un</w:t>
      </w:r>
      <w:r>
        <w:rPr>
          <w:spacing w:val="-5"/>
        </w:rPr>
        <w:t> </w:t>
      </w:r>
      <w:r>
        <w:rPr/>
        <w:t>impuesto</w:t>
      </w:r>
      <w:r>
        <w:rPr>
          <w:spacing w:val="-5"/>
        </w:rPr>
        <w:t> </w:t>
      </w:r>
      <w:r>
        <w:rPr/>
        <w:t>sobre</w:t>
      </w:r>
      <w:r>
        <w:rPr>
          <w:spacing w:val="-5"/>
        </w:rPr>
        <w:t> </w:t>
      </w:r>
      <w:r>
        <w:rPr/>
        <w:t>el</w:t>
      </w:r>
      <w:r>
        <w:rPr>
          <w:spacing w:val="-5"/>
        </w:rPr>
        <w:t> </w:t>
      </w:r>
      <w:r>
        <w:rPr/>
        <w:t>cual</w:t>
      </w:r>
      <w:r>
        <w:rPr>
          <w:spacing w:val="-5"/>
        </w:rPr>
        <w:t> </w:t>
      </w:r>
      <w:r>
        <w:rPr/>
        <w:t>se</w:t>
      </w:r>
      <w:r>
        <w:rPr>
          <w:spacing w:val="-5"/>
        </w:rPr>
        <w:t> </w:t>
      </w:r>
      <w:r>
        <w:rPr/>
        <w:t>planteo</w:t>
      </w:r>
      <w:r>
        <w:rPr>
          <w:spacing w:val="-5"/>
        </w:rPr>
        <w:t> </w:t>
      </w:r>
      <w:r>
        <w:rPr/>
        <w:t>como</w:t>
      </w:r>
      <w:r>
        <w:rPr>
          <w:spacing w:val="-5"/>
        </w:rPr>
        <w:t> </w:t>
      </w:r>
      <w:r>
        <w:rPr/>
        <w:t>meta</w:t>
      </w:r>
      <w:r>
        <w:rPr>
          <w:spacing w:val="-5"/>
        </w:rPr>
        <w:t> </w:t>
      </w:r>
      <w:r>
        <w:rPr/>
        <w:t>inicial</w:t>
      </w:r>
      <w:r>
        <w:rPr>
          <w:spacing w:val="-5"/>
        </w:rPr>
        <w:t> </w:t>
      </w:r>
      <w:r>
        <w:rPr/>
        <w:t>de</w:t>
      </w:r>
      <w:r>
        <w:rPr>
          <w:spacing w:val="-5"/>
        </w:rPr>
        <w:t> </w:t>
      </w:r>
      <w:r>
        <w:rPr/>
        <w:t>recaudación dos mil millones pero que realmente llegó a veinte mil</w:t>
      </w:r>
      <w:r>
        <w:rPr>
          <w:spacing w:val="-5"/>
        </w:rPr>
        <w:t> </w:t>
      </w:r>
      <w:r>
        <w:rPr/>
        <w:t>millones.</w:t>
      </w:r>
    </w:p>
    <w:p>
      <w:pPr>
        <w:pStyle w:val="BodyText"/>
        <w:spacing w:before="4"/>
        <w:rPr>
          <w:sz w:val="22"/>
        </w:rPr>
      </w:pPr>
    </w:p>
    <w:p>
      <w:pPr>
        <w:pStyle w:val="BodyText"/>
        <w:spacing w:line="235" w:lineRule="auto"/>
        <w:ind w:left="117" w:right="107"/>
        <w:jc w:val="both"/>
      </w:pPr>
      <w:r>
        <w:rPr/>
        <w:t>Para</w:t>
      </w:r>
      <w:r>
        <w:rPr>
          <w:spacing w:val="-31"/>
        </w:rPr>
        <w:t> </w:t>
      </w:r>
      <w:r>
        <w:rPr/>
        <w:t>la</w:t>
      </w:r>
      <w:r>
        <w:rPr>
          <w:spacing w:val="-33"/>
        </w:rPr>
        <w:t> </w:t>
      </w:r>
      <w:r>
        <w:rPr/>
        <w:t>Dirección</w:t>
      </w:r>
      <w:r>
        <w:rPr>
          <w:spacing w:val="-33"/>
        </w:rPr>
        <w:t> </w:t>
      </w:r>
      <w:r>
        <w:rPr/>
        <w:t>General</w:t>
      </w:r>
      <w:r>
        <w:rPr>
          <w:spacing w:val="-31"/>
        </w:rPr>
        <w:t> </w:t>
      </w:r>
      <w:r>
        <w:rPr/>
        <w:t>de</w:t>
      </w:r>
      <w:r>
        <w:rPr>
          <w:spacing w:val="-31"/>
        </w:rPr>
        <w:t> </w:t>
      </w:r>
      <w:r>
        <w:rPr/>
        <w:t>Recaudación,</w:t>
      </w:r>
      <w:r>
        <w:rPr>
          <w:spacing w:val="-33"/>
        </w:rPr>
        <w:t> </w:t>
      </w:r>
      <w:r>
        <w:rPr/>
        <w:t>lasaccionesdiseñadasrecientemente y delegadas por la federación se pueden agrupar en dos programas: 1) el programa de actualización del registro federal de contribuyentes (RFC), que pretendió ampliar la base gravable, fue operado mediante el barrido de calles para</w:t>
      </w:r>
      <w:r>
        <w:rPr>
          <w:spacing w:val="-15"/>
        </w:rPr>
        <w:t> </w:t>
      </w:r>
      <w:r>
        <w:rPr/>
        <w:t>detectar</w:t>
      </w:r>
      <w:r>
        <w:rPr>
          <w:spacing w:val="-15"/>
        </w:rPr>
        <w:t> </w:t>
      </w:r>
      <w:r>
        <w:rPr/>
        <w:t>irregularidades</w:t>
      </w:r>
      <w:r>
        <w:rPr>
          <w:spacing w:val="-16"/>
        </w:rPr>
        <w:t> </w:t>
      </w:r>
      <w:r>
        <w:rPr/>
        <w:t>en</w:t>
      </w:r>
      <w:r>
        <w:rPr>
          <w:spacing w:val="-15"/>
        </w:rPr>
        <w:t> </w:t>
      </w:r>
      <w:r>
        <w:rPr/>
        <w:t>tal</w:t>
      </w:r>
      <w:r>
        <w:rPr>
          <w:spacing w:val="-15"/>
        </w:rPr>
        <w:t> </w:t>
      </w:r>
      <w:r>
        <w:rPr/>
        <w:t>registro,</w:t>
      </w:r>
      <w:r>
        <w:rPr>
          <w:spacing w:val="-15"/>
        </w:rPr>
        <w:t> </w:t>
      </w:r>
      <w:r>
        <w:rPr/>
        <w:t>una</w:t>
      </w:r>
      <w:r>
        <w:rPr>
          <w:spacing w:val="-15"/>
        </w:rPr>
        <w:t> </w:t>
      </w:r>
      <w:r>
        <w:rPr/>
        <w:t>primera</w:t>
      </w:r>
      <w:r>
        <w:rPr>
          <w:spacing w:val="-15"/>
        </w:rPr>
        <w:t> </w:t>
      </w:r>
      <w:r>
        <w:rPr/>
        <w:t>etapa</w:t>
      </w:r>
      <w:r>
        <w:rPr>
          <w:spacing w:val="-15"/>
        </w:rPr>
        <w:t> </w:t>
      </w:r>
      <w:r>
        <w:rPr/>
        <w:t>en</w:t>
      </w:r>
      <w:r>
        <w:rPr>
          <w:spacing w:val="-15"/>
        </w:rPr>
        <w:t> </w:t>
      </w:r>
      <w:r>
        <w:rPr/>
        <w:t>2007</w:t>
      </w:r>
      <w:r>
        <w:rPr>
          <w:spacing w:val="-15"/>
        </w:rPr>
        <w:t> </w:t>
      </w:r>
      <w:r>
        <w:rPr/>
        <w:t>incluyó los</w:t>
      </w:r>
      <w:r>
        <w:rPr>
          <w:spacing w:val="-24"/>
        </w:rPr>
        <w:t> </w:t>
      </w:r>
      <w:r>
        <w:rPr/>
        <w:t>municipios</w:t>
      </w:r>
      <w:r>
        <w:rPr>
          <w:spacing w:val="-24"/>
        </w:rPr>
        <w:t> </w:t>
      </w:r>
      <w:r>
        <w:rPr/>
        <w:t>de</w:t>
      </w:r>
      <w:r>
        <w:rPr>
          <w:spacing w:val="-24"/>
        </w:rPr>
        <w:t> </w:t>
      </w:r>
      <w:r>
        <w:rPr/>
        <w:t>Pachuca</w:t>
      </w:r>
      <w:r>
        <w:rPr>
          <w:spacing w:val="-23"/>
        </w:rPr>
        <w:t> </w:t>
      </w:r>
      <w:r>
        <w:rPr/>
        <w:t>y</w:t>
      </w:r>
      <w:r>
        <w:rPr>
          <w:spacing w:val="-24"/>
        </w:rPr>
        <w:t> </w:t>
      </w:r>
      <w:r>
        <w:rPr/>
        <w:t>Mineral</w:t>
      </w:r>
      <w:r>
        <w:rPr>
          <w:spacing w:val="-23"/>
        </w:rPr>
        <w:t> </w:t>
      </w:r>
      <w:r>
        <w:rPr/>
        <w:t>de</w:t>
      </w:r>
      <w:r>
        <w:rPr>
          <w:spacing w:val="-24"/>
        </w:rPr>
        <w:t> </w:t>
      </w:r>
      <w:r>
        <w:rPr/>
        <w:t>la</w:t>
      </w:r>
      <w:r>
        <w:rPr>
          <w:spacing w:val="-24"/>
        </w:rPr>
        <w:t> </w:t>
      </w:r>
      <w:r>
        <w:rPr/>
        <w:t>Reforma;</w:t>
      </w:r>
      <w:r>
        <w:rPr>
          <w:spacing w:val="-24"/>
        </w:rPr>
        <w:t> </w:t>
      </w:r>
      <w:r>
        <w:rPr/>
        <w:t>una</w:t>
      </w:r>
      <w:r>
        <w:rPr>
          <w:spacing w:val="-24"/>
        </w:rPr>
        <w:t> </w:t>
      </w:r>
      <w:r>
        <w:rPr/>
        <w:t>segunda</w:t>
      </w:r>
      <w:r>
        <w:rPr>
          <w:spacing w:val="-23"/>
        </w:rPr>
        <w:t> </w:t>
      </w:r>
      <w:r>
        <w:rPr/>
        <w:t>etapa</w:t>
      </w:r>
      <w:r>
        <w:rPr>
          <w:spacing w:val="-24"/>
        </w:rPr>
        <w:t> </w:t>
      </w:r>
      <w:r>
        <w:rPr/>
        <w:t>en</w:t>
      </w:r>
      <w:r>
        <w:rPr>
          <w:spacing w:val="-24"/>
        </w:rPr>
        <w:t> </w:t>
      </w:r>
      <w:r>
        <w:rPr/>
        <w:t>2008 fue aplicada en Tula, Tulancingo, Tizayuca y Cuautepec; y 2) el programa</w:t>
      </w:r>
      <w:r>
        <w:rPr>
          <w:spacing w:val="-36"/>
        </w:rPr>
        <w:t> </w:t>
      </w:r>
      <w:r>
        <w:rPr/>
        <w:t>de cumplimiento de obligaciones se basó en que la Administración General de Auditoría Fiscal Federal (AGAFF) del </w:t>
      </w:r>
      <w:r>
        <w:rPr>
          <w:spacing w:val="-9"/>
        </w:rPr>
        <w:t>SAT </w:t>
      </w:r>
      <w:r>
        <w:rPr/>
        <w:t>acordara con la autoridad estatal una</w:t>
      </w:r>
      <w:r>
        <w:rPr>
          <w:spacing w:val="-17"/>
        </w:rPr>
        <w:t> </w:t>
      </w:r>
      <w:r>
        <w:rPr/>
        <w:t>relación</w:t>
      </w:r>
      <w:r>
        <w:rPr>
          <w:spacing w:val="-17"/>
        </w:rPr>
        <w:t> </w:t>
      </w:r>
      <w:r>
        <w:rPr/>
        <w:t>de</w:t>
      </w:r>
      <w:r>
        <w:rPr>
          <w:spacing w:val="-17"/>
        </w:rPr>
        <w:t> </w:t>
      </w:r>
      <w:r>
        <w:rPr/>
        <w:t>contribuyentes</w:t>
      </w:r>
      <w:r>
        <w:rPr>
          <w:spacing w:val="-17"/>
        </w:rPr>
        <w:t> </w:t>
      </w:r>
      <w:r>
        <w:rPr/>
        <w:t>para</w:t>
      </w:r>
      <w:r>
        <w:rPr>
          <w:spacing w:val="-17"/>
        </w:rPr>
        <w:t> </w:t>
      </w:r>
      <w:r>
        <w:rPr/>
        <w:t>que</w:t>
      </w:r>
      <w:r>
        <w:rPr>
          <w:spacing w:val="-17"/>
        </w:rPr>
        <w:t> </w:t>
      </w:r>
      <w:r>
        <w:rPr/>
        <w:t>ésta</w:t>
      </w:r>
      <w:r>
        <w:rPr>
          <w:spacing w:val="-17"/>
        </w:rPr>
        <w:t> </w:t>
      </w:r>
      <w:r>
        <w:rPr/>
        <w:t>última</w:t>
      </w:r>
      <w:r>
        <w:rPr>
          <w:spacing w:val="-17"/>
        </w:rPr>
        <w:t> </w:t>
      </w:r>
      <w:r>
        <w:rPr/>
        <w:t>conciliara</w:t>
      </w:r>
      <w:r>
        <w:rPr>
          <w:spacing w:val="-17"/>
        </w:rPr>
        <w:t> </w:t>
      </w:r>
      <w:r>
        <w:rPr/>
        <w:t>el</w:t>
      </w:r>
      <w:r>
        <w:rPr>
          <w:spacing w:val="-17"/>
        </w:rPr>
        <w:t> </w:t>
      </w:r>
      <w:r>
        <w:rPr/>
        <w:t>cumplimiento de las obligaciones fiscales. La Dirección General de Recaudación destaca que existían etapas planeadas para su ejecución subsecuente, las cuales ya  no fueron operadas por cambios en la estructura administrativa de la</w:t>
      </w:r>
      <w:r>
        <w:rPr>
          <w:spacing w:val="-31"/>
        </w:rPr>
        <w:t> </w:t>
      </w:r>
      <w:r>
        <w:rPr/>
        <w:t>SHCP</w:t>
      </w:r>
      <w:r>
        <w:rPr>
          <w:position w:val="8"/>
          <w:sz w:val="13"/>
        </w:rPr>
        <w:t>29</w:t>
      </w:r>
      <w:r>
        <w:rPr/>
        <w:t>.</w:t>
      </w:r>
    </w:p>
    <w:p>
      <w:pPr>
        <w:pStyle w:val="BodyText"/>
        <w:spacing w:before="7"/>
        <w:rPr>
          <w:sz w:val="22"/>
        </w:rPr>
      </w:pPr>
    </w:p>
    <w:p>
      <w:pPr>
        <w:pStyle w:val="BodyText"/>
        <w:spacing w:line="235" w:lineRule="auto" w:before="1"/>
        <w:ind w:left="117" w:right="107"/>
        <w:jc w:val="both"/>
      </w:pPr>
      <w:r>
        <w:rPr/>
        <w:t>A su vez, la Dirección General de Auditoría fiscaliza conceptos impositivos federales</w:t>
      </w:r>
      <w:r>
        <w:rPr>
          <w:spacing w:val="-14"/>
        </w:rPr>
        <w:t> </w:t>
      </w:r>
      <w:r>
        <w:rPr/>
        <w:t>y</w:t>
      </w:r>
      <w:r>
        <w:rPr>
          <w:spacing w:val="-14"/>
        </w:rPr>
        <w:t> </w:t>
      </w:r>
      <w:r>
        <w:rPr/>
        <w:t>estatales</w:t>
      </w:r>
      <w:r>
        <w:rPr>
          <w:spacing w:val="-15"/>
        </w:rPr>
        <w:t> </w:t>
      </w:r>
      <w:r>
        <w:rPr/>
        <w:t>en</w:t>
      </w:r>
      <w:r>
        <w:rPr>
          <w:spacing w:val="-14"/>
        </w:rPr>
        <w:t> </w:t>
      </w:r>
      <w:r>
        <w:rPr/>
        <w:t>proporción</w:t>
      </w:r>
      <w:r>
        <w:rPr>
          <w:spacing w:val="-14"/>
        </w:rPr>
        <w:t> </w:t>
      </w:r>
      <w:r>
        <w:rPr/>
        <w:t>50-50.</w:t>
      </w:r>
      <w:r>
        <w:rPr>
          <w:spacing w:val="-14"/>
        </w:rPr>
        <w:t> </w:t>
      </w:r>
      <w:r>
        <w:rPr/>
        <w:t>La</w:t>
      </w:r>
      <w:r>
        <w:rPr>
          <w:spacing w:val="-14"/>
        </w:rPr>
        <w:t> </w:t>
      </w:r>
      <w:r>
        <w:rPr/>
        <w:t>propuesta</w:t>
      </w:r>
      <w:r>
        <w:rPr>
          <w:spacing w:val="-14"/>
        </w:rPr>
        <w:t> </w:t>
      </w:r>
      <w:r>
        <w:rPr/>
        <w:t>de</w:t>
      </w:r>
      <w:r>
        <w:rPr>
          <w:spacing w:val="-14"/>
        </w:rPr>
        <w:t> </w:t>
      </w:r>
      <w:r>
        <w:rPr/>
        <w:t>programa</w:t>
      </w:r>
      <w:r>
        <w:rPr>
          <w:spacing w:val="-14"/>
        </w:rPr>
        <w:t> </w:t>
      </w:r>
      <w:r>
        <w:rPr/>
        <w:t>operativo anual</w:t>
      </w:r>
      <w:r>
        <w:rPr>
          <w:spacing w:val="-12"/>
        </w:rPr>
        <w:t> </w:t>
      </w:r>
      <w:r>
        <w:rPr/>
        <w:t>se</w:t>
      </w:r>
      <w:r>
        <w:rPr>
          <w:spacing w:val="-12"/>
        </w:rPr>
        <w:t> </w:t>
      </w:r>
      <w:r>
        <w:rPr/>
        <w:t>cuantifica</w:t>
      </w:r>
      <w:r>
        <w:rPr>
          <w:spacing w:val="-12"/>
        </w:rPr>
        <w:t> </w:t>
      </w:r>
      <w:r>
        <w:rPr/>
        <w:t>por</w:t>
      </w:r>
      <w:r>
        <w:rPr>
          <w:spacing w:val="-12"/>
        </w:rPr>
        <w:t> </w:t>
      </w:r>
      <w:r>
        <w:rPr/>
        <w:t>la</w:t>
      </w:r>
      <w:r>
        <w:rPr>
          <w:spacing w:val="-12"/>
        </w:rPr>
        <w:t> </w:t>
      </w:r>
      <w:r>
        <w:rPr/>
        <w:t>vía</w:t>
      </w:r>
      <w:r>
        <w:rPr>
          <w:spacing w:val="-12"/>
        </w:rPr>
        <w:t> </w:t>
      </w:r>
      <w:r>
        <w:rPr/>
        <w:t>electrónica</w:t>
      </w:r>
      <w:r>
        <w:rPr>
          <w:spacing w:val="-12"/>
        </w:rPr>
        <w:t> </w:t>
      </w:r>
      <w:r>
        <w:rPr/>
        <w:t>con</w:t>
      </w:r>
      <w:r>
        <w:rPr>
          <w:spacing w:val="-12"/>
        </w:rPr>
        <w:t> </w:t>
      </w:r>
      <w:r>
        <w:rPr/>
        <w:t>la</w:t>
      </w:r>
      <w:r>
        <w:rPr>
          <w:spacing w:val="-25"/>
        </w:rPr>
        <w:t> </w:t>
      </w:r>
      <w:r>
        <w:rPr>
          <w:spacing w:val="-4"/>
        </w:rPr>
        <w:t>AGAFF,</w:t>
      </w:r>
      <w:r>
        <w:rPr>
          <w:spacing w:val="-12"/>
        </w:rPr>
        <w:t> </w:t>
      </w:r>
      <w:r>
        <w:rPr/>
        <w:t>las</w:t>
      </w:r>
      <w:r>
        <w:rPr>
          <w:spacing w:val="-12"/>
        </w:rPr>
        <w:t> </w:t>
      </w:r>
      <w:r>
        <w:rPr/>
        <w:t>metas</w:t>
      </w:r>
      <w:r>
        <w:rPr>
          <w:spacing w:val="-12"/>
        </w:rPr>
        <w:t> </w:t>
      </w:r>
      <w:r>
        <w:rPr/>
        <w:t>2008</w:t>
      </w:r>
      <w:r>
        <w:rPr>
          <w:spacing w:val="-12"/>
        </w:rPr>
        <w:t> </w:t>
      </w:r>
      <w:r>
        <w:rPr/>
        <w:t>fueron de 486 auditorias, de 503 revisiones en 2009, y de 579 arqueos en 2010</w:t>
      </w:r>
      <w:r>
        <w:rPr>
          <w:position w:val="8"/>
          <w:sz w:val="13"/>
        </w:rPr>
        <w:t>30</w:t>
      </w:r>
      <w:r>
        <w:rPr/>
        <w:t>. En virtud</w:t>
      </w:r>
      <w:r>
        <w:rPr>
          <w:spacing w:val="-13"/>
        </w:rPr>
        <w:t> </w:t>
      </w:r>
      <w:r>
        <w:rPr/>
        <w:t>de</w:t>
      </w:r>
      <w:r>
        <w:rPr>
          <w:spacing w:val="-13"/>
        </w:rPr>
        <w:t> </w:t>
      </w:r>
      <w:r>
        <w:rPr/>
        <w:t>la</w:t>
      </w:r>
      <w:r>
        <w:rPr>
          <w:spacing w:val="-13"/>
        </w:rPr>
        <w:t> </w:t>
      </w:r>
      <w:r>
        <w:rPr/>
        <w:t>disponibilidad</w:t>
      </w:r>
      <w:r>
        <w:rPr>
          <w:spacing w:val="-13"/>
        </w:rPr>
        <w:t> </w:t>
      </w:r>
      <w:r>
        <w:rPr/>
        <w:t>y</w:t>
      </w:r>
      <w:r>
        <w:rPr>
          <w:spacing w:val="-13"/>
        </w:rPr>
        <w:t> </w:t>
      </w:r>
      <w:r>
        <w:rPr/>
        <w:t>productividad</w:t>
      </w:r>
      <w:r>
        <w:rPr>
          <w:spacing w:val="-13"/>
        </w:rPr>
        <w:t> </w:t>
      </w:r>
      <w:r>
        <w:rPr/>
        <w:t>de</w:t>
      </w:r>
      <w:r>
        <w:rPr>
          <w:spacing w:val="-13"/>
        </w:rPr>
        <w:t> </w:t>
      </w:r>
      <w:r>
        <w:rPr/>
        <w:t>los</w:t>
      </w:r>
      <w:r>
        <w:rPr>
          <w:spacing w:val="-13"/>
        </w:rPr>
        <w:t> </w:t>
      </w:r>
      <w:r>
        <w:rPr/>
        <w:t>auditores,</w:t>
      </w:r>
      <w:r>
        <w:rPr>
          <w:spacing w:val="-14"/>
        </w:rPr>
        <w:t> </w:t>
      </w:r>
      <w:r>
        <w:rPr/>
        <w:t>las</w:t>
      </w:r>
      <w:r>
        <w:rPr>
          <w:spacing w:val="-13"/>
        </w:rPr>
        <w:t> </w:t>
      </w:r>
      <w:r>
        <w:rPr/>
        <w:t>metas</w:t>
      </w:r>
      <w:r>
        <w:rPr>
          <w:spacing w:val="-13"/>
        </w:rPr>
        <w:t> </w:t>
      </w:r>
      <w:r>
        <w:rPr/>
        <w:t>han</w:t>
      </w:r>
      <w:r>
        <w:rPr>
          <w:spacing w:val="-13"/>
        </w:rPr>
        <w:t> </w:t>
      </w:r>
      <w:r>
        <w:rPr/>
        <w:t>sido rebasadas en un 157.6% para 2008, en 149.7% para 2009, y en 145.6% para 2010</w:t>
      </w:r>
      <w:r>
        <w:rPr>
          <w:position w:val="8"/>
          <w:sz w:val="13"/>
        </w:rPr>
        <w:t>31</w:t>
      </w:r>
      <w:r>
        <w:rPr/>
        <w:t>. La selección de contribuyentes a auditar se basa en un diagnóstico que se obtiene mediante el cruce de información con el nivel federal.  De  este modo, aunque se audita un porcentaje muy escaso de contribuyentes, se afirma</w:t>
      </w:r>
      <w:r>
        <w:rPr>
          <w:spacing w:val="-9"/>
        </w:rPr>
        <w:t> </w:t>
      </w:r>
      <w:r>
        <w:rPr/>
        <w:t>como</w:t>
      </w:r>
      <w:r>
        <w:rPr>
          <w:spacing w:val="-9"/>
        </w:rPr>
        <w:t> </w:t>
      </w:r>
      <w:r>
        <w:rPr/>
        <w:t>logro</w:t>
      </w:r>
      <w:r>
        <w:rPr>
          <w:spacing w:val="-9"/>
        </w:rPr>
        <w:t> </w:t>
      </w:r>
      <w:r>
        <w:rPr/>
        <w:t>un</w:t>
      </w:r>
      <w:r>
        <w:rPr>
          <w:spacing w:val="-9"/>
        </w:rPr>
        <w:t> </w:t>
      </w:r>
      <w:r>
        <w:rPr/>
        <w:t>98%</w:t>
      </w:r>
      <w:r>
        <w:rPr>
          <w:spacing w:val="-9"/>
        </w:rPr>
        <w:t> </w:t>
      </w:r>
      <w:r>
        <w:rPr/>
        <w:t>de</w:t>
      </w:r>
      <w:r>
        <w:rPr>
          <w:spacing w:val="-9"/>
        </w:rPr>
        <w:t> </w:t>
      </w:r>
      <w:r>
        <w:rPr/>
        <w:t>efectividad</w:t>
      </w:r>
      <w:r>
        <w:rPr>
          <w:spacing w:val="-9"/>
        </w:rPr>
        <w:t> </w:t>
      </w:r>
      <w:r>
        <w:rPr/>
        <w:t>en</w:t>
      </w:r>
      <w:r>
        <w:rPr>
          <w:spacing w:val="-9"/>
        </w:rPr>
        <w:t> </w:t>
      </w:r>
      <w:r>
        <w:rPr/>
        <w:t>virtud</w:t>
      </w:r>
      <w:r>
        <w:rPr>
          <w:spacing w:val="-9"/>
        </w:rPr>
        <w:t> </w:t>
      </w:r>
      <w:r>
        <w:rPr/>
        <w:t>de</w:t>
      </w:r>
      <w:r>
        <w:rPr>
          <w:spacing w:val="-9"/>
        </w:rPr>
        <w:t> </w:t>
      </w:r>
      <w:r>
        <w:rPr/>
        <w:t>que</w:t>
      </w:r>
      <w:r>
        <w:rPr>
          <w:spacing w:val="-9"/>
        </w:rPr>
        <w:t> </w:t>
      </w:r>
      <w:r>
        <w:rPr/>
        <w:t>sobre</w:t>
      </w:r>
      <w:r>
        <w:rPr>
          <w:spacing w:val="-9"/>
        </w:rPr>
        <w:t> </w:t>
      </w:r>
      <w:r>
        <w:rPr/>
        <w:t>los</w:t>
      </w:r>
      <w:r>
        <w:rPr>
          <w:spacing w:val="-9"/>
        </w:rPr>
        <w:t> </w:t>
      </w:r>
      <w:r>
        <w:rPr/>
        <w:t>auditados se ha diagnosticado previamente su grado de</w:t>
      </w:r>
      <w:r>
        <w:rPr>
          <w:spacing w:val="1"/>
        </w:rPr>
        <w:t> </w:t>
      </w:r>
      <w:r>
        <w:rPr/>
        <w:t>incumplimiento</w:t>
      </w:r>
      <w:r>
        <w:rPr>
          <w:position w:val="8"/>
          <w:sz w:val="13"/>
        </w:rPr>
        <w:t>32</w:t>
      </w:r>
      <w:r>
        <w:rPr/>
        <w:t>.</w:t>
      </w:r>
    </w:p>
    <w:p>
      <w:pPr>
        <w:pStyle w:val="BodyText"/>
        <w:rPr>
          <w:sz w:val="20"/>
        </w:rPr>
      </w:pPr>
    </w:p>
    <w:p>
      <w:pPr>
        <w:pStyle w:val="BodyText"/>
        <w:spacing w:before="10"/>
        <w:rPr>
          <w:sz w:val="26"/>
        </w:rPr>
      </w:pPr>
      <w:r>
        <w:rPr/>
        <w:pict>
          <v:line style="position:absolute;mso-position-horizontal-relative:page;mso-position-vertical-relative:paragraph;z-index:1360;mso-wrap-distance-left:0;mso-wrap-distance-right:0" from="70.866096pt,17.925772pt" to="142.866096pt,17.925772pt" stroked="true" strokeweight="1pt" strokecolor="#000000">
            <w10:wrap type="topAndBottom"/>
          </v:line>
        </w:pict>
      </w:r>
    </w:p>
    <w:p>
      <w:pPr>
        <w:spacing w:before="28"/>
        <w:ind w:left="117" w:right="0" w:firstLine="0"/>
        <w:jc w:val="left"/>
        <w:rPr>
          <w:i/>
          <w:sz w:val="18"/>
        </w:rPr>
      </w:pPr>
      <w:r>
        <w:rPr>
          <w:w w:val="105"/>
          <w:position w:val="7"/>
          <w:sz w:val="11"/>
        </w:rPr>
        <w:t>29  </w:t>
      </w:r>
      <w:r>
        <w:rPr>
          <w:i/>
          <w:w w:val="105"/>
          <w:sz w:val="18"/>
        </w:rPr>
        <w:t>Ibídem.</w:t>
      </w:r>
    </w:p>
    <w:p>
      <w:pPr>
        <w:spacing w:line="249" w:lineRule="auto" w:before="28"/>
        <w:ind w:left="344" w:right="107" w:hanging="227"/>
        <w:jc w:val="both"/>
        <w:rPr>
          <w:sz w:val="18"/>
        </w:rPr>
      </w:pPr>
      <w:r>
        <w:rPr>
          <w:position w:val="7"/>
          <w:sz w:val="11"/>
        </w:rPr>
        <w:t>30 </w:t>
      </w:r>
      <w:r>
        <w:rPr>
          <w:sz w:val="18"/>
        </w:rPr>
        <w:t>Información proporcionada por la unidad de enlace del servicio de administración tributaria, según solicitud con el número de expediente 0610100039911 del sistema INFOMEX gobierno federal, 31 de marzo del año 2011.</w:t>
      </w:r>
    </w:p>
    <w:p>
      <w:pPr>
        <w:spacing w:before="20"/>
        <w:ind w:left="117" w:right="0" w:firstLine="0"/>
        <w:jc w:val="left"/>
        <w:rPr>
          <w:i/>
          <w:sz w:val="18"/>
        </w:rPr>
      </w:pPr>
      <w:r>
        <w:rPr>
          <w:w w:val="105"/>
          <w:position w:val="7"/>
          <w:sz w:val="11"/>
        </w:rPr>
        <w:t>31  </w:t>
      </w:r>
      <w:r>
        <w:rPr>
          <w:i/>
          <w:w w:val="105"/>
          <w:sz w:val="18"/>
        </w:rPr>
        <w:t>Ibídem.</w:t>
      </w:r>
    </w:p>
    <w:p>
      <w:pPr>
        <w:spacing w:line="249" w:lineRule="auto" w:before="28"/>
        <w:ind w:left="344" w:right="108" w:hanging="227"/>
        <w:jc w:val="both"/>
        <w:rPr>
          <w:sz w:val="18"/>
        </w:rPr>
      </w:pPr>
      <w:r>
        <w:rPr>
          <w:position w:val="7"/>
          <w:sz w:val="11"/>
        </w:rPr>
        <w:t>32 </w:t>
      </w:r>
      <w:r>
        <w:rPr>
          <w:sz w:val="18"/>
        </w:rPr>
        <w:t>Información proporcionada para esta investigación en entrevista con el director general de auditoría, 29 de octubre del 2010.</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9"/>
        <w:rPr>
          <w:sz w:val="28"/>
        </w:rPr>
      </w:pPr>
    </w:p>
    <w:p>
      <w:pPr>
        <w:pStyle w:val="Heading3"/>
        <w:spacing w:before="70"/>
        <w:ind w:left="110"/>
      </w:pPr>
      <w:bookmarkStart w:name="_TOC_250032" w:id="11"/>
      <w:bookmarkEnd w:id="11"/>
      <w:r>
        <w:rPr/>
        <w:t>La evaluación divergente.</w:t>
      </w:r>
    </w:p>
    <w:p>
      <w:pPr>
        <w:pStyle w:val="BodyText"/>
        <w:spacing w:before="9"/>
        <w:rPr>
          <w:b/>
          <w:sz w:val="22"/>
        </w:rPr>
      </w:pPr>
    </w:p>
    <w:p>
      <w:pPr>
        <w:pStyle w:val="BodyText"/>
        <w:spacing w:line="260" w:lineRule="exact"/>
        <w:ind w:left="110" w:right="114"/>
        <w:jc w:val="both"/>
      </w:pPr>
      <w:r>
        <w:rPr/>
        <w:t>Como</w:t>
      </w:r>
      <w:r>
        <w:rPr>
          <w:spacing w:val="-8"/>
        </w:rPr>
        <w:t> </w:t>
      </w:r>
      <w:r>
        <w:rPr/>
        <w:t>ligera</w:t>
      </w:r>
      <w:r>
        <w:rPr>
          <w:spacing w:val="-9"/>
        </w:rPr>
        <w:t> </w:t>
      </w:r>
      <w:r>
        <w:rPr/>
        <w:t>variante</w:t>
      </w:r>
      <w:r>
        <w:rPr>
          <w:spacing w:val="-8"/>
        </w:rPr>
        <w:t> </w:t>
      </w:r>
      <w:r>
        <w:rPr/>
        <w:t>de</w:t>
      </w:r>
      <w:r>
        <w:rPr>
          <w:spacing w:val="-8"/>
        </w:rPr>
        <w:t> </w:t>
      </w:r>
      <w:r>
        <w:rPr/>
        <w:t>lo</w:t>
      </w:r>
      <w:r>
        <w:rPr>
          <w:spacing w:val="-8"/>
        </w:rPr>
        <w:t> </w:t>
      </w:r>
      <w:r>
        <w:rPr/>
        <w:t>presentado</w:t>
      </w:r>
      <w:r>
        <w:rPr>
          <w:spacing w:val="-8"/>
        </w:rPr>
        <w:t> </w:t>
      </w:r>
      <w:r>
        <w:rPr/>
        <w:t>en</w:t>
      </w:r>
      <w:r>
        <w:rPr>
          <w:spacing w:val="-8"/>
        </w:rPr>
        <w:t> </w:t>
      </w:r>
      <w:r>
        <w:rPr/>
        <w:t>el</w:t>
      </w:r>
      <w:r>
        <w:rPr>
          <w:spacing w:val="-8"/>
        </w:rPr>
        <w:t> </w:t>
      </w:r>
      <w:r>
        <w:rPr/>
        <w:t>apartado</w:t>
      </w:r>
      <w:r>
        <w:rPr>
          <w:spacing w:val="-9"/>
        </w:rPr>
        <w:t> </w:t>
      </w:r>
      <w:r>
        <w:rPr>
          <w:i/>
        </w:rPr>
        <w:t>las</w:t>
      </w:r>
      <w:r>
        <w:rPr>
          <w:i/>
          <w:spacing w:val="-8"/>
        </w:rPr>
        <w:t> </w:t>
      </w:r>
      <w:r>
        <w:rPr>
          <w:i/>
        </w:rPr>
        <w:t>tendencias</w:t>
      </w:r>
      <w:r>
        <w:rPr>
          <w:i/>
          <w:spacing w:val="-9"/>
        </w:rPr>
        <w:t> </w:t>
      </w:r>
      <w:r>
        <w:rPr>
          <w:i/>
        </w:rPr>
        <w:t>generales </w:t>
      </w:r>
      <w:r>
        <w:rPr>
          <w:i/>
        </w:rPr>
        <w:t>según</w:t>
      </w:r>
      <w:r>
        <w:rPr>
          <w:i/>
          <w:spacing w:val="-33"/>
        </w:rPr>
        <w:t> </w:t>
      </w:r>
      <w:r>
        <w:rPr>
          <w:i/>
          <w:spacing w:val="3"/>
        </w:rPr>
        <w:t>lalógica</w:t>
      </w:r>
      <w:r>
        <w:rPr>
          <w:i/>
          <w:spacing w:val="-33"/>
        </w:rPr>
        <w:t> </w:t>
      </w:r>
      <w:r>
        <w:rPr>
          <w:i/>
        </w:rPr>
        <w:t>subsidiaria</w:t>
      </w:r>
      <w:r>
        <w:rPr>
          <w:i/>
          <w:spacing w:val="-32"/>
        </w:rPr>
        <w:t> </w:t>
      </w:r>
      <w:r>
        <w:rPr/>
        <w:t>(inciso</w:t>
      </w:r>
      <w:r>
        <w:rPr>
          <w:spacing w:val="-33"/>
        </w:rPr>
        <w:t> </w:t>
      </w:r>
      <w:r>
        <w:rPr/>
        <w:t>3),</w:t>
      </w:r>
      <w:r>
        <w:rPr>
          <w:spacing w:val="-33"/>
        </w:rPr>
        <w:t> </w:t>
      </w:r>
      <w:r>
        <w:rPr/>
        <w:t>la</w:t>
      </w:r>
      <w:r>
        <w:rPr>
          <w:spacing w:val="-33"/>
        </w:rPr>
        <w:t> </w:t>
      </w:r>
      <w:r>
        <w:rPr/>
        <w:t>Dirección</w:t>
      </w:r>
      <w:r>
        <w:rPr>
          <w:spacing w:val="-32"/>
        </w:rPr>
        <w:t> </w:t>
      </w:r>
      <w:r>
        <w:rPr/>
        <w:t>General</w:t>
      </w:r>
      <w:r>
        <w:rPr>
          <w:spacing w:val="-33"/>
        </w:rPr>
        <w:t> </w:t>
      </w:r>
      <w:r>
        <w:rPr/>
        <w:t>deAuditoría</w:t>
      </w:r>
      <w:r>
        <w:rPr>
          <w:spacing w:val="-32"/>
        </w:rPr>
        <w:t> </w:t>
      </w:r>
      <w:r>
        <w:rPr/>
        <w:t>asegura que</w:t>
      </w:r>
      <w:r>
        <w:rPr>
          <w:spacing w:val="-7"/>
        </w:rPr>
        <w:t> </w:t>
      </w:r>
      <w:r>
        <w:rPr/>
        <w:t>se</w:t>
      </w:r>
      <w:r>
        <w:rPr>
          <w:spacing w:val="-7"/>
        </w:rPr>
        <w:t> </w:t>
      </w:r>
      <w:r>
        <w:rPr/>
        <w:t>tienen</w:t>
      </w:r>
      <w:r>
        <w:rPr>
          <w:spacing w:val="-7"/>
        </w:rPr>
        <w:t> </w:t>
      </w:r>
      <w:r>
        <w:rPr/>
        <w:t>reuniones</w:t>
      </w:r>
      <w:r>
        <w:rPr>
          <w:spacing w:val="-7"/>
        </w:rPr>
        <w:t> </w:t>
      </w:r>
      <w:r>
        <w:rPr/>
        <w:t>de</w:t>
      </w:r>
      <w:r>
        <w:rPr>
          <w:spacing w:val="-7"/>
        </w:rPr>
        <w:t> </w:t>
      </w:r>
      <w:r>
        <w:rPr/>
        <w:t>evaluación</w:t>
      </w:r>
      <w:r>
        <w:rPr>
          <w:spacing w:val="-8"/>
        </w:rPr>
        <w:t> </w:t>
      </w:r>
      <w:r>
        <w:rPr/>
        <w:t>en</w:t>
      </w:r>
      <w:r>
        <w:rPr>
          <w:spacing w:val="-7"/>
        </w:rPr>
        <w:t> </w:t>
      </w:r>
      <w:r>
        <w:rPr/>
        <w:t>su</w:t>
      </w:r>
      <w:r>
        <w:rPr>
          <w:spacing w:val="-7"/>
        </w:rPr>
        <w:t> </w:t>
      </w:r>
      <w:r>
        <w:rPr/>
        <w:t>materia</w:t>
      </w:r>
      <w:r>
        <w:rPr>
          <w:spacing w:val="-8"/>
        </w:rPr>
        <w:t> </w:t>
      </w:r>
      <w:r>
        <w:rPr/>
        <w:t>con</w:t>
      </w:r>
      <w:r>
        <w:rPr>
          <w:spacing w:val="-7"/>
        </w:rPr>
        <w:t> </w:t>
      </w:r>
      <w:r>
        <w:rPr/>
        <w:t>la</w:t>
      </w:r>
      <w:r>
        <w:rPr>
          <w:spacing w:val="-20"/>
        </w:rPr>
        <w:t> </w:t>
      </w:r>
      <w:r>
        <w:rPr/>
        <w:t>AGAFF</w:t>
      </w:r>
      <w:r>
        <w:rPr>
          <w:spacing w:val="-7"/>
        </w:rPr>
        <w:t> </w:t>
      </w:r>
      <w:r>
        <w:rPr/>
        <w:t>del</w:t>
      </w:r>
      <w:r>
        <w:rPr>
          <w:spacing w:val="-7"/>
        </w:rPr>
        <w:t> </w:t>
      </w:r>
      <w:r>
        <w:rPr>
          <w:spacing w:val="-5"/>
        </w:rPr>
        <w:t>SAT</w:t>
      </w:r>
      <w:r>
        <w:rPr>
          <w:spacing w:val="-5"/>
          <w:position w:val="8"/>
          <w:sz w:val="13"/>
        </w:rPr>
        <w:t>33</w:t>
      </w:r>
      <w:r>
        <w:rPr>
          <w:spacing w:val="-5"/>
        </w:rPr>
        <w:t>. </w:t>
      </w:r>
      <w:r>
        <w:rPr/>
        <w:t>Por</w:t>
      </w:r>
      <w:r>
        <w:rPr>
          <w:spacing w:val="-7"/>
        </w:rPr>
        <w:t> </w:t>
      </w:r>
      <w:r>
        <w:rPr/>
        <w:t>otro</w:t>
      </w:r>
      <w:r>
        <w:rPr>
          <w:spacing w:val="-7"/>
        </w:rPr>
        <w:t> </w:t>
      </w:r>
      <w:r>
        <w:rPr/>
        <w:t>lado,</w:t>
      </w:r>
      <w:r>
        <w:rPr>
          <w:spacing w:val="-8"/>
        </w:rPr>
        <w:t> </w:t>
      </w:r>
      <w:r>
        <w:rPr/>
        <w:t>la</w:t>
      </w:r>
      <w:r>
        <w:rPr>
          <w:spacing w:val="-7"/>
        </w:rPr>
        <w:t> </w:t>
      </w:r>
      <w:r>
        <w:rPr/>
        <w:t>Dirección</w:t>
      </w:r>
      <w:r>
        <w:rPr>
          <w:spacing w:val="-7"/>
        </w:rPr>
        <w:t> </w:t>
      </w:r>
      <w:r>
        <w:rPr/>
        <w:t>General</w:t>
      </w:r>
      <w:r>
        <w:rPr>
          <w:spacing w:val="-7"/>
        </w:rPr>
        <w:t> </w:t>
      </w:r>
      <w:r>
        <w:rPr/>
        <w:t>de</w:t>
      </w:r>
      <w:r>
        <w:rPr>
          <w:spacing w:val="-7"/>
        </w:rPr>
        <w:t> </w:t>
      </w:r>
      <w:r>
        <w:rPr/>
        <w:t>Recaudación</w:t>
      </w:r>
      <w:r>
        <w:rPr>
          <w:spacing w:val="-7"/>
        </w:rPr>
        <w:t> </w:t>
      </w:r>
      <w:r>
        <w:rPr/>
        <w:t>tiende</w:t>
      </w:r>
      <w:r>
        <w:rPr>
          <w:spacing w:val="-7"/>
        </w:rPr>
        <w:t> </w:t>
      </w:r>
      <w:r>
        <w:rPr/>
        <w:t>a</w:t>
      </w:r>
      <w:r>
        <w:rPr>
          <w:spacing w:val="-7"/>
        </w:rPr>
        <w:t> </w:t>
      </w:r>
      <w:r>
        <w:rPr/>
        <w:t>desarrollar</w:t>
      </w:r>
      <w:r>
        <w:rPr>
          <w:spacing w:val="-7"/>
        </w:rPr>
        <w:t> </w:t>
      </w:r>
      <w:r>
        <w:rPr/>
        <w:t>cierta evaluación interna y constante mediante sus reportes de avance en las metas señaladas para los CRAC. Sin embargo, las evaluaciones no necesariamente pretenden</w:t>
      </w:r>
      <w:r>
        <w:rPr>
          <w:spacing w:val="-11"/>
        </w:rPr>
        <w:t> </w:t>
      </w:r>
      <w:r>
        <w:rPr/>
        <w:t>aportar</w:t>
      </w:r>
      <w:r>
        <w:rPr>
          <w:spacing w:val="-12"/>
        </w:rPr>
        <w:t> </w:t>
      </w:r>
      <w:r>
        <w:rPr/>
        <w:t>evidencia</w:t>
      </w:r>
      <w:r>
        <w:rPr>
          <w:spacing w:val="-12"/>
        </w:rPr>
        <w:t> </w:t>
      </w:r>
      <w:r>
        <w:rPr/>
        <w:t>para</w:t>
      </w:r>
      <w:r>
        <w:rPr>
          <w:spacing w:val="-11"/>
        </w:rPr>
        <w:t> </w:t>
      </w:r>
      <w:r>
        <w:rPr/>
        <w:t>orientar</w:t>
      </w:r>
      <w:r>
        <w:rPr>
          <w:spacing w:val="-11"/>
        </w:rPr>
        <w:t> </w:t>
      </w:r>
      <w:r>
        <w:rPr/>
        <w:t>una</w:t>
      </w:r>
      <w:r>
        <w:rPr>
          <w:spacing w:val="-11"/>
        </w:rPr>
        <w:t> </w:t>
      </w:r>
      <w:r>
        <w:rPr/>
        <w:t>mayor</w:t>
      </w:r>
      <w:r>
        <w:rPr>
          <w:spacing w:val="-12"/>
        </w:rPr>
        <w:t> </w:t>
      </w:r>
      <w:r>
        <w:rPr/>
        <w:t>descentralización</w:t>
      </w:r>
      <w:r>
        <w:rPr>
          <w:spacing w:val="-11"/>
        </w:rPr>
        <w:t> </w:t>
      </w:r>
      <w:r>
        <w:rPr/>
        <w:t>de</w:t>
      </w:r>
      <w:r>
        <w:rPr>
          <w:spacing w:val="-11"/>
        </w:rPr>
        <w:t> </w:t>
      </w:r>
      <w:r>
        <w:rPr/>
        <w:t>fun- ciones fiscales, en el primer caso sólo se busca mejorar los mecanismos de auditoría y el segundo significa únicamente un control interno de las oficinas regionales.</w:t>
      </w:r>
    </w:p>
    <w:p>
      <w:pPr>
        <w:pStyle w:val="BodyText"/>
        <w:rPr>
          <w:sz w:val="22"/>
        </w:rPr>
      </w:pPr>
    </w:p>
    <w:p>
      <w:pPr>
        <w:pStyle w:val="Heading3"/>
        <w:ind w:left="110"/>
      </w:pPr>
      <w:bookmarkStart w:name="_TOC_250031" w:id="12"/>
      <w:bookmarkEnd w:id="12"/>
      <w:r>
        <w:rPr/>
        <w:t>Desempeño cuestionable con costo beneficio destacado.</w:t>
      </w:r>
    </w:p>
    <w:p>
      <w:pPr>
        <w:pStyle w:val="BodyText"/>
        <w:spacing w:before="6"/>
        <w:rPr>
          <w:b/>
          <w:sz w:val="22"/>
        </w:rPr>
      </w:pPr>
    </w:p>
    <w:p>
      <w:pPr>
        <w:pStyle w:val="BodyText"/>
        <w:spacing w:line="235" w:lineRule="auto" w:before="1"/>
        <w:ind w:left="110" w:right="114"/>
        <w:jc w:val="both"/>
      </w:pPr>
      <w:r>
        <w:rPr/>
        <w:t>Por</w:t>
      </w:r>
      <w:r>
        <w:rPr>
          <w:spacing w:val="-21"/>
        </w:rPr>
        <w:t> </w:t>
      </w:r>
      <w:r>
        <w:rPr/>
        <w:t>relacionarse</w:t>
      </w:r>
      <w:r>
        <w:rPr>
          <w:spacing w:val="-21"/>
        </w:rPr>
        <w:t> </w:t>
      </w:r>
      <w:r>
        <w:rPr/>
        <w:t>ampliamente</w:t>
      </w:r>
      <w:r>
        <w:rPr>
          <w:spacing w:val="-22"/>
        </w:rPr>
        <w:t> </w:t>
      </w:r>
      <w:r>
        <w:rPr/>
        <w:t>con</w:t>
      </w:r>
      <w:r>
        <w:rPr>
          <w:spacing w:val="-22"/>
        </w:rPr>
        <w:t> </w:t>
      </w:r>
      <w:r>
        <w:rPr/>
        <w:t>la</w:t>
      </w:r>
      <w:r>
        <w:rPr>
          <w:spacing w:val="-21"/>
        </w:rPr>
        <w:t> </w:t>
      </w:r>
      <w:r>
        <w:rPr/>
        <w:t>perspectiva</w:t>
      </w:r>
      <w:r>
        <w:rPr>
          <w:spacing w:val="-21"/>
        </w:rPr>
        <w:t> </w:t>
      </w:r>
      <w:r>
        <w:rPr/>
        <w:t>de</w:t>
      </w:r>
      <w:r>
        <w:rPr>
          <w:spacing w:val="-21"/>
        </w:rPr>
        <w:t> </w:t>
      </w:r>
      <w:r>
        <w:rPr/>
        <w:t>este</w:t>
      </w:r>
      <w:r>
        <w:rPr>
          <w:spacing w:val="-22"/>
        </w:rPr>
        <w:t> </w:t>
      </w:r>
      <w:r>
        <w:rPr/>
        <w:t>elemento,</w:t>
      </w:r>
      <w:r>
        <w:rPr>
          <w:spacing w:val="-22"/>
        </w:rPr>
        <w:t> </w:t>
      </w:r>
      <w:r>
        <w:rPr/>
        <w:t>y</w:t>
      </w:r>
      <w:r>
        <w:rPr>
          <w:spacing w:val="-21"/>
        </w:rPr>
        <w:t> </w:t>
      </w:r>
      <w:r>
        <w:rPr/>
        <w:t>en</w:t>
      </w:r>
      <w:r>
        <w:rPr>
          <w:spacing w:val="-22"/>
        </w:rPr>
        <w:t> </w:t>
      </w:r>
      <w:r>
        <w:rPr/>
        <w:t>función de los registros existentes, a continuación se presentan datos estadísticos sobre la efectividad estatal en la operación de los programas relativos a los convenios de colaboración administrativa durante el periodo 2000-2006. La tendencia de la Presencia Fiscal</w:t>
      </w:r>
      <w:r>
        <w:rPr>
          <w:position w:val="8"/>
          <w:sz w:val="13"/>
        </w:rPr>
        <w:t>34 </w:t>
      </w:r>
      <w:r>
        <w:rPr/>
        <w:t>Estatal (PFE), según la gráfica </w:t>
      </w:r>
      <w:r>
        <w:rPr>
          <w:i/>
        </w:rPr>
        <w:t>“Presencia </w:t>
      </w:r>
      <w:r>
        <w:rPr>
          <w:i/>
        </w:rPr>
        <w:t>fiscal” </w:t>
      </w:r>
      <w:r>
        <w:rPr/>
        <w:t>que se ubica en los anexos del capítulo I, señala una cobertura muy estable entre los años del periodo, con un ascenso inicial entre 2000 y 2002</w:t>
      </w:r>
      <w:r>
        <w:rPr>
          <w:spacing w:val="-17"/>
        </w:rPr>
        <w:t> </w:t>
      </w:r>
      <w:r>
        <w:rPr/>
        <w:t>y un descenso brusco entre los años 2003 y 2004, el promedio 2000-2006 es</w:t>
      </w:r>
      <w:r>
        <w:rPr>
          <w:spacing w:val="-39"/>
        </w:rPr>
        <w:t> </w:t>
      </w:r>
      <w:r>
        <w:rPr/>
        <w:t>de 0.94,</w:t>
      </w:r>
      <w:r>
        <w:rPr>
          <w:spacing w:val="-11"/>
        </w:rPr>
        <w:t> </w:t>
      </w:r>
      <w:r>
        <w:rPr/>
        <w:t>lo</w:t>
      </w:r>
      <w:r>
        <w:rPr>
          <w:spacing w:val="-11"/>
        </w:rPr>
        <w:t> </w:t>
      </w:r>
      <w:r>
        <w:rPr/>
        <w:t>cual</w:t>
      </w:r>
      <w:r>
        <w:rPr>
          <w:spacing w:val="-11"/>
        </w:rPr>
        <w:t> </w:t>
      </w:r>
      <w:r>
        <w:rPr/>
        <w:t>coloca</w:t>
      </w:r>
      <w:r>
        <w:rPr>
          <w:spacing w:val="-11"/>
        </w:rPr>
        <w:t> </w:t>
      </w:r>
      <w:r>
        <w:rPr/>
        <w:t>a</w:t>
      </w:r>
      <w:r>
        <w:rPr>
          <w:spacing w:val="-11"/>
        </w:rPr>
        <w:t> </w:t>
      </w:r>
      <w:r>
        <w:rPr/>
        <w:t>la</w:t>
      </w:r>
      <w:r>
        <w:rPr>
          <w:spacing w:val="-11"/>
        </w:rPr>
        <w:t> </w:t>
      </w:r>
      <w:r>
        <w:rPr/>
        <w:t>entidad</w:t>
      </w:r>
      <w:r>
        <w:rPr>
          <w:spacing w:val="-11"/>
        </w:rPr>
        <w:t> </w:t>
      </w:r>
      <w:r>
        <w:rPr/>
        <w:t>en</w:t>
      </w:r>
      <w:r>
        <w:rPr>
          <w:spacing w:val="-11"/>
        </w:rPr>
        <w:t> </w:t>
      </w:r>
      <w:r>
        <w:rPr/>
        <w:t>el</w:t>
      </w:r>
      <w:r>
        <w:rPr>
          <w:spacing w:val="-11"/>
        </w:rPr>
        <w:t> </w:t>
      </w:r>
      <w:r>
        <w:rPr/>
        <w:t>vigésimo</w:t>
      </w:r>
      <w:r>
        <w:rPr>
          <w:spacing w:val="-11"/>
        </w:rPr>
        <w:t> </w:t>
      </w:r>
      <w:r>
        <w:rPr/>
        <w:t>primer</w:t>
      </w:r>
      <w:r>
        <w:rPr>
          <w:spacing w:val="-11"/>
        </w:rPr>
        <w:t> </w:t>
      </w:r>
      <w:r>
        <w:rPr/>
        <w:t>lugar</w:t>
      </w:r>
      <w:r>
        <w:rPr>
          <w:spacing w:val="-11"/>
        </w:rPr>
        <w:t> </w:t>
      </w:r>
      <w:r>
        <w:rPr/>
        <w:t>de</w:t>
      </w:r>
      <w:r>
        <w:rPr>
          <w:spacing w:val="-11"/>
        </w:rPr>
        <w:t> </w:t>
      </w:r>
      <w:r>
        <w:rPr/>
        <w:t>importancia</w:t>
      </w:r>
      <w:r>
        <w:rPr>
          <w:spacing w:val="-12"/>
        </w:rPr>
        <w:t> </w:t>
      </w:r>
      <w:r>
        <w:rPr/>
        <w:t>en la</w:t>
      </w:r>
      <w:r>
        <w:rPr>
          <w:spacing w:val="-8"/>
        </w:rPr>
        <w:t> </w:t>
      </w:r>
      <w:r>
        <w:rPr/>
        <w:t>materia.</w:t>
      </w:r>
      <w:r>
        <w:rPr>
          <w:spacing w:val="-8"/>
        </w:rPr>
        <w:t> </w:t>
      </w:r>
      <w:r>
        <w:rPr/>
        <w:t>La</w:t>
      </w:r>
      <w:r>
        <w:rPr>
          <w:spacing w:val="-8"/>
        </w:rPr>
        <w:t> </w:t>
      </w:r>
      <w:r>
        <w:rPr/>
        <w:t>PFE</w:t>
      </w:r>
      <w:r>
        <w:rPr>
          <w:spacing w:val="-8"/>
        </w:rPr>
        <w:t> </w:t>
      </w:r>
      <w:r>
        <w:rPr/>
        <w:t>ha</w:t>
      </w:r>
      <w:r>
        <w:rPr>
          <w:spacing w:val="-8"/>
        </w:rPr>
        <w:t> </w:t>
      </w:r>
      <w:r>
        <w:rPr/>
        <w:t>sido</w:t>
      </w:r>
      <w:r>
        <w:rPr>
          <w:spacing w:val="-8"/>
        </w:rPr>
        <w:t> </w:t>
      </w:r>
      <w:r>
        <w:rPr/>
        <w:t>ligeramente</w:t>
      </w:r>
      <w:r>
        <w:rPr>
          <w:spacing w:val="-9"/>
        </w:rPr>
        <w:t> </w:t>
      </w:r>
      <w:r>
        <w:rPr/>
        <w:t>superior</w:t>
      </w:r>
      <w:r>
        <w:rPr>
          <w:spacing w:val="-8"/>
        </w:rPr>
        <w:t> </w:t>
      </w:r>
      <w:r>
        <w:rPr/>
        <w:t>a</w:t>
      </w:r>
      <w:r>
        <w:rPr>
          <w:spacing w:val="-8"/>
        </w:rPr>
        <w:t> </w:t>
      </w:r>
      <w:r>
        <w:rPr/>
        <w:t>la</w:t>
      </w:r>
      <w:r>
        <w:rPr>
          <w:spacing w:val="-8"/>
        </w:rPr>
        <w:t> </w:t>
      </w:r>
      <w:r>
        <w:rPr/>
        <w:t>media</w:t>
      </w:r>
      <w:r>
        <w:rPr>
          <w:spacing w:val="-8"/>
        </w:rPr>
        <w:t> </w:t>
      </w:r>
      <w:r>
        <w:rPr/>
        <w:t>nacional</w:t>
      </w:r>
      <w:r>
        <w:rPr>
          <w:spacing w:val="-8"/>
        </w:rPr>
        <w:t> </w:t>
      </w:r>
      <w:r>
        <w:rPr/>
        <w:t>(MN).</w:t>
      </w:r>
      <w:r>
        <w:rPr>
          <w:spacing w:val="-8"/>
        </w:rPr>
        <w:t> </w:t>
      </w:r>
      <w:r>
        <w:rPr/>
        <w:t>La Presencia</w:t>
      </w:r>
      <w:r>
        <w:rPr>
          <w:spacing w:val="-4"/>
        </w:rPr>
        <w:t> </w:t>
      </w:r>
      <w:r>
        <w:rPr/>
        <w:t>Fiscal</w:t>
      </w:r>
      <w:r>
        <w:rPr>
          <w:spacing w:val="-5"/>
        </w:rPr>
        <w:t> </w:t>
      </w:r>
      <w:r>
        <w:rPr/>
        <w:t>Federal</w:t>
      </w:r>
      <w:r>
        <w:rPr>
          <w:spacing w:val="-4"/>
        </w:rPr>
        <w:t> </w:t>
      </w:r>
      <w:r>
        <w:rPr/>
        <w:t>(PFF)</w:t>
      </w:r>
      <w:r>
        <w:rPr>
          <w:spacing w:val="-5"/>
        </w:rPr>
        <w:t> </w:t>
      </w:r>
      <w:r>
        <w:rPr/>
        <w:t>se</w:t>
      </w:r>
      <w:r>
        <w:rPr>
          <w:spacing w:val="-5"/>
        </w:rPr>
        <w:t> </w:t>
      </w:r>
      <w:r>
        <w:rPr/>
        <w:t>mantuvo</w:t>
      </w:r>
      <w:r>
        <w:rPr>
          <w:spacing w:val="-5"/>
        </w:rPr>
        <w:t> </w:t>
      </w:r>
      <w:r>
        <w:rPr/>
        <w:t>a</w:t>
      </w:r>
      <w:r>
        <w:rPr>
          <w:spacing w:val="-5"/>
        </w:rPr>
        <w:t> </w:t>
      </w:r>
      <w:r>
        <w:rPr/>
        <w:t>la</w:t>
      </w:r>
      <w:r>
        <w:rPr>
          <w:spacing w:val="-5"/>
        </w:rPr>
        <w:t> </w:t>
      </w:r>
      <w:r>
        <w:rPr/>
        <w:t>par</w:t>
      </w:r>
      <w:r>
        <w:rPr>
          <w:spacing w:val="-5"/>
        </w:rPr>
        <w:t> </w:t>
      </w:r>
      <w:r>
        <w:rPr/>
        <w:t>de</w:t>
      </w:r>
      <w:r>
        <w:rPr>
          <w:spacing w:val="-5"/>
        </w:rPr>
        <w:t> </w:t>
      </w:r>
      <w:r>
        <w:rPr/>
        <w:t>la</w:t>
      </w:r>
      <w:r>
        <w:rPr>
          <w:spacing w:val="-5"/>
        </w:rPr>
        <w:t> </w:t>
      </w:r>
      <w:r>
        <w:rPr/>
        <w:t>estatal,</w:t>
      </w:r>
      <w:r>
        <w:rPr>
          <w:spacing w:val="-5"/>
        </w:rPr>
        <w:t> </w:t>
      </w:r>
      <w:r>
        <w:rPr/>
        <w:t>sin</w:t>
      </w:r>
      <w:r>
        <w:rPr>
          <w:spacing w:val="-5"/>
        </w:rPr>
        <w:t> </w:t>
      </w:r>
      <w:r>
        <w:rPr/>
        <w:t>embargo, en 2006 pasó a duplicar el valor de la</w:t>
      </w:r>
      <w:r>
        <w:rPr>
          <w:spacing w:val="2"/>
        </w:rPr>
        <w:t> </w:t>
      </w:r>
      <w:r>
        <w:rPr/>
        <w:t>última</w:t>
      </w:r>
      <w:r>
        <w:rPr>
          <w:position w:val="8"/>
          <w:sz w:val="13"/>
        </w:rPr>
        <w:t>35</w:t>
      </w:r>
      <w:r>
        <w:rPr/>
        <w:t>.</w:t>
      </w:r>
    </w:p>
    <w:p>
      <w:pPr>
        <w:pStyle w:val="BodyText"/>
        <w:spacing w:before="10"/>
        <w:rPr>
          <w:sz w:val="22"/>
        </w:rPr>
      </w:pPr>
    </w:p>
    <w:p>
      <w:pPr>
        <w:pStyle w:val="BodyText"/>
        <w:spacing w:line="260" w:lineRule="exact"/>
        <w:ind w:left="110" w:right="114" w:hanging="1"/>
        <w:jc w:val="both"/>
      </w:pPr>
      <w:r>
        <w:rPr/>
        <w:pict>
          <v:line style="position:absolute;mso-position-horizontal-relative:page;mso-position-vertical-relative:paragraph;z-index:1384;mso-wrap-distance-left:0;mso-wrap-distance-right:0" from="42.519699pt,68.446404pt" to="114.519699pt,68.446404pt" stroked="true" strokeweight="1pt" strokecolor="#000000">
            <w10:wrap type="topAndBottom"/>
          </v:line>
        </w:pict>
      </w:r>
      <w:r>
        <w:rPr/>
        <w:t>La tendencia del costo beneficio</w:t>
      </w:r>
      <w:r>
        <w:rPr>
          <w:position w:val="8"/>
          <w:sz w:val="13"/>
        </w:rPr>
        <w:t>36 </w:t>
      </w:r>
      <w:r>
        <w:rPr/>
        <w:t>estatal (CBE), según la gráfica </w:t>
      </w:r>
      <w:r>
        <w:rPr>
          <w:i/>
        </w:rPr>
        <w:t>“Costo </w:t>
      </w:r>
      <w:r>
        <w:rPr>
          <w:i/>
        </w:rPr>
        <w:t>beneficio”</w:t>
      </w:r>
      <w:r>
        <w:rPr>
          <w:i/>
          <w:spacing w:val="-8"/>
        </w:rPr>
        <w:t> </w:t>
      </w:r>
      <w:r>
        <w:rPr/>
        <w:t>(anexos</w:t>
      </w:r>
      <w:r>
        <w:rPr>
          <w:spacing w:val="-8"/>
        </w:rPr>
        <w:t> </w:t>
      </w:r>
      <w:r>
        <w:rPr/>
        <w:t>capítulo</w:t>
      </w:r>
      <w:r>
        <w:rPr>
          <w:spacing w:val="-8"/>
        </w:rPr>
        <w:t> </w:t>
      </w:r>
      <w:r>
        <w:rPr/>
        <w:t>I),</w:t>
      </w:r>
      <w:r>
        <w:rPr>
          <w:spacing w:val="-8"/>
        </w:rPr>
        <w:t> </w:t>
      </w:r>
      <w:r>
        <w:rPr/>
        <w:t>señala</w:t>
      </w:r>
      <w:r>
        <w:rPr>
          <w:spacing w:val="-7"/>
        </w:rPr>
        <w:t> </w:t>
      </w:r>
      <w:r>
        <w:rPr/>
        <w:t>un</w:t>
      </w:r>
      <w:r>
        <w:rPr>
          <w:spacing w:val="-8"/>
        </w:rPr>
        <w:t> </w:t>
      </w:r>
      <w:r>
        <w:rPr/>
        <w:t>rendimiento</w:t>
      </w:r>
      <w:r>
        <w:rPr>
          <w:spacing w:val="-8"/>
        </w:rPr>
        <w:t> </w:t>
      </w:r>
      <w:r>
        <w:rPr/>
        <w:t>descendente</w:t>
      </w:r>
      <w:r>
        <w:rPr>
          <w:spacing w:val="-8"/>
        </w:rPr>
        <w:t> </w:t>
      </w:r>
      <w:r>
        <w:rPr/>
        <w:t>2000-2001 y ascendente hacia el 2006, el promedio 2000-2006 es de doce pesos 91/100 ($ 12.91), lo cual coloca a la entidad en el sexto lugar de importancia en la materia.</w:t>
      </w:r>
      <w:r>
        <w:rPr>
          <w:spacing w:val="-4"/>
        </w:rPr>
        <w:t> </w:t>
      </w:r>
      <w:r>
        <w:rPr/>
        <w:t>El</w:t>
      </w:r>
      <w:r>
        <w:rPr>
          <w:spacing w:val="-4"/>
        </w:rPr>
        <w:t> </w:t>
      </w:r>
      <w:r>
        <w:rPr/>
        <w:t>CBE</w:t>
      </w:r>
      <w:r>
        <w:rPr>
          <w:spacing w:val="-4"/>
        </w:rPr>
        <w:t> </w:t>
      </w:r>
      <w:r>
        <w:rPr/>
        <w:t>ha</w:t>
      </w:r>
      <w:r>
        <w:rPr>
          <w:spacing w:val="-4"/>
        </w:rPr>
        <w:t> </w:t>
      </w:r>
      <w:r>
        <w:rPr/>
        <w:t>sido</w:t>
      </w:r>
      <w:r>
        <w:rPr>
          <w:spacing w:val="-4"/>
        </w:rPr>
        <w:t> </w:t>
      </w:r>
      <w:r>
        <w:rPr/>
        <w:t>superior</w:t>
      </w:r>
      <w:r>
        <w:rPr>
          <w:spacing w:val="-4"/>
        </w:rPr>
        <w:t> </w:t>
      </w:r>
      <w:r>
        <w:rPr/>
        <w:t>a</w:t>
      </w:r>
      <w:r>
        <w:rPr>
          <w:spacing w:val="-4"/>
        </w:rPr>
        <w:t> </w:t>
      </w:r>
      <w:r>
        <w:rPr/>
        <w:t>la</w:t>
      </w:r>
      <w:r>
        <w:rPr>
          <w:spacing w:val="-4"/>
        </w:rPr>
        <w:t> </w:t>
      </w:r>
      <w:r>
        <w:rPr/>
        <w:t>MN</w:t>
      </w:r>
      <w:r>
        <w:rPr>
          <w:spacing w:val="-4"/>
        </w:rPr>
        <w:t> </w:t>
      </w:r>
      <w:r>
        <w:rPr/>
        <w:t>a</w:t>
      </w:r>
      <w:r>
        <w:rPr>
          <w:spacing w:val="-4"/>
        </w:rPr>
        <w:t> </w:t>
      </w:r>
      <w:r>
        <w:rPr/>
        <w:t>razón</w:t>
      </w:r>
      <w:r>
        <w:rPr>
          <w:spacing w:val="-4"/>
        </w:rPr>
        <w:t> </w:t>
      </w:r>
      <w:r>
        <w:rPr/>
        <w:t>de</w:t>
      </w:r>
      <w:r>
        <w:rPr>
          <w:spacing w:val="-4"/>
        </w:rPr>
        <w:t> </w:t>
      </w:r>
      <w:r>
        <w:rPr/>
        <w:t>2</w:t>
      </w:r>
      <w:r>
        <w:rPr>
          <w:spacing w:val="-4"/>
        </w:rPr>
        <w:t> </w:t>
      </w:r>
      <w:r>
        <w:rPr/>
        <w:t>a</w:t>
      </w:r>
      <w:r>
        <w:rPr>
          <w:spacing w:val="-4"/>
        </w:rPr>
        <w:t> </w:t>
      </w:r>
      <w:r>
        <w:rPr/>
        <w:t>1.</w:t>
      </w:r>
      <w:r>
        <w:rPr>
          <w:spacing w:val="-4"/>
        </w:rPr>
        <w:t> </w:t>
      </w:r>
      <w:r>
        <w:rPr/>
        <w:t>El</w:t>
      </w:r>
      <w:r>
        <w:rPr>
          <w:spacing w:val="-4"/>
        </w:rPr>
        <w:t> </w:t>
      </w:r>
      <w:r>
        <w:rPr/>
        <w:t>costo</w:t>
      </w:r>
      <w:r>
        <w:rPr>
          <w:spacing w:val="-4"/>
        </w:rPr>
        <w:t> </w:t>
      </w:r>
      <w:r>
        <w:rPr/>
        <w:t>beneficio</w:t>
      </w:r>
    </w:p>
    <w:p>
      <w:pPr>
        <w:spacing w:before="28"/>
        <w:ind w:left="110" w:right="0" w:firstLine="0"/>
        <w:jc w:val="both"/>
        <w:rPr>
          <w:i/>
          <w:sz w:val="18"/>
        </w:rPr>
      </w:pPr>
      <w:r>
        <w:rPr>
          <w:w w:val="105"/>
          <w:position w:val="7"/>
          <w:sz w:val="11"/>
        </w:rPr>
        <w:t>33  </w:t>
      </w:r>
      <w:r>
        <w:rPr>
          <w:i/>
          <w:w w:val="105"/>
          <w:sz w:val="18"/>
        </w:rPr>
        <w:t>Ibídem.</w:t>
      </w:r>
    </w:p>
    <w:p>
      <w:pPr>
        <w:spacing w:line="249" w:lineRule="auto" w:before="28"/>
        <w:ind w:left="337" w:right="0" w:hanging="227"/>
        <w:jc w:val="left"/>
        <w:rPr>
          <w:sz w:val="18"/>
        </w:rPr>
      </w:pPr>
      <w:r>
        <w:rPr>
          <w:position w:val="7"/>
          <w:sz w:val="11"/>
        </w:rPr>
        <w:t>34 </w:t>
      </w:r>
      <w:r>
        <w:rPr>
          <w:sz w:val="18"/>
        </w:rPr>
        <w:t>La presencia fiscal corresponde al porcentaje del universo estatal de contribuyentes al cual se le realizaron revisiones durante un ejercicio fiscal.</w:t>
      </w:r>
    </w:p>
    <w:p>
      <w:pPr>
        <w:spacing w:line="249" w:lineRule="auto" w:before="20"/>
        <w:ind w:left="337" w:right="115" w:hanging="227"/>
        <w:jc w:val="both"/>
        <w:rPr>
          <w:sz w:val="18"/>
        </w:rPr>
      </w:pPr>
      <w:r>
        <w:rPr>
          <w:position w:val="7"/>
          <w:sz w:val="11"/>
        </w:rPr>
        <w:t>35 </w:t>
      </w:r>
      <w:r>
        <w:rPr>
          <w:sz w:val="18"/>
        </w:rPr>
        <w:t>Secretaría de Hacienda y Crédito Público, unidad de coordinación con entidades federativas; </w:t>
      </w:r>
      <w:r>
        <w:rPr>
          <w:i/>
          <w:sz w:val="18"/>
        </w:rPr>
        <w:t>diagnóstico integral de la situación actual de las haciendas públicas estatales y municipales, </w:t>
      </w:r>
      <w:r>
        <w:rPr>
          <w:sz w:val="18"/>
        </w:rPr>
        <w:t>2007, pp. 86.</w:t>
      </w:r>
    </w:p>
    <w:p>
      <w:pPr>
        <w:spacing w:before="20"/>
        <w:ind w:left="110" w:right="0" w:firstLine="0"/>
        <w:jc w:val="both"/>
        <w:rPr>
          <w:sz w:val="18"/>
        </w:rPr>
      </w:pPr>
      <w:r>
        <w:rPr>
          <w:position w:val="7"/>
          <w:sz w:val="11"/>
        </w:rPr>
        <w:t>36    </w:t>
      </w:r>
      <w:r>
        <w:rPr>
          <w:sz w:val="18"/>
        </w:rPr>
        <w:t>El costo beneficio es el monto recuperado por cada peso invertido en revisiones.</w:t>
      </w:r>
    </w:p>
    <w:p>
      <w:pPr>
        <w:spacing w:after="0"/>
        <w:jc w:val="both"/>
        <w:rPr>
          <w:sz w:val="18"/>
        </w:rPr>
        <w:sectPr>
          <w:pgSz w:w="9360" w:h="13040"/>
          <w:pgMar w:header="527" w:footer="514" w:top="720" w:bottom="700" w:left="740" w:right="1300"/>
        </w:sectPr>
      </w:pPr>
    </w:p>
    <w:p>
      <w:pPr>
        <w:pStyle w:val="BodyText"/>
        <w:spacing w:before="11"/>
        <w:rPr>
          <w:sz w:val="29"/>
        </w:rPr>
      </w:pPr>
    </w:p>
    <w:p>
      <w:pPr>
        <w:pStyle w:val="BodyText"/>
        <w:spacing w:line="260" w:lineRule="exact" w:before="77"/>
        <w:ind w:left="117" w:right="108"/>
        <w:jc w:val="both"/>
      </w:pPr>
      <w:r>
        <w:rPr/>
        <w:t>federal (CBF) inició por debajo del estatal en 2003-2004, para superarle en 2005-2006</w:t>
      </w:r>
      <w:r>
        <w:rPr>
          <w:position w:val="8"/>
          <w:sz w:val="13"/>
        </w:rPr>
        <w:t>37</w:t>
      </w:r>
      <w:r>
        <w:rPr/>
        <w:t>. La federación cobró mayores cifras más virtuales que el estado en</w:t>
      </w:r>
      <w:r>
        <w:rPr>
          <w:spacing w:val="-20"/>
        </w:rPr>
        <w:t> </w:t>
      </w:r>
      <w:r>
        <w:rPr/>
        <w:t>el</w:t>
      </w:r>
      <w:r>
        <w:rPr>
          <w:spacing w:val="-20"/>
        </w:rPr>
        <w:t> </w:t>
      </w:r>
      <w:r>
        <w:rPr/>
        <w:t>mismo</w:t>
      </w:r>
      <w:r>
        <w:rPr>
          <w:spacing w:val="-20"/>
        </w:rPr>
        <w:t> </w:t>
      </w:r>
      <w:r>
        <w:rPr/>
        <w:t>periodo,</w:t>
      </w:r>
      <w:r>
        <w:rPr>
          <w:spacing w:val="-20"/>
        </w:rPr>
        <w:t> </w:t>
      </w:r>
      <w:r>
        <w:rPr/>
        <w:t>la</w:t>
      </w:r>
      <w:r>
        <w:rPr>
          <w:spacing w:val="-20"/>
        </w:rPr>
        <w:t> </w:t>
      </w:r>
      <w:r>
        <w:rPr/>
        <w:t>tendencia</w:t>
      </w:r>
      <w:r>
        <w:rPr>
          <w:spacing w:val="-20"/>
        </w:rPr>
        <w:t> </w:t>
      </w:r>
      <w:r>
        <w:rPr/>
        <w:t>del</w:t>
      </w:r>
      <w:r>
        <w:rPr>
          <w:spacing w:val="-20"/>
        </w:rPr>
        <w:t> </w:t>
      </w:r>
      <w:r>
        <w:rPr/>
        <w:t>último</w:t>
      </w:r>
      <w:r>
        <w:rPr>
          <w:spacing w:val="-20"/>
        </w:rPr>
        <w:t> </w:t>
      </w:r>
      <w:r>
        <w:rPr/>
        <w:t>es</w:t>
      </w:r>
      <w:r>
        <w:rPr>
          <w:spacing w:val="-20"/>
        </w:rPr>
        <w:t> </w:t>
      </w:r>
      <w:r>
        <w:rPr/>
        <w:t>muy</w:t>
      </w:r>
      <w:r>
        <w:rPr>
          <w:spacing w:val="-20"/>
        </w:rPr>
        <w:t> </w:t>
      </w:r>
      <w:r>
        <w:rPr/>
        <w:t>estable,</w:t>
      </w:r>
      <w:r>
        <w:rPr>
          <w:spacing w:val="-20"/>
        </w:rPr>
        <w:t> </w:t>
      </w:r>
      <w:r>
        <w:rPr/>
        <w:t>las</w:t>
      </w:r>
      <w:r>
        <w:rPr>
          <w:spacing w:val="-20"/>
        </w:rPr>
        <w:t> </w:t>
      </w:r>
      <w:r>
        <w:rPr/>
        <w:t>cifras</w:t>
      </w:r>
      <w:r>
        <w:rPr>
          <w:spacing w:val="-20"/>
        </w:rPr>
        <w:t> </w:t>
      </w:r>
      <w:r>
        <w:rPr/>
        <w:t>federales con</w:t>
      </w:r>
      <w:r>
        <w:rPr>
          <w:spacing w:val="-11"/>
        </w:rPr>
        <w:t> </w:t>
      </w:r>
      <w:r>
        <w:rPr/>
        <w:t>respecto</w:t>
      </w:r>
      <w:r>
        <w:rPr>
          <w:spacing w:val="-11"/>
        </w:rPr>
        <w:t> </w:t>
      </w:r>
      <w:r>
        <w:rPr/>
        <w:t>a</w:t>
      </w:r>
      <w:r>
        <w:rPr>
          <w:spacing w:val="-11"/>
        </w:rPr>
        <w:t> </w:t>
      </w:r>
      <w:r>
        <w:rPr/>
        <w:t>las</w:t>
      </w:r>
      <w:r>
        <w:rPr>
          <w:spacing w:val="-11"/>
        </w:rPr>
        <w:t> </w:t>
      </w:r>
      <w:r>
        <w:rPr/>
        <w:t>estatales</w:t>
      </w:r>
      <w:r>
        <w:rPr>
          <w:spacing w:val="-12"/>
        </w:rPr>
        <w:t> </w:t>
      </w:r>
      <w:r>
        <w:rPr/>
        <w:t>pasaron</w:t>
      </w:r>
      <w:r>
        <w:rPr>
          <w:spacing w:val="-11"/>
        </w:rPr>
        <w:t> </w:t>
      </w:r>
      <w:r>
        <w:rPr/>
        <w:t>de</w:t>
      </w:r>
      <w:r>
        <w:rPr>
          <w:spacing w:val="-11"/>
        </w:rPr>
        <w:t> </w:t>
      </w:r>
      <w:r>
        <w:rPr/>
        <w:t>ser</w:t>
      </w:r>
      <w:r>
        <w:rPr>
          <w:spacing w:val="-11"/>
        </w:rPr>
        <w:t> </w:t>
      </w:r>
      <w:r>
        <w:rPr/>
        <w:t>prácticamente</w:t>
      </w:r>
      <w:r>
        <w:rPr>
          <w:spacing w:val="-11"/>
        </w:rPr>
        <w:t> </w:t>
      </w:r>
      <w:r>
        <w:rPr/>
        <w:t>las</w:t>
      </w:r>
      <w:r>
        <w:rPr>
          <w:spacing w:val="-11"/>
        </w:rPr>
        <w:t> </w:t>
      </w:r>
      <w:r>
        <w:rPr/>
        <w:t>mismas</w:t>
      </w:r>
      <w:r>
        <w:rPr>
          <w:spacing w:val="-11"/>
        </w:rPr>
        <w:t> </w:t>
      </w:r>
      <w:r>
        <w:rPr/>
        <w:t>en</w:t>
      </w:r>
      <w:r>
        <w:rPr>
          <w:spacing w:val="-11"/>
        </w:rPr>
        <w:t> </w:t>
      </w:r>
      <w:r>
        <w:rPr/>
        <w:t>2003</w:t>
      </w:r>
      <w:r>
        <w:rPr>
          <w:spacing w:val="-11"/>
        </w:rPr>
        <w:t> </w:t>
      </w:r>
      <w:r>
        <w:rPr/>
        <w:t>a</w:t>
      </w:r>
    </w:p>
    <w:p>
      <w:pPr>
        <w:pStyle w:val="ListParagraph"/>
        <w:numPr>
          <w:ilvl w:val="1"/>
          <w:numId w:val="4"/>
        </w:numPr>
        <w:tabs>
          <w:tab w:pos="449" w:val="left" w:leader="none"/>
        </w:tabs>
        <w:spacing w:line="235" w:lineRule="auto" w:before="0" w:after="0"/>
        <w:ind w:left="117" w:right="107" w:firstLine="0"/>
        <w:jc w:val="both"/>
        <w:rPr>
          <w:sz w:val="23"/>
        </w:rPr>
      </w:pPr>
      <w:r>
        <w:rPr>
          <w:sz w:val="23"/>
        </w:rPr>
        <w:t>en</w:t>
      </w:r>
      <w:r>
        <w:rPr>
          <w:spacing w:val="-16"/>
          <w:sz w:val="23"/>
        </w:rPr>
        <w:t> </w:t>
      </w:r>
      <w:r>
        <w:rPr>
          <w:sz w:val="23"/>
        </w:rPr>
        <w:t>2006</w:t>
      </w:r>
      <w:r>
        <w:rPr>
          <w:position w:val="8"/>
          <w:sz w:val="13"/>
        </w:rPr>
        <w:t>38</w:t>
      </w:r>
      <w:r>
        <w:rPr>
          <w:spacing w:val="9"/>
          <w:position w:val="8"/>
          <w:sz w:val="13"/>
        </w:rPr>
        <w:t> </w:t>
      </w:r>
      <w:r>
        <w:rPr>
          <w:sz w:val="23"/>
        </w:rPr>
        <w:t>(ver</w:t>
      </w:r>
      <w:r>
        <w:rPr>
          <w:spacing w:val="-16"/>
          <w:sz w:val="23"/>
        </w:rPr>
        <w:t> </w:t>
      </w:r>
      <w:r>
        <w:rPr>
          <w:sz w:val="23"/>
        </w:rPr>
        <w:t>gráfica</w:t>
      </w:r>
      <w:r>
        <w:rPr>
          <w:spacing w:val="-16"/>
          <w:sz w:val="23"/>
        </w:rPr>
        <w:t> </w:t>
      </w:r>
      <w:r>
        <w:rPr>
          <w:i/>
          <w:sz w:val="23"/>
        </w:rPr>
        <w:t>“Cifras</w:t>
      </w:r>
      <w:r>
        <w:rPr>
          <w:i/>
          <w:spacing w:val="-16"/>
          <w:sz w:val="23"/>
        </w:rPr>
        <w:t> </w:t>
      </w:r>
      <w:r>
        <w:rPr>
          <w:i/>
          <w:sz w:val="23"/>
        </w:rPr>
        <w:t>cobradas</w:t>
      </w:r>
      <w:r>
        <w:rPr>
          <w:i/>
          <w:spacing w:val="-17"/>
          <w:sz w:val="23"/>
        </w:rPr>
        <w:t> </w:t>
      </w:r>
      <w:r>
        <w:rPr>
          <w:i/>
          <w:sz w:val="23"/>
        </w:rPr>
        <w:t>más</w:t>
      </w:r>
      <w:r>
        <w:rPr>
          <w:i/>
          <w:spacing w:val="-16"/>
          <w:sz w:val="23"/>
        </w:rPr>
        <w:t> </w:t>
      </w:r>
      <w:r>
        <w:rPr>
          <w:i/>
          <w:sz w:val="23"/>
        </w:rPr>
        <w:t>virtuales”,</w:t>
      </w:r>
      <w:r>
        <w:rPr>
          <w:i/>
          <w:spacing w:val="-16"/>
          <w:sz w:val="23"/>
        </w:rPr>
        <w:t> </w:t>
      </w:r>
      <w:r>
        <w:rPr>
          <w:sz w:val="23"/>
        </w:rPr>
        <w:t>anexos</w:t>
      </w:r>
      <w:r>
        <w:rPr>
          <w:spacing w:val="-17"/>
          <w:sz w:val="23"/>
        </w:rPr>
        <w:t> </w:t>
      </w:r>
      <w:r>
        <w:rPr>
          <w:sz w:val="23"/>
        </w:rPr>
        <w:t>capítulo</w:t>
      </w:r>
      <w:r>
        <w:rPr>
          <w:spacing w:val="-17"/>
          <w:sz w:val="23"/>
        </w:rPr>
        <w:t> </w:t>
      </w:r>
      <w:r>
        <w:rPr>
          <w:sz w:val="23"/>
        </w:rPr>
        <w:t>I). En</w:t>
      </w:r>
      <w:r>
        <w:rPr>
          <w:spacing w:val="-10"/>
          <w:sz w:val="23"/>
        </w:rPr>
        <w:t> </w:t>
      </w:r>
      <w:r>
        <w:rPr>
          <w:sz w:val="23"/>
        </w:rPr>
        <w:t>cuanto</w:t>
      </w:r>
      <w:r>
        <w:rPr>
          <w:spacing w:val="-11"/>
          <w:sz w:val="23"/>
        </w:rPr>
        <w:t> </w:t>
      </w:r>
      <w:r>
        <w:rPr>
          <w:sz w:val="23"/>
        </w:rPr>
        <w:t>a</w:t>
      </w:r>
      <w:r>
        <w:rPr>
          <w:spacing w:val="-10"/>
          <w:sz w:val="23"/>
        </w:rPr>
        <w:t> </w:t>
      </w:r>
      <w:r>
        <w:rPr>
          <w:sz w:val="23"/>
        </w:rPr>
        <w:t>los</w:t>
      </w:r>
      <w:r>
        <w:rPr>
          <w:spacing w:val="-10"/>
          <w:sz w:val="23"/>
        </w:rPr>
        <w:t> </w:t>
      </w:r>
      <w:r>
        <w:rPr>
          <w:sz w:val="23"/>
        </w:rPr>
        <w:t>programas</w:t>
      </w:r>
      <w:r>
        <w:rPr>
          <w:spacing w:val="-10"/>
          <w:sz w:val="23"/>
        </w:rPr>
        <w:t> </w:t>
      </w:r>
      <w:r>
        <w:rPr>
          <w:sz w:val="23"/>
        </w:rPr>
        <w:t>de</w:t>
      </w:r>
      <w:r>
        <w:rPr>
          <w:spacing w:val="-10"/>
          <w:sz w:val="23"/>
        </w:rPr>
        <w:t> </w:t>
      </w:r>
      <w:r>
        <w:rPr>
          <w:sz w:val="23"/>
        </w:rPr>
        <w:t>recaudación</w:t>
      </w:r>
      <w:r>
        <w:rPr>
          <w:spacing w:val="-10"/>
          <w:sz w:val="23"/>
        </w:rPr>
        <w:t> </w:t>
      </w:r>
      <w:r>
        <w:rPr>
          <w:sz w:val="23"/>
        </w:rPr>
        <w:t>2005,</w:t>
      </w:r>
      <w:r>
        <w:rPr>
          <w:spacing w:val="-10"/>
          <w:sz w:val="23"/>
        </w:rPr>
        <w:t> </w:t>
      </w:r>
      <w:r>
        <w:rPr>
          <w:sz w:val="23"/>
        </w:rPr>
        <w:t>según</w:t>
      </w:r>
      <w:r>
        <w:rPr>
          <w:spacing w:val="-10"/>
          <w:sz w:val="23"/>
        </w:rPr>
        <w:t> </w:t>
      </w:r>
      <w:r>
        <w:rPr>
          <w:sz w:val="23"/>
        </w:rPr>
        <w:t>el</w:t>
      </w:r>
      <w:r>
        <w:rPr>
          <w:spacing w:val="-10"/>
          <w:sz w:val="23"/>
        </w:rPr>
        <w:t> </w:t>
      </w:r>
      <w:r>
        <w:rPr>
          <w:sz w:val="23"/>
        </w:rPr>
        <w:t>cuadro</w:t>
      </w:r>
      <w:r>
        <w:rPr>
          <w:spacing w:val="-11"/>
          <w:sz w:val="23"/>
        </w:rPr>
        <w:t> </w:t>
      </w:r>
      <w:r>
        <w:rPr>
          <w:i/>
          <w:sz w:val="23"/>
        </w:rPr>
        <w:t>“Programas </w:t>
      </w:r>
      <w:r>
        <w:rPr>
          <w:i/>
          <w:sz w:val="23"/>
        </w:rPr>
        <w:t>de recaudación 2005” </w:t>
      </w:r>
      <w:r>
        <w:rPr>
          <w:sz w:val="23"/>
        </w:rPr>
        <w:t>(anexos capítulo I), se muestra un ejercicio nulo del control de obligaciones, una eficiencia mínima en la verificación conjunta</w:t>
      </w:r>
      <w:r>
        <w:rPr>
          <w:position w:val="8"/>
          <w:sz w:val="13"/>
        </w:rPr>
        <w:t>39 </w:t>
      </w:r>
      <w:r>
        <w:rPr>
          <w:sz w:val="23"/>
        </w:rPr>
        <w:t>y un ejercicio regular en materia de multas federales no fiscales; la evaluación general de la entidad la coloca en el vigésimo segundo lugar de importancia en estos</w:t>
      </w:r>
      <w:r>
        <w:rPr>
          <w:spacing w:val="1"/>
          <w:sz w:val="23"/>
        </w:rPr>
        <w:t> </w:t>
      </w:r>
      <w:r>
        <w:rPr>
          <w:sz w:val="23"/>
        </w:rPr>
        <w:t>programas</w:t>
      </w:r>
      <w:r>
        <w:rPr>
          <w:position w:val="8"/>
          <w:sz w:val="13"/>
        </w:rPr>
        <w:t>40</w:t>
      </w:r>
      <w:r>
        <w:rPr>
          <w:sz w:val="23"/>
        </w:rPr>
        <w:t>.</w:t>
      </w:r>
    </w:p>
    <w:p>
      <w:pPr>
        <w:pStyle w:val="BodyText"/>
        <w:spacing w:before="7"/>
        <w:rPr>
          <w:sz w:val="22"/>
        </w:rPr>
      </w:pPr>
    </w:p>
    <w:p>
      <w:pPr>
        <w:pStyle w:val="BodyText"/>
        <w:spacing w:line="235" w:lineRule="auto" w:before="1"/>
        <w:ind w:left="117" w:right="107"/>
        <w:jc w:val="both"/>
      </w:pPr>
      <w:r>
        <w:rPr/>
        <w:t>Los rendimientos anteriores, de regulares a bajos, se justifican por la Dirección General de Recaudación debido a la austeridad del gasto operativo y porque las metas, como variables en las formulas de distribución del fondo de fiscalización, se proyectan limitadamente en virtud de que los estímulos correspondientes no son proporcionales. Esto es, la Dirección General de Recaudación está plenamente convencida de que al incremento de metas no corresponde precisamente una ganancia proporcional traducida en mayores rendimientos derivados del fondo de fiscalización. En tales circunstancias, para</w:t>
      </w:r>
      <w:r>
        <w:rPr>
          <w:spacing w:val="-9"/>
        </w:rPr>
        <w:t> </w:t>
      </w:r>
      <w:r>
        <w:rPr/>
        <w:t>la</w:t>
      </w:r>
      <w:r>
        <w:rPr>
          <w:spacing w:val="-9"/>
        </w:rPr>
        <w:t> </w:t>
      </w:r>
      <w:r>
        <w:rPr/>
        <w:t>dirección</w:t>
      </w:r>
      <w:r>
        <w:rPr>
          <w:spacing w:val="-9"/>
        </w:rPr>
        <w:t> </w:t>
      </w:r>
      <w:r>
        <w:rPr/>
        <w:t>es</w:t>
      </w:r>
      <w:r>
        <w:rPr>
          <w:spacing w:val="-9"/>
        </w:rPr>
        <w:t> </w:t>
      </w:r>
      <w:r>
        <w:rPr/>
        <w:t>de</w:t>
      </w:r>
      <w:r>
        <w:rPr>
          <w:spacing w:val="-9"/>
        </w:rPr>
        <w:t> </w:t>
      </w:r>
      <w:r>
        <w:rPr/>
        <w:t>mayor</w:t>
      </w:r>
      <w:r>
        <w:rPr>
          <w:spacing w:val="-10"/>
        </w:rPr>
        <w:t> </w:t>
      </w:r>
      <w:r>
        <w:rPr/>
        <w:t>interés</w:t>
      </w:r>
      <w:r>
        <w:rPr>
          <w:spacing w:val="-10"/>
        </w:rPr>
        <w:t> </w:t>
      </w:r>
      <w:r>
        <w:rPr/>
        <w:t>incrementar</w:t>
      </w:r>
      <w:r>
        <w:rPr>
          <w:spacing w:val="-10"/>
        </w:rPr>
        <w:t> </w:t>
      </w:r>
      <w:r>
        <w:rPr/>
        <w:t>la</w:t>
      </w:r>
      <w:r>
        <w:rPr>
          <w:spacing w:val="-9"/>
        </w:rPr>
        <w:t> </w:t>
      </w:r>
      <w:r>
        <w:rPr/>
        <w:t>recaudación</w:t>
      </w:r>
      <w:r>
        <w:rPr>
          <w:spacing w:val="-9"/>
        </w:rPr>
        <w:t> </w:t>
      </w:r>
      <w:r>
        <w:rPr/>
        <w:t>de</w:t>
      </w:r>
      <w:r>
        <w:rPr>
          <w:spacing w:val="-9"/>
        </w:rPr>
        <w:t> </w:t>
      </w:r>
      <w:r>
        <w:rPr/>
        <w:t>conceptos estatales, pues estos son factores que </w:t>
      </w:r>
      <w:r>
        <w:rPr>
          <w:i/>
        </w:rPr>
        <w:t>“pesan más” </w:t>
      </w:r>
      <w:r>
        <w:rPr/>
        <w:t>dentro de las fórmulas de distribución del fondo de fiscalización. En orden de importancia, el concepto estatal</w:t>
      </w:r>
      <w:r>
        <w:rPr>
          <w:spacing w:val="-4"/>
        </w:rPr>
        <w:t> </w:t>
      </w:r>
      <w:r>
        <w:rPr/>
        <w:t>de</w:t>
      </w:r>
      <w:r>
        <w:rPr>
          <w:spacing w:val="-4"/>
        </w:rPr>
        <w:t> </w:t>
      </w:r>
      <w:r>
        <w:rPr/>
        <w:t>mayor</w:t>
      </w:r>
      <w:r>
        <w:rPr>
          <w:spacing w:val="-4"/>
        </w:rPr>
        <w:t> </w:t>
      </w:r>
      <w:r>
        <w:rPr/>
        <w:t>recaudación</w:t>
      </w:r>
      <w:r>
        <w:rPr>
          <w:spacing w:val="-4"/>
        </w:rPr>
        <w:t> </w:t>
      </w:r>
      <w:r>
        <w:rPr/>
        <w:t>es</w:t>
      </w:r>
      <w:r>
        <w:rPr>
          <w:spacing w:val="-4"/>
        </w:rPr>
        <w:t> </w:t>
      </w:r>
      <w:r>
        <w:rPr/>
        <w:t>el</w:t>
      </w:r>
      <w:r>
        <w:rPr>
          <w:spacing w:val="-4"/>
        </w:rPr>
        <w:t> </w:t>
      </w:r>
      <w:r>
        <w:rPr/>
        <w:t>IEPS</w:t>
      </w:r>
      <w:r>
        <w:rPr>
          <w:spacing w:val="-4"/>
        </w:rPr>
        <w:t> </w:t>
      </w:r>
      <w:r>
        <w:rPr/>
        <w:t>por</w:t>
      </w:r>
      <w:r>
        <w:rPr>
          <w:spacing w:val="-4"/>
        </w:rPr>
        <w:t> </w:t>
      </w:r>
      <w:r>
        <w:rPr/>
        <w:t>la</w:t>
      </w:r>
      <w:r>
        <w:rPr>
          <w:spacing w:val="-4"/>
        </w:rPr>
        <w:t> </w:t>
      </w:r>
      <w:r>
        <w:rPr/>
        <w:t>venta</w:t>
      </w:r>
      <w:r>
        <w:rPr>
          <w:spacing w:val="-4"/>
        </w:rPr>
        <w:t> </w:t>
      </w:r>
      <w:r>
        <w:rPr/>
        <w:t>de</w:t>
      </w:r>
      <w:r>
        <w:rPr>
          <w:spacing w:val="-4"/>
        </w:rPr>
        <w:t> </w:t>
      </w:r>
      <w:r>
        <w:rPr/>
        <w:t>gasolinas,</w:t>
      </w:r>
      <w:r>
        <w:rPr>
          <w:spacing w:val="-4"/>
        </w:rPr>
        <w:t> </w:t>
      </w:r>
      <w:r>
        <w:rPr/>
        <w:t>el</w:t>
      </w:r>
      <w:r>
        <w:rPr>
          <w:spacing w:val="-4"/>
        </w:rPr>
        <w:t> </w:t>
      </w:r>
      <w:r>
        <w:rPr/>
        <w:t>segundo lugar lo ocupa el impuesto de nóminas (con recaudación del </w:t>
      </w:r>
      <w:r>
        <w:rPr>
          <w:spacing w:val="-3"/>
        </w:rPr>
        <w:t>110% </w:t>
      </w:r>
      <w:r>
        <w:rPr/>
        <w:t>en el sexenio estatal 2005-2011), y al tercer lugar ha caído el Impuesto de</w:t>
      </w:r>
      <w:r>
        <w:rPr>
          <w:spacing w:val="-38"/>
        </w:rPr>
        <w:t> </w:t>
      </w:r>
      <w:r>
        <w:rPr/>
        <w:t>tenencia vehicular (que anteriormente ocupaba el primer</w:t>
      </w:r>
      <w:r>
        <w:rPr>
          <w:spacing w:val="2"/>
        </w:rPr>
        <w:t> </w:t>
      </w:r>
      <w:r>
        <w:rPr/>
        <w:t>lugar)</w:t>
      </w:r>
      <w:r>
        <w:rPr>
          <w:position w:val="8"/>
          <w:sz w:val="13"/>
        </w:rPr>
        <w:t>41</w:t>
      </w:r>
      <w:r>
        <w:rPr/>
        <w:t>.</w:t>
      </w:r>
    </w:p>
    <w:p>
      <w:pPr>
        <w:pStyle w:val="BodyText"/>
        <w:spacing w:before="3"/>
        <w:rPr>
          <w:sz w:val="22"/>
        </w:rPr>
      </w:pPr>
    </w:p>
    <w:p>
      <w:pPr>
        <w:pStyle w:val="BodyText"/>
        <w:spacing w:line="262" w:lineRule="exact"/>
        <w:ind w:left="117"/>
        <w:jc w:val="both"/>
      </w:pPr>
      <w:r>
        <w:rPr/>
        <w:t>La preferencia en el cobro de conceptos impositivos estatales con respecto</w:t>
      </w:r>
    </w:p>
    <w:p>
      <w:pPr>
        <w:pStyle w:val="BodyText"/>
        <w:spacing w:line="262" w:lineRule="exact"/>
        <w:ind w:left="117"/>
        <w:jc w:val="both"/>
      </w:pPr>
      <w:r>
        <w:rPr/>
        <w:pict>
          <v:line style="position:absolute;mso-position-horizontal-relative:page;mso-position-vertical-relative:paragraph;z-index:1408;mso-wrap-distance-left:0;mso-wrap-distance-right:0" from="70.866096pt,14.987989pt" to="142.866096pt,14.987989pt" stroked="true" strokeweight="1pt" strokecolor="#000000">
            <w10:wrap type="topAndBottom"/>
          </v:line>
        </w:pict>
      </w:r>
      <w:r>
        <w:rPr/>
        <w:t>a los federales queda también de manifiesto en el balance que presenta la</w:t>
      </w:r>
    </w:p>
    <w:p>
      <w:pPr>
        <w:spacing w:line="211" w:lineRule="exact" w:before="28"/>
        <w:ind w:left="117" w:right="0" w:firstLine="0"/>
        <w:jc w:val="both"/>
        <w:rPr>
          <w:sz w:val="18"/>
        </w:rPr>
      </w:pPr>
      <w:r>
        <w:rPr>
          <w:position w:val="7"/>
          <w:sz w:val="11"/>
        </w:rPr>
        <w:t>37    </w:t>
      </w:r>
      <w:r>
        <w:rPr>
          <w:i/>
          <w:sz w:val="18"/>
        </w:rPr>
        <w:t>Ibídem</w:t>
      </w:r>
      <w:r>
        <w:rPr>
          <w:sz w:val="18"/>
        </w:rPr>
        <w:t>, pp. 88.</w:t>
      </w:r>
    </w:p>
    <w:p>
      <w:pPr>
        <w:spacing w:line="242" w:lineRule="auto" w:before="0"/>
        <w:ind w:left="344" w:right="108" w:hanging="227"/>
        <w:jc w:val="both"/>
        <w:rPr>
          <w:sz w:val="18"/>
        </w:rPr>
      </w:pPr>
      <w:r>
        <w:rPr>
          <w:position w:val="7"/>
          <w:sz w:val="11"/>
        </w:rPr>
        <w:t>38 </w:t>
      </w:r>
      <w:r>
        <w:rPr>
          <w:sz w:val="18"/>
        </w:rPr>
        <w:t>Secretaría de Hacienda y Crédito Público, unidad de coordinación con entidades federativas; </w:t>
      </w:r>
      <w:r>
        <w:rPr>
          <w:i/>
          <w:sz w:val="18"/>
        </w:rPr>
        <w:t>diagnóstico integral de la situación actual de las haciendas públicas estatales y municipales, </w:t>
      </w:r>
      <w:r>
        <w:rPr>
          <w:sz w:val="18"/>
        </w:rPr>
        <w:t>2003 (pp. 105), 2004 (pp. 165), 2005 (108), 2006 (pp. 108), 2007 (pp. 89).</w:t>
      </w:r>
    </w:p>
    <w:p>
      <w:pPr>
        <w:spacing w:line="208" w:lineRule="exact" w:before="0"/>
        <w:ind w:left="117" w:right="0" w:firstLine="0"/>
        <w:jc w:val="both"/>
        <w:rPr>
          <w:sz w:val="18"/>
        </w:rPr>
      </w:pPr>
      <w:r>
        <w:rPr>
          <w:position w:val="7"/>
          <w:sz w:val="11"/>
        </w:rPr>
        <w:t>39   </w:t>
      </w:r>
      <w:r>
        <w:rPr>
          <w:sz w:val="18"/>
        </w:rPr>
        <w:t>La verificación conjunta son acciones para ampliar las bases del universo de contribuyentes</w:t>
      </w:r>
    </w:p>
    <w:p>
      <w:pPr>
        <w:spacing w:before="3"/>
        <w:ind w:left="344" w:right="0" w:firstLine="0"/>
        <w:jc w:val="left"/>
        <w:rPr>
          <w:sz w:val="18"/>
        </w:rPr>
      </w:pPr>
      <w:r>
        <w:rPr>
          <w:sz w:val="18"/>
        </w:rPr>
        <w:t>nacional.</w:t>
      </w:r>
    </w:p>
    <w:p>
      <w:pPr>
        <w:spacing w:line="249" w:lineRule="auto" w:before="28"/>
        <w:ind w:left="344" w:right="109" w:hanging="227"/>
        <w:jc w:val="both"/>
        <w:rPr>
          <w:sz w:val="18"/>
        </w:rPr>
      </w:pPr>
      <w:r>
        <w:rPr>
          <w:position w:val="7"/>
          <w:sz w:val="11"/>
        </w:rPr>
        <w:t>40 </w:t>
      </w:r>
      <w:r>
        <w:rPr>
          <w:sz w:val="18"/>
        </w:rPr>
        <w:t>Secretaría de Hacienda y Crédito Público, Unidad de Coordinación con Entidades Federativas; </w:t>
      </w:r>
      <w:r>
        <w:rPr>
          <w:i/>
          <w:sz w:val="18"/>
        </w:rPr>
        <w:t>diagnóstico integral de la situación actual de las haciendas públicas estatales y municipales, </w:t>
      </w:r>
      <w:r>
        <w:rPr>
          <w:sz w:val="18"/>
        </w:rPr>
        <w:t>2007, pp. 94.</w:t>
      </w:r>
    </w:p>
    <w:p>
      <w:pPr>
        <w:spacing w:line="249" w:lineRule="auto" w:before="20"/>
        <w:ind w:left="344" w:right="108" w:hanging="227"/>
        <w:jc w:val="both"/>
        <w:rPr>
          <w:sz w:val="18"/>
        </w:rPr>
      </w:pPr>
      <w:r>
        <w:rPr>
          <w:position w:val="7"/>
          <w:sz w:val="11"/>
        </w:rPr>
        <w:t>41 </w:t>
      </w:r>
      <w:r>
        <w:rPr>
          <w:sz w:val="18"/>
        </w:rPr>
        <w:t>Información proporcionada para esta investigación en entrevista con el director general de recaudación, 13 de octubre del 2010.</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spacing w:line="235" w:lineRule="auto" w:before="75"/>
        <w:ind w:left="110" w:right="114" w:firstLine="0"/>
        <w:jc w:val="both"/>
        <w:rPr>
          <w:i/>
          <w:sz w:val="23"/>
        </w:rPr>
      </w:pPr>
      <w:r>
        <w:rPr>
          <w:sz w:val="23"/>
        </w:rPr>
        <w:t>Procuraduría Fiscal. Hacia septiembre del 2010, la cartera de créditos de   esa dependencia sumaba quinientos setenta y nueve millones setecientos diecinueve mil novecientos treinta pesos 06/100, de los cuales el 97.98% se referían a conceptos federales, y de este porcentaje el 97.53% correspondía a liquidaciones</w:t>
      </w:r>
      <w:r>
        <w:rPr>
          <w:spacing w:val="-8"/>
          <w:sz w:val="23"/>
        </w:rPr>
        <w:t> </w:t>
      </w:r>
      <w:r>
        <w:rPr>
          <w:sz w:val="23"/>
        </w:rPr>
        <w:t>y</w:t>
      </w:r>
      <w:r>
        <w:rPr>
          <w:spacing w:val="-7"/>
          <w:sz w:val="23"/>
        </w:rPr>
        <w:t> </w:t>
      </w:r>
      <w:r>
        <w:rPr>
          <w:sz w:val="23"/>
        </w:rPr>
        <w:t>el</w:t>
      </w:r>
      <w:r>
        <w:rPr>
          <w:spacing w:val="-7"/>
          <w:sz w:val="23"/>
        </w:rPr>
        <w:t> </w:t>
      </w:r>
      <w:r>
        <w:rPr>
          <w:sz w:val="23"/>
        </w:rPr>
        <w:t>2.46%</w:t>
      </w:r>
      <w:r>
        <w:rPr>
          <w:spacing w:val="-7"/>
          <w:sz w:val="23"/>
        </w:rPr>
        <w:t> </w:t>
      </w:r>
      <w:r>
        <w:rPr>
          <w:sz w:val="23"/>
        </w:rPr>
        <w:t>a</w:t>
      </w:r>
      <w:r>
        <w:rPr>
          <w:spacing w:val="-7"/>
          <w:sz w:val="23"/>
        </w:rPr>
        <w:t> </w:t>
      </w:r>
      <w:r>
        <w:rPr>
          <w:sz w:val="23"/>
        </w:rPr>
        <w:t>multas.</w:t>
      </w:r>
      <w:r>
        <w:rPr>
          <w:spacing w:val="-7"/>
          <w:sz w:val="23"/>
        </w:rPr>
        <w:t> </w:t>
      </w:r>
      <w:r>
        <w:rPr>
          <w:sz w:val="23"/>
        </w:rPr>
        <w:t>Es</w:t>
      </w:r>
      <w:r>
        <w:rPr>
          <w:spacing w:val="-7"/>
          <w:sz w:val="23"/>
        </w:rPr>
        <w:t> </w:t>
      </w:r>
      <w:r>
        <w:rPr>
          <w:sz w:val="23"/>
        </w:rPr>
        <w:t>de</w:t>
      </w:r>
      <w:r>
        <w:rPr>
          <w:spacing w:val="-7"/>
          <w:sz w:val="23"/>
        </w:rPr>
        <w:t> </w:t>
      </w:r>
      <w:r>
        <w:rPr>
          <w:sz w:val="23"/>
        </w:rPr>
        <w:t>destacar</w:t>
      </w:r>
      <w:r>
        <w:rPr>
          <w:spacing w:val="-7"/>
          <w:sz w:val="23"/>
        </w:rPr>
        <w:t> </w:t>
      </w:r>
      <w:r>
        <w:rPr>
          <w:sz w:val="23"/>
        </w:rPr>
        <w:t>el</w:t>
      </w:r>
      <w:r>
        <w:rPr>
          <w:spacing w:val="-7"/>
          <w:sz w:val="23"/>
        </w:rPr>
        <w:t> </w:t>
      </w:r>
      <w:r>
        <w:rPr>
          <w:sz w:val="23"/>
        </w:rPr>
        <w:t>hecho</w:t>
      </w:r>
      <w:r>
        <w:rPr>
          <w:spacing w:val="-7"/>
          <w:sz w:val="23"/>
        </w:rPr>
        <w:t> </w:t>
      </w:r>
      <w:r>
        <w:rPr>
          <w:sz w:val="23"/>
        </w:rPr>
        <w:t>de</w:t>
      </w:r>
      <w:r>
        <w:rPr>
          <w:spacing w:val="-7"/>
          <w:sz w:val="23"/>
        </w:rPr>
        <w:t> </w:t>
      </w:r>
      <w:r>
        <w:rPr>
          <w:sz w:val="23"/>
        </w:rPr>
        <w:t>que</w:t>
      </w:r>
      <w:r>
        <w:rPr>
          <w:spacing w:val="-7"/>
          <w:sz w:val="23"/>
        </w:rPr>
        <w:t> </w:t>
      </w:r>
      <w:r>
        <w:rPr>
          <w:sz w:val="23"/>
        </w:rPr>
        <w:t>el</w:t>
      </w:r>
      <w:r>
        <w:rPr>
          <w:spacing w:val="-7"/>
          <w:sz w:val="23"/>
        </w:rPr>
        <w:t> </w:t>
      </w:r>
      <w:r>
        <w:rPr>
          <w:sz w:val="23"/>
        </w:rPr>
        <w:t>9.79%</w:t>
      </w:r>
      <w:r>
        <w:rPr>
          <w:spacing w:val="-7"/>
          <w:sz w:val="23"/>
        </w:rPr>
        <w:t> </w:t>
      </w:r>
      <w:r>
        <w:rPr>
          <w:sz w:val="23"/>
        </w:rPr>
        <w:t>de los</w:t>
      </w:r>
      <w:r>
        <w:rPr>
          <w:spacing w:val="-7"/>
          <w:sz w:val="23"/>
        </w:rPr>
        <w:t> </w:t>
      </w:r>
      <w:r>
        <w:rPr>
          <w:sz w:val="23"/>
        </w:rPr>
        <w:t>créditos</w:t>
      </w:r>
      <w:r>
        <w:rPr>
          <w:spacing w:val="-7"/>
          <w:sz w:val="23"/>
        </w:rPr>
        <w:t> </w:t>
      </w:r>
      <w:r>
        <w:rPr>
          <w:sz w:val="23"/>
        </w:rPr>
        <w:t>de</w:t>
      </w:r>
      <w:r>
        <w:rPr>
          <w:spacing w:val="-7"/>
          <w:sz w:val="23"/>
        </w:rPr>
        <w:t> </w:t>
      </w:r>
      <w:r>
        <w:rPr>
          <w:sz w:val="23"/>
        </w:rPr>
        <w:t>carácter</w:t>
      </w:r>
      <w:r>
        <w:rPr>
          <w:spacing w:val="-7"/>
          <w:sz w:val="23"/>
        </w:rPr>
        <w:t> </w:t>
      </w:r>
      <w:r>
        <w:rPr>
          <w:sz w:val="23"/>
        </w:rPr>
        <w:t>federal</w:t>
      </w:r>
      <w:r>
        <w:rPr>
          <w:spacing w:val="-6"/>
          <w:sz w:val="23"/>
        </w:rPr>
        <w:t> </w:t>
      </w:r>
      <w:r>
        <w:rPr>
          <w:sz w:val="23"/>
        </w:rPr>
        <w:t>había</w:t>
      </w:r>
      <w:r>
        <w:rPr>
          <w:spacing w:val="-6"/>
          <w:sz w:val="23"/>
        </w:rPr>
        <w:t> </w:t>
      </w:r>
      <w:r>
        <w:rPr>
          <w:sz w:val="23"/>
        </w:rPr>
        <w:t>prescrito</w:t>
      </w:r>
      <w:r>
        <w:rPr>
          <w:spacing w:val="-6"/>
          <w:sz w:val="23"/>
        </w:rPr>
        <w:t> </w:t>
      </w:r>
      <w:r>
        <w:rPr>
          <w:sz w:val="23"/>
        </w:rPr>
        <w:t>para</w:t>
      </w:r>
      <w:r>
        <w:rPr>
          <w:spacing w:val="-6"/>
          <w:sz w:val="23"/>
        </w:rPr>
        <w:t> </w:t>
      </w:r>
      <w:r>
        <w:rPr>
          <w:sz w:val="23"/>
        </w:rPr>
        <w:t>la</w:t>
      </w:r>
      <w:r>
        <w:rPr>
          <w:spacing w:val="-7"/>
          <w:sz w:val="23"/>
        </w:rPr>
        <w:t> </w:t>
      </w:r>
      <w:r>
        <w:rPr>
          <w:sz w:val="23"/>
        </w:rPr>
        <w:t>fecha</w:t>
      </w:r>
      <w:r>
        <w:rPr>
          <w:spacing w:val="-6"/>
          <w:sz w:val="23"/>
        </w:rPr>
        <w:t> </w:t>
      </w:r>
      <w:r>
        <w:rPr>
          <w:sz w:val="23"/>
        </w:rPr>
        <w:t>señalada,</w:t>
      </w:r>
      <w:r>
        <w:rPr>
          <w:spacing w:val="-6"/>
          <w:sz w:val="23"/>
        </w:rPr>
        <w:t> </w:t>
      </w:r>
      <w:r>
        <w:rPr>
          <w:sz w:val="23"/>
        </w:rPr>
        <w:t>y</w:t>
      </w:r>
      <w:r>
        <w:rPr>
          <w:spacing w:val="-7"/>
          <w:sz w:val="23"/>
        </w:rPr>
        <w:t> </w:t>
      </w:r>
      <w:r>
        <w:rPr>
          <w:sz w:val="23"/>
        </w:rPr>
        <w:t>que</w:t>
      </w:r>
      <w:r>
        <w:rPr>
          <w:spacing w:val="-7"/>
          <w:sz w:val="23"/>
        </w:rPr>
        <w:t> </w:t>
      </w:r>
      <w:r>
        <w:rPr>
          <w:sz w:val="23"/>
        </w:rPr>
        <w:t>la Procuraduría</w:t>
      </w:r>
      <w:r>
        <w:rPr>
          <w:spacing w:val="-12"/>
          <w:sz w:val="23"/>
        </w:rPr>
        <w:t> </w:t>
      </w:r>
      <w:r>
        <w:rPr>
          <w:sz w:val="23"/>
        </w:rPr>
        <w:t>Fiscal</w:t>
      </w:r>
      <w:r>
        <w:rPr>
          <w:spacing w:val="-12"/>
          <w:sz w:val="23"/>
        </w:rPr>
        <w:t> </w:t>
      </w:r>
      <w:r>
        <w:rPr>
          <w:sz w:val="23"/>
        </w:rPr>
        <w:t>argumentaba</w:t>
      </w:r>
      <w:r>
        <w:rPr>
          <w:spacing w:val="-13"/>
          <w:sz w:val="23"/>
        </w:rPr>
        <w:t> </w:t>
      </w:r>
      <w:r>
        <w:rPr>
          <w:sz w:val="23"/>
        </w:rPr>
        <w:t>falta</w:t>
      </w:r>
      <w:r>
        <w:rPr>
          <w:spacing w:val="-13"/>
          <w:sz w:val="23"/>
        </w:rPr>
        <w:t> </w:t>
      </w:r>
      <w:r>
        <w:rPr>
          <w:sz w:val="23"/>
        </w:rPr>
        <w:t>de</w:t>
      </w:r>
      <w:r>
        <w:rPr>
          <w:spacing w:val="-13"/>
          <w:sz w:val="23"/>
        </w:rPr>
        <w:t> </w:t>
      </w:r>
      <w:r>
        <w:rPr>
          <w:sz w:val="23"/>
        </w:rPr>
        <w:t>coordinación</w:t>
      </w:r>
      <w:r>
        <w:rPr>
          <w:spacing w:val="-14"/>
          <w:sz w:val="23"/>
        </w:rPr>
        <w:t> </w:t>
      </w:r>
      <w:r>
        <w:rPr>
          <w:sz w:val="23"/>
        </w:rPr>
        <w:t>entre</w:t>
      </w:r>
      <w:r>
        <w:rPr>
          <w:spacing w:val="-13"/>
          <w:sz w:val="23"/>
        </w:rPr>
        <w:t> </w:t>
      </w:r>
      <w:r>
        <w:rPr>
          <w:sz w:val="23"/>
        </w:rPr>
        <w:t>las</w:t>
      </w:r>
      <w:r>
        <w:rPr>
          <w:spacing w:val="-13"/>
          <w:sz w:val="23"/>
        </w:rPr>
        <w:t> </w:t>
      </w:r>
      <w:r>
        <w:rPr>
          <w:sz w:val="23"/>
        </w:rPr>
        <w:t>dependencias involucradas: </w:t>
      </w:r>
      <w:r>
        <w:rPr>
          <w:i/>
          <w:sz w:val="23"/>
        </w:rPr>
        <w:t>la Dirección General de Auditoría, así como la Dirección </w:t>
      </w:r>
      <w:r>
        <w:rPr>
          <w:i/>
          <w:sz w:val="23"/>
        </w:rPr>
        <w:t>General de Recaudación, que son las autoridades de donde emanan los créditos, no han realizado con nosotros ninguna conciliación a efecto de verificar el estado que guardan los créditos que envían para su</w:t>
      </w:r>
      <w:r>
        <w:rPr>
          <w:i/>
          <w:spacing w:val="-27"/>
          <w:sz w:val="23"/>
        </w:rPr>
        <w:t> </w:t>
      </w:r>
      <w:r>
        <w:rPr>
          <w:i/>
          <w:sz w:val="23"/>
        </w:rPr>
        <w:t>cobro</w:t>
      </w:r>
      <w:r>
        <w:rPr>
          <w:i/>
          <w:position w:val="8"/>
          <w:sz w:val="13"/>
        </w:rPr>
        <w:t>42</w:t>
      </w:r>
      <w:r>
        <w:rPr>
          <w:i/>
          <w:sz w:val="23"/>
        </w:rPr>
        <w:t>.</w:t>
      </w:r>
    </w:p>
    <w:p>
      <w:pPr>
        <w:pStyle w:val="BodyText"/>
        <w:spacing w:before="7"/>
        <w:rPr>
          <w:i/>
          <w:sz w:val="22"/>
        </w:rPr>
      </w:pPr>
    </w:p>
    <w:p>
      <w:pPr>
        <w:pStyle w:val="BodyText"/>
        <w:spacing w:line="235" w:lineRule="auto" w:before="1"/>
        <w:ind w:left="110" w:right="114"/>
        <w:jc w:val="both"/>
      </w:pPr>
      <w:r>
        <w:rPr/>
        <w:t>Como variante con respecto a los argumentos de la Dirección General de Recaudación y de la Procuraduría Fiscal, la Dirección General de Auditoría presenta un perfeccionado en el ejercicio de las auditorias de acuerdo a lo siguiente: a) cuentan con un sistema en la web de control de auditorías, en donde se sube el plan de auditoría y los documentos de avance de la misma, de tal modo que se previenen los actos de corrupción; b) comparten muchas bases de datos con el </w:t>
      </w:r>
      <w:r>
        <w:rPr>
          <w:spacing w:val="-11"/>
        </w:rPr>
        <w:t>SAT, </w:t>
      </w:r>
      <w:r>
        <w:rPr/>
        <w:t>el IMSS y el </w:t>
      </w:r>
      <w:r>
        <w:rPr>
          <w:spacing w:val="-5"/>
        </w:rPr>
        <w:t>INFONAVIT; </w:t>
      </w:r>
      <w:r>
        <w:rPr/>
        <w:t>y c) operan un sistema de capacitación a distancia</w:t>
      </w:r>
      <w:r>
        <w:rPr>
          <w:position w:val="8"/>
          <w:sz w:val="13"/>
        </w:rPr>
        <w:t>43</w:t>
      </w:r>
      <w:r>
        <w:rPr/>
        <w:t>. Lo anterior, sumado a la estrategia general que se describe al final del apartado </w:t>
      </w:r>
      <w:r>
        <w:rPr>
          <w:i/>
        </w:rPr>
        <w:t>elemento de delimitación competencial</w:t>
      </w:r>
      <w:r>
        <w:rPr/>
        <w:t>, probablemente</w:t>
      </w:r>
      <w:r>
        <w:rPr>
          <w:spacing w:val="-5"/>
        </w:rPr>
        <w:t> </w:t>
      </w:r>
      <w:r>
        <w:rPr/>
        <w:t>sea</w:t>
      </w:r>
      <w:r>
        <w:rPr>
          <w:spacing w:val="-5"/>
        </w:rPr>
        <w:t> </w:t>
      </w:r>
      <w:r>
        <w:rPr/>
        <w:t>la</w:t>
      </w:r>
      <w:r>
        <w:rPr>
          <w:spacing w:val="-5"/>
        </w:rPr>
        <w:t> </w:t>
      </w:r>
      <w:r>
        <w:rPr/>
        <w:t>causa</w:t>
      </w:r>
      <w:r>
        <w:rPr>
          <w:spacing w:val="-5"/>
        </w:rPr>
        <w:t> </w:t>
      </w:r>
      <w:r>
        <w:rPr/>
        <w:t>de</w:t>
      </w:r>
      <w:r>
        <w:rPr>
          <w:spacing w:val="-5"/>
        </w:rPr>
        <w:t> </w:t>
      </w:r>
      <w:r>
        <w:rPr/>
        <w:t>la</w:t>
      </w:r>
      <w:r>
        <w:rPr>
          <w:spacing w:val="-5"/>
        </w:rPr>
        <w:t> </w:t>
      </w:r>
      <w:r>
        <w:rPr/>
        <w:t>alta</w:t>
      </w:r>
      <w:r>
        <w:rPr>
          <w:spacing w:val="-5"/>
        </w:rPr>
        <w:t> </w:t>
      </w:r>
      <w:r>
        <w:rPr/>
        <w:t>ponderación</w:t>
      </w:r>
      <w:r>
        <w:rPr>
          <w:spacing w:val="-5"/>
        </w:rPr>
        <w:t> </w:t>
      </w:r>
      <w:r>
        <w:rPr/>
        <w:t>señalada</w:t>
      </w:r>
      <w:r>
        <w:rPr>
          <w:spacing w:val="-4"/>
        </w:rPr>
        <w:t> </w:t>
      </w:r>
      <w:r>
        <w:rPr/>
        <w:t>en</w:t>
      </w:r>
      <w:r>
        <w:rPr>
          <w:spacing w:val="-5"/>
        </w:rPr>
        <w:t> </w:t>
      </w:r>
      <w:r>
        <w:rPr/>
        <w:t>este</w:t>
      </w:r>
      <w:r>
        <w:rPr>
          <w:spacing w:val="-5"/>
        </w:rPr>
        <w:t> </w:t>
      </w:r>
      <w:r>
        <w:rPr/>
        <w:t>título</w:t>
      </w:r>
      <w:r>
        <w:rPr>
          <w:spacing w:val="-5"/>
        </w:rPr>
        <w:t> </w:t>
      </w:r>
      <w:r>
        <w:rPr/>
        <w:t>para el costo</w:t>
      </w:r>
      <w:r>
        <w:rPr>
          <w:spacing w:val="-13"/>
        </w:rPr>
        <w:t> </w:t>
      </w:r>
      <w:r>
        <w:rPr/>
        <w:t>beneficio.</w:t>
      </w:r>
    </w:p>
    <w:p>
      <w:pPr>
        <w:pStyle w:val="BodyText"/>
        <w:spacing w:before="10"/>
        <w:rPr>
          <w:sz w:val="22"/>
        </w:rPr>
      </w:pPr>
    </w:p>
    <w:p>
      <w:pPr>
        <w:pStyle w:val="BodyText"/>
        <w:spacing w:line="260" w:lineRule="exact"/>
        <w:ind w:left="110" w:right="114"/>
        <w:jc w:val="both"/>
      </w:pPr>
      <w:r>
        <w:rPr/>
        <w:t>En resumen, la operación de regular a mala en los programas relativos a los convenios de colaboración administrativa durante el periodo 2000-2006, es muestra</w:t>
      </w:r>
      <w:r>
        <w:rPr>
          <w:spacing w:val="-7"/>
        </w:rPr>
        <w:t> </w:t>
      </w:r>
      <w:r>
        <w:rPr/>
        <w:t>clara</w:t>
      </w:r>
      <w:r>
        <w:rPr>
          <w:spacing w:val="-7"/>
        </w:rPr>
        <w:t> </w:t>
      </w:r>
      <w:r>
        <w:rPr/>
        <w:t>de</w:t>
      </w:r>
      <w:r>
        <w:rPr>
          <w:spacing w:val="-7"/>
        </w:rPr>
        <w:t> </w:t>
      </w:r>
      <w:r>
        <w:rPr/>
        <w:t>que</w:t>
      </w:r>
      <w:r>
        <w:rPr>
          <w:spacing w:val="-7"/>
        </w:rPr>
        <w:t> </w:t>
      </w:r>
      <w:r>
        <w:rPr/>
        <w:t>la</w:t>
      </w:r>
      <w:r>
        <w:rPr>
          <w:spacing w:val="-7"/>
        </w:rPr>
        <w:t> </w:t>
      </w:r>
      <w:r>
        <w:rPr/>
        <w:t>autoridad</w:t>
      </w:r>
      <w:r>
        <w:rPr>
          <w:spacing w:val="-7"/>
        </w:rPr>
        <w:t> </w:t>
      </w:r>
      <w:r>
        <w:rPr/>
        <w:t>fiscal</w:t>
      </w:r>
      <w:r>
        <w:rPr>
          <w:spacing w:val="-7"/>
        </w:rPr>
        <w:t> </w:t>
      </w:r>
      <w:r>
        <w:rPr/>
        <w:t>de</w:t>
      </w:r>
      <w:r>
        <w:rPr>
          <w:spacing w:val="-7"/>
        </w:rPr>
        <w:t> </w:t>
      </w:r>
      <w:r>
        <w:rPr/>
        <w:t>Hidalgo</w:t>
      </w:r>
      <w:r>
        <w:rPr>
          <w:spacing w:val="-7"/>
        </w:rPr>
        <w:t> </w:t>
      </w:r>
      <w:r>
        <w:rPr/>
        <w:t>no</w:t>
      </w:r>
      <w:r>
        <w:rPr>
          <w:spacing w:val="-7"/>
        </w:rPr>
        <w:t> </w:t>
      </w:r>
      <w:r>
        <w:rPr/>
        <w:t>está</w:t>
      </w:r>
      <w:r>
        <w:rPr>
          <w:spacing w:val="-7"/>
        </w:rPr>
        <w:t> </w:t>
      </w:r>
      <w:r>
        <w:rPr/>
        <w:t>procurando</w:t>
      </w:r>
      <w:r>
        <w:rPr>
          <w:spacing w:val="-7"/>
        </w:rPr>
        <w:t> </w:t>
      </w:r>
      <w:r>
        <w:rPr/>
        <w:t>asumir mayores facultades recaudatorias para reivindicar al federalismo subsidiario en</w:t>
      </w:r>
      <w:r>
        <w:rPr>
          <w:spacing w:val="-7"/>
        </w:rPr>
        <w:t> </w:t>
      </w:r>
      <w:r>
        <w:rPr/>
        <w:t>función</w:t>
      </w:r>
      <w:r>
        <w:rPr>
          <w:spacing w:val="-7"/>
        </w:rPr>
        <w:t> </w:t>
      </w:r>
      <w:r>
        <w:rPr/>
        <w:t>del</w:t>
      </w:r>
      <w:r>
        <w:rPr>
          <w:spacing w:val="-7"/>
        </w:rPr>
        <w:t> </w:t>
      </w:r>
      <w:r>
        <w:rPr>
          <w:i/>
        </w:rPr>
        <w:t>avance</w:t>
      </w:r>
      <w:r>
        <w:rPr>
          <w:i/>
          <w:spacing w:val="-7"/>
        </w:rPr>
        <w:t> </w:t>
      </w:r>
      <w:r>
        <w:rPr>
          <w:i/>
        </w:rPr>
        <w:t>competencial</w:t>
      </w:r>
      <w:r>
        <w:rPr>
          <w:i/>
          <w:spacing w:val="-8"/>
        </w:rPr>
        <w:t> </w:t>
      </w:r>
      <w:r>
        <w:rPr>
          <w:i/>
        </w:rPr>
        <w:t>de</w:t>
      </w:r>
      <w:r>
        <w:rPr>
          <w:i/>
          <w:spacing w:val="-7"/>
        </w:rPr>
        <w:t> </w:t>
      </w:r>
      <w:r>
        <w:rPr>
          <w:i/>
        </w:rPr>
        <w:t>las</w:t>
      </w:r>
      <w:r>
        <w:rPr>
          <w:i/>
          <w:spacing w:val="-7"/>
        </w:rPr>
        <w:t> </w:t>
      </w:r>
      <w:r>
        <w:rPr>
          <w:i/>
        </w:rPr>
        <w:t>sociedades</w:t>
      </w:r>
      <w:r>
        <w:rPr>
          <w:i/>
          <w:spacing w:val="-6"/>
        </w:rPr>
        <w:t> </w:t>
      </w:r>
      <w:r>
        <w:rPr>
          <w:i/>
        </w:rPr>
        <w:t>más</w:t>
      </w:r>
      <w:r>
        <w:rPr>
          <w:i/>
          <w:spacing w:val="-7"/>
        </w:rPr>
        <w:t> </w:t>
      </w:r>
      <w:r>
        <w:rPr>
          <w:i/>
        </w:rPr>
        <w:t>simples</w:t>
      </w:r>
      <w:r>
        <w:rPr/>
        <w:t>.</w:t>
      </w:r>
      <w:r>
        <w:rPr>
          <w:spacing w:val="-7"/>
        </w:rPr>
        <w:t> </w:t>
      </w:r>
      <w:r>
        <w:rPr/>
        <w:t>Derivado del desempeño de tres dependencias de la Secretaría de Finanzas  que  operan sin una estrategia común, dos de ellas limitan sus acciones por la austeridad del gasto operativo, además de preferir centrar sus acciones en el cobro de conceptos impositivos estatales. Destaca únicamente la estrategia de la Dirección General de Auditoría, la cual se presume que impacta en el costo beneficio como única variable destacada del desempeño recaudatorio coordinado.</w:t>
      </w:r>
    </w:p>
    <w:p>
      <w:pPr>
        <w:pStyle w:val="BodyText"/>
        <w:rPr>
          <w:sz w:val="13"/>
        </w:rPr>
      </w:pPr>
      <w:r>
        <w:rPr/>
        <w:pict>
          <v:line style="position:absolute;mso-position-horizontal-relative:page;mso-position-vertical-relative:paragraph;z-index:1432;mso-wrap-distance-left:0;mso-wrap-distance-right:0" from="42.519699pt,9.931097pt" to="114.519699pt,9.931097pt" stroked="true" strokeweight="1pt" strokecolor="#000000">
            <w10:wrap type="topAndBottom"/>
          </v:line>
        </w:pict>
      </w:r>
    </w:p>
    <w:p>
      <w:pPr>
        <w:spacing w:before="28"/>
        <w:ind w:left="110" w:right="0" w:firstLine="0"/>
        <w:jc w:val="left"/>
        <w:rPr>
          <w:sz w:val="18"/>
        </w:rPr>
      </w:pPr>
      <w:r>
        <w:rPr>
          <w:position w:val="7"/>
          <w:sz w:val="11"/>
        </w:rPr>
        <w:t>42    </w:t>
      </w:r>
      <w:r>
        <w:rPr>
          <w:sz w:val="18"/>
        </w:rPr>
        <w:t>Secretaría de Finanzas, procuraduría fiscal, </w:t>
      </w:r>
      <w:r>
        <w:rPr>
          <w:i/>
          <w:sz w:val="18"/>
        </w:rPr>
        <w:t>Op. Cit</w:t>
      </w:r>
      <w:r>
        <w:rPr>
          <w:sz w:val="18"/>
        </w:rPr>
        <w:t>.</w:t>
      </w:r>
    </w:p>
    <w:p>
      <w:pPr>
        <w:spacing w:line="249" w:lineRule="auto" w:before="28"/>
        <w:ind w:left="337" w:right="0" w:hanging="227"/>
        <w:jc w:val="left"/>
        <w:rPr>
          <w:sz w:val="18"/>
        </w:rPr>
      </w:pPr>
      <w:r>
        <w:rPr>
          <w:position w:val="7"/>
          <w:sz w:val="11"/>
        </w:rPr>
        <w:t>43 </w:t>
      </w:r>
      <w:r>
        <w:rPr>
          <w:sz w:val="18"/>
        </w:rPr>
        <w:t>Información proporcionada para esta investigación en entrevista con el director general de auditoría, 29 de octubre del 2010.</w:t>
      </w:r>
    </w:p>
    <w:p>
      <w:pPr>
        <w:spacing w:after="0" w:line="249" w:lineRule="auto"/>
        <w:jc w:val="left"/>
        <w:rPr>
          <w:sz w:val="18"/>
        </w:rPr>
        <w:sectPr>
          <w:pgSz w:w="9360" w:h="13040"/>
          <w:pgMar w:header="527" w:footer="514" w:top="720" w:bottom="700" w:left="740" w:right="1300"/>
        </w:sectPr>
      </w:pPr>
    </w:p>
    <w:p>
      <w:pPr>
        <w:pStyle w:val="BodyText"/>
        <w:spacing w:before="7"/>
        <w:rPr>
          <w:sz w:val="29"/>
        </w:rPr>
      </w:pPr>
    </w:p>
    <w:p>
      <w:pPr>
        <w:pStyle w:val="Heading3"/>
        <w:spacing w:before="71"/>
      </w:pPr>
      <w:bookmarkStart w:name="_TOC_250030" w:id="13"/>
      <w:bookmarkEnd w:id="13"/>
      <w:r>
        <w:rPr/>
        <w:t>Conclusión del Capítulo I.</w:t>
      </w:r>
    </w:p>
    <w:p>
      <w:pPr>
        <w:pStyle w:val="BodyText"/>
        <w:spacing w:before="9"/>
        <w:rPr>
          <w:b/>
          <w:sz w:val="22"/>
        </w:rPr>
      </w:pPr>
    </w:p>
    <w:p>
      <w:pPr>
        <w:pStyle w:val="BodyText"/>
        <w:spacing w:line="260" w:lineRule="exact"/>
        <w:ind w:left="117" w:right="109"/>
        <w:jc w:val="both"/>
      </w:pPr>
      <w:r>
        <w:rPr/>
        <w:t>De acuerdo a los elementos del federalismo subsidiario, los factores que afectan la participación preferente y formativa de la autoridad fiscal del Estado</w:t>
      </w:r>
      <w:r>
        <w:rPr>
          <w:spacing w:val="-7"/>
        </w:rPr>
        <w:t> </w:t>
      </w:r>
      <w:r>
        <w:rPr/>
        <w:t>de</w:t>
      </w:r>
      <w:r>
        <w:rPr>
          <w:spacing w:val="-7"/>
        </w:rPr>
        <w:t> </w:t>
      </w:r>
      <w:r>
        <w:rPr/>
        <w:t>Hidalgo</w:t>
      </w:r>
      <w:r>
        <w:rPr>
          <w:spacing w:val="-6"/>
        </w:rPr>
        <w:t> </w:t>
      </w:r>
      <w:r>
        <w:rPr/>
        <w:t>en</w:t>
      </w:r>
      <w:r>
        <w:rPr>
          <w:spacing w:val="-7"/>
        </w:rPr>
        <w:t> </w:t>
      </w:r>
      <w:r>
        <w:rPr/>
        <w:t>la</w:t>
      </w:r>
      <w:r>
        <w:rPr>
          <w:spacing w:val="-7"/>
        </w:rPr>
        <w:t> </w:t>
      </w:r>
      <w:r>
        <w:rPr/>
        <w:t>recaudación</w:t>
      </w:r>
      <w:r>
        <w:rPr>
          <w:spacing w:val="-7"/>
        </w:rPr>
        <w:t> </w:t>
      </w:r>
      <w:r>
        <w:rPr/>
        <w:t>de</w:t>
      </w:r>
      <w:r>
        <w:rPr>
          <w:spacing w:val="-7"/>
        </w:rPr>
        <w:t> </w:t>
      </w:r>
      <w:r>
        <w:rPr/>
        <w:t>los</w:t>
      </w:r>
      <w:r>
        <w:rPr>
          <w:spacing w:val="-7"/>
        </w:rPr>
        <w:t> </w:t>
      </w:r>
      <w:r>
        <w:rPr/>
        <w:t>principales</w:t>
      </w:r>
      <w:r>
        <w:rPr>
          <w:spacing w:val="-7"/>
        </w:rPr>
        <w:t> </w:t>
      </w:r>
      <w:r>
        <w:rPr/>
        <w:t>conceptos</w:t>
      </w:r>
      <w:r>
        <w:rPr>
          <w:spacing w:val="-7"/>
        </w:rPr>
        <w:t> </w:t>
      </w:r>
      <w:r>
        <w:rPr/>
        <w:t>impositivos concurrentes</w:t>
      </w:r>
      <w:r>
        <w:rPr>
          <w:spacing w:val="-5"/>
        </w:rPr>
        <w:t> </w:t>
      </w:r>
      <w:r>
        <w:rPr/>
        <w:t>son:</w:t>
      </w:r>
    </w:p>
    <w:p>
      <w:pPr>
        <w:pStyle w:val="BodyText"/>
        <w:spacing w:before="7"/>
        <w:rPr>
          <w:sz w:val="22"/>
        </w:rPr>
      </w:pPr>
    </w:p>
    <w:p>
      <w:pPr>
        <w:pStyle w:val="ListParagraph"/>
        <w:numPr>
          <w:ilvl w:val="2"/>
          <w:numId w:val="4"/>
        </w:numPr>
        <w:tabs>
          <w:tab w:pos="685" w:val="left" w:leader="none"/>
        </w:tabs>
        <w:spacing w:line="260" w:lineRule="exact" w:before="0" w:after="0"/>
        <w:ind w:left="684" w:right="108" w:hanging="284"/>
        <w:jc w:val="both"/>
        <w:rPr>
          <w:i/>
          <w:sz w:val="23"/>
        </w:rPr>
      </w:pPr>
      <w:r>
        <w:rPr>
          <w:sz w:val="23"/>
        </w:rPr>
        <w:t>Según</w:t>
      </w:r>
      <w:r>
        <w:rPr>
          <w:spacing w:val="-13"/>
          <w:sz w:val="23"/>
        </w:rPr>
        <w:t> </w:t>
      </w:r>
      <w:r>
        <w:rPr>
          <w:sz w:val="23"/>
        </w:rPr>
        <w:t>la</w:t>
      </w:r>
      <w:r>
        <w:rPr>
          <w:spacing w:val="-13"/>
          <w:sz w:val="23"/>
        </w:rPr>
        <w:t> </w:t>
      </w:r>
      <w:r>
        <w:rPr>
          <w:i/>
          <w:sz w:val="23"/>
        </w:rPr>
        <w:t>capacidad</w:t>
      </w:r>
      <w:r>
        <w:rPr>
          <w:i/>
          <w:spacing w:val="-13"/>
          <w:sz w:val="23"/>
        </w:rPr>
        <w:t> </w:t>
      </w:r>
      <w:r>
        <w:rPr>
          <w:i/>
          <w:sz w:val="23"/>
        </w:rPr>
        <w:t>intergubernamental</w:t>
      </w:r>
      <w:r>
        <w:rPr>
          <w:i/>
          <w:spacing w:val="-13"/>
          <w:sz w:val="23"/>
        </w:rPr>
        <w:t> </w:t>
      </w:r>
      <w:r>
        <w:rPr>
          <w:i/>
          <w:sz w:val="23"/>
        </w:rPr>
        <w:t>de</w:t>
      </w:r>
      <w:r>
        <w:rPr>
          <w:i/>
          <w:spacing w:val="-13"/>
          <w:sz w:val="23"/>
        </w:rPr>
        <w:t> </w:t>
      </w:r>
      <w:r>
        <w:rPr>
          <w:i/>
          <w:sz w:val="23"/>
        </w:rPr>
        <w:t>asociación</w:t>
      </w:r>
      <w:r>
        <w:rPr>
          <w:i/>
          <w:spacing w:val="-13"/>
          <w:sz w:val="23"/>
        </w:rPr>
        <w:t> </w:t>
      </w:r>
      <w:r>
        <w:rPr>
          <w:i/>
          <w:sz w:val="23"/>
        </w:rPr>
        <w:t>estratégica</w:t>
      </w:r>
      <w:r>
        <w:rPr>
          <w:sz w:val="23"/>
        </w:rPr>
        <w:t>,</w:t>
      </w:r>
      <w:r>
        <w:rPr>
          <w:spacing w:val="-13"/>
          <w:sz w:val="23"/>
        </w:rPr>
        <w:t> </w:t>
      </w:r>
      <w:r>
        <w:rPr>
          <w:sz w:val="23"/>
        </w:rPr>
        <w:t>y</w:t>
      </w:r>
      <w:r>
        <w:rPr>
          <w:spacing w:val="-13"/>
          <w:sz w:val="23"/>
        </w:rPr>
        <w:t> </w:t>
      </w:r>
      <w:r>
        <w:rPr>
          <w:sz w:val="23"/>
        </w:rPr>
        <w:t>en paralelo a la verticalidad impuesta por la Ley de Coordinación Fiscal, la alta representación del Estado de Hidalgo en el SNCF se desempeña bajo criterios de división político-partidista, afectando de este modo la visión de </w:t>
      </w:r>
      <w:r>
        <w:rPr>
          <w:i/>
          <w:sz w:val="23"/>
        </w:rPr>
        <w:t>reforzar las funciones recaudatorias estatales a través del </w:t>
      </w:r>
      <w:r>
        <w:rPr>
          <w:i/>
          <w:sz w:val="23"/>
        </w:rPr>
        <w:t>trabajo</w:t>
      </w:r>
      <w:r>
        <w:rPr>
          <w:i/>
          <w:spacing w:val="-1"/>
          <w:sz w:val="23"/>
        </w:rPr>
        <w:t> </w:t>
      </w:r>
      <w:r>
        <w:rPr>
          <w:i/>
          <w:sz w:val="23"/>
        </w:rPr>
        <w:t>asociativo.</w:t>
      </w:r>
    </w:p>
    <w:p>
      <w:pPr>
        <w:pStyle w:val="BodyText"/>
        <w:spacing w:before="7"/>
        <w:rPr>
          <w:i/>
          <w:sz w:val="22"/>
        </w:rPr>
      </w:pPr>
    </w:p>
    <w:p>
      <w:pPr>
        <w:pStyle w:val="ListParagraph"/>
        <w:numPr>
          <w:ilvl w:val="2"/>
          <w:numId w:val="4"/>
        </w:numPr>
        <w:tabs>
          <w:tab w:pos="685" w:val="left" w:leader="none"/>
        </w:tabs>
        <w:spacing w:line="260" w:lineRule="exact" w:before="0" w:after="0"/>
        <w:ind w:left="684" w:right="108" w:hanging="284"/>
        <w:jc w:val="both"/>
        <w:rPr>
          <w:sz w:val="23"/>
        </w:rPr>
      </w:pPr>
      <w:r>
        <w:rPr>
          <w:sz w:val="23"/>
        </w:rPr>
        <w:t>Con base en la </w:t>
      </w:r>
      <w:r>
        <w:rPr>
          <w:i/>
          <w:sz w:val="23"/>
        </w:rPr>
        <w:t>restricción competencial de las formaciones sociales </w:t>
      </w:r>
      <w:r>
        <w:rPr>
          <w:i/>
          <w:sz w:val="23"/>
        </w:rPr>
        <w:t>más complejas</w:t>
      </w:r>
      <w:r>
        <w:rPr>
          <w:sz w:val="23"/>
        </w:rPr>
        <w:t>, la verticalidad impuesta por la Ley de Coordinación Fiscal se impone ante el acuerdo tácito de la autoridad fiscal del Estado. El desempeño estatal proyectado, según la planeación dirigida preponderantemente por la federación, tiende a moderar sus alcances por eventualidades y características de ambos niveles de</w:t>
      </w:r>
      <w:r>
        <w:rPr>
          <w:spacing w:val="-3"/>
          <w:sz w:val="23"/>
        </w:rPr>
        <w:t> </w:t>
      </w:r>
      <w:r>
        <w:rPr>
          <w:sz w:val="23"/>
        </w:rPr>
        <w:t>gobierno.</w:t>
      </w:r>
    </w:p>
    <w:p>
      <w:pPr>
        <w:pStyle w:val="BodyText"/>
        <w:spacing w:before="7"/>
        <w:rPr>
          <w:sz w:val="22"/>
        </w:rPr>
      </w:pPr>
    </w:p>
    <w:p>
      <w:pPr>
        <w:pStyle w:val="ListParagraph"/>
        <w:numPr>
          <w:ilvl w:val="2"/>
          <w:numId w:val="4"/>
        </w:numPr>
        <w:tabs>
          <w:tab w:pos="685" w:val="left" w:leader="none"/>
        </w:tabs>
        <w:spacing w:line="260" w:lineRule="exact" w:before="0" w:after="0"/>
        <w:ind w:left="684" w:right="108" w:hanging="284"/>
        <w:jc w:val="both"/>
        <w:rPr>
          <w:sz w:val="23"/>
        </w:rPr>
      </w:pPr>
      <w:r>
        <w:rPr>
          <w:sz w:val="23"/>
        </w:rPr>
        <w:t>Con respecto a la </w:t>
      </w:r>
      <w:r>
        <w:rPr>
          <w:i/>
          <w:sz w:val="23"/>
        </w:rPr>
        <w:t>evaluación de las sociedades más simples para       </w:t>
      </w:r>
      <w:r>
        <w:rPr>
          <w:i/>
          <w:sz w:val="23"/>
        </w:rPr>
        <w:t>el  ejercicio  subsidiario</w:t>
      </w:r>
      <w:r>
        <w:rPr>
          <w:sz w:val="23"/>
        </w:rPr>
        <w:t>,  las  variantes  de  evaluación  (concurrente   e interna) que la autoridad fiscal estatal realiza no necesariamente pretenden aportar evidencia para orientar una mayor descentralización de funciones</w:t>
      </w:r>
      <w:r>
        <w:rPr>
          <w:spacing w:val="-13"/>
          <w:sz w:val="23"/>
        </w:rPr>
        <w:t> </w:t>
      </w:r>
      <w:r>
        <w:rPr>
          <w:sz w:val="23"/>
        </w:rPr>
        <w:t>fiscales.</w:t>
      </w:r>
    </w:p>
    <w:p>
      <w:pPr>
        <w:pStyle w:val="BodyText"/>
        <w:spacing w:before="7"/>
        <w:rPr>
          <w:sz w:val="22"/>
        </w:rPr>
      </w:pPr>
    </w:p>
    <w:p>
      <w:pPr>
        <w:pStyle w:val="ListParagraph"/>
        <w:numPr>
          <w:ilvl w:val="2"/>
          <w:numId w:val="4"/>
        </w:numPr>
        <w:tabs>
          <w:tab w:pos="685" w:val="left" w:leader="none"/>
        </w:tabs>
        <w:spacing w:line="260" w:lineRule="exact" w:before="0" w:after="0"/>
        <w:ind w:left="684" w:right="108" w:hanging="284"/>
        <w:jc w:val="both"/>
        <w:rPr>
          <w:sz w:val="23"/>
        </w:rPr>
      </w:pPr>
      <w:r>
        <w:rPr>
          <w:sz w:val="23"/>
        </w:rPr>
        <w:t>Sobre el </w:t>
      </w:r>
      <w:r>
        <w:rPr>
          <w:i/>
          <w:sz w:val="23"/>
        </w:rPr>
        <w:t>avance competencial de las sociedades más simples</w:t>
      </w:r>
      <w:r>
        <w:rPr>
          <w:sz w:val="23"/>
        </w:rPr>
        <w:t>, la austeridad del gasto operativo y el cobro predominante de conceptos impositivos estatales son las causas de que la operación en los programas relativos a la colaboración administrativa sea de regular a mala, reafirmando el desinterés por una mayor descentralización en la recaudación de los principales conceptos impositivos</w:t>
      </w:r>
      <w:r>
        <w:rPr>
          <w:spacing w:val="-3"/>
          <w:sz w:val="23"/>
        </w:rPr>
        <w:t> </w:t>
      </w:r>
      <w:r>
        <w:rPr>
          <w:sz w:val="23"/>
        </w:rPr>
        <w:t>concurrentes.</w:t>
      </w:r>
    </w:p>
    <w:p>
      <w:pPr>
        <w:pStyle w:val="BodyText"/>
        <w:spacing w:before="7"/>
        <w:rPr>
          <w:sz w:val="22"/>
        </w:rPr>
      </w:pPr>
    </w:p>
    <w:p>
      <w:pPr>
        <w:pStyle w:val="BodyText"/>
        <w:spacing w:line="260" w:lineRule="exact"/>
        <w:ind w:left="116" w:right="108"/>
        <w:jc w:val="both"/>
      </w:pPr>
      <w:r>
        <w:rPr/>
        <w:t>La evaluación conjunta según la grada o escala correspondiente a este capítulo</w:t>
      </w:r>
      <w:r>
        <w:rPr>
          <w:spacing w:val="-4"/>
        </w:rPr>
        <w:t> </w:t>
      </w:r>
      <w:r>
        <w:rPr/>
        <w:t>es</w:t>
      </w:r>
      <w:r>
        <w:rPr>
          <w:spacing w:val="-4"/>
        </w:rPr>
        <w:t> </w:t>
      </w:r>
      <w:r>
        <w:rPr/>
        <w:t>de</w:t>
      </w:r>
      <w:r>
        <w:rPr>
          <w:spacing w:val="-4"/>
        </w:rPr>
        <w:t> </w:t>
      </w:r>
      <w:r>
        <w:rPr/>
        <w:t>2.75,</w:t>
      </w:r>
      <w:r>
        <w:rPr>
          <w:spacing w:val="-4"/>
        </w:rPr>
        <w:t> </w:t>
      </w:r>
      <w:r>
        <w:rPr/>
        <w:t>lo</w:t>
      </w:r>
      <w:r>
        <w:rPr>
          <w:spacing w:val="-4"/>
        </w:rPr>
        <w:t> </w:t>
      </w:r>
      <w:r>
        <w:rPr/>
        <w:t>cual</w:t>
      </w:r>
      <w:r>
        <w:rPr>
          <w:spacing w:val="-4"/>
        </w:rPr>
        <w:t> </w:t>
      </w:r>
      <w:r>
        <w:rPr/>
        <w:t>coloca</w:t>
      </w:r>
      <w:r>
        <w:rPr>
          <w:spacing w:val="-4"/>
        </w:rPr>
        <w:t> </w:t>
      </w:r>
      <w:r>
        <w:rPr/>
        <w:t>a</w:t>
      </w:r>
      <w:r>
        <w:rPr>
          <w:spacing w:val="-4"/>
        </w:rPr>
        <w:t> </w:t>
      </w:r>
      <w:r>
        <w:rPr/>
        <w:t>la</w:t>
      </w:r>
      <w:r>
        <w:rPr>
          <w:spacing w:val="-4"/>
        </w:rPr>
        <w:t> </w:t>
      </w:r>
      <w:r>
        <w:rPr/>
        <w:t>entidad</w:t>
      </w:r>
      <w:r>
        <w:rPr>
          <w:spacing w:val="-4"/>
        </w:rPr>
        <w:t> </w:t>
      </w:r>
      <w:r>
        <w:rPr/>
        <w:t>por</w:t>
      </w:r>
      <w:r>
        <w:rPr>
          <w:spacing w:val="-4"/>
        </w:rPr>
        <w:t> </w:t>
      </w:r>
      <w:r>
        <w:rPr/>
        <w:t>debajo</w:t>
      </w:r>
      <w:r>
        <w:rPr>
          <w:spacing w:val="-4"/>
        </w:rPr>
        <w:t> </w:t>
      </w:r>
      <w:r>
        <w:rPr/>
        <w:t>de</w:t>
      </w:r>
      <w:r>
        <w:rPr>
          <w:spacing w:val="-4"/>
        </w:rPr>
        <w:t> </w:t>
      </w:r>
      <w:r>
        <w:rPr/>
        <w:t>la</w:t>
      </w:r>
      <w:r>
        <w:rPr>
          <w:spacing w:val="-4"/>
        </w:rPr>
        <w:t> </w:t>
      </w:r>
      <w:r>
        <w:rPr/>
        <w:t>media</w:t>
      </w:r>
      <w:r>
        <w:rPr>
          <w:spacing w:val="-4"/>
        </w:rPr>
        <w:t> </w:t>
      </w:r>
      <w:r>
        <w:rPr/>
        <w:t>lograda en investigaciones anteriores (3.58). Sin embargo, cabe destacar que se han detectado algunos rasgos primarios que pudieran significar ventajas a favor del</w:t>
      </w:r>
      <w:r>
        <w:rPr>
          <w:spacing w:val="24"/>
        </w:rPr>
        <w:t> </w:t>
      </w:r>
      <w:r>
        <w:rPr/>
        <w:t>marco</w:t>
      </w:r>
      <w:r>
        <w:rPr>
          <w:spacing w:val="24"/>
        </w:rPr>
        <w:t> </w:t>
      </w:r>
      <w:r>
        <w:rPr/>
        <w:t>teórico</w:t>
      </w:r>
      <w:r>
        <w:rPr>
          <w:spacing w:val="24"/>
        </w:rPr>
        <w:t> </w:t>
      </w:r>
      <w:r>
        <w:rPr/>
        <w:t>ocupado</w:t>
      </w:r>
      <w:r>
        <w:rPr>
          <w:spacing w:val="24"/>
        </w:rPr>
        <w:t> </w:t>
      </w:r>
      <w:r>
        <w:rPr/>
        <w:t>por</w:t>
      </w:r>
      <w:r>
        <w:rPr>
          <w:spacing w:val="24"/>
        </w:rPr>
        <w:t> </w:t>
      </w:r>
      <w:r>
        <w:rPr/>
        <w:t>el</w:t>
      </w:r>
      <w:r>
        <w:rPr>
          <w:spacing w:val="24"/>
        </w:rPr>
        <w:t> </w:t>
      </w:r>
      <w:r>
        <w:rPr/>
        <w:t>presente</w:t>
      </w:r>
      <w:r>
        <w:rPr>
          <w:spacing w:val="24"/>
        </w:rPr>
        <w:t> </w:t>
      </w:r>
      <w:r>
        <w:rPr/>
        <w:t>artículo,</w:t>
      </w:r>
      <w:r>
        <w:rPr>
          <w:spacing w:val="23"/>
        </w:rPr>
        <w:t> </w:t>
      </w:r>
      <w:r>
        <w:rPr/>
        <w:t>las</w:t>
      </w:r>
      <w:r>
        <w:rPr>
          <w:spacing w:val="24"/>
        </w:rPr>
        <w:t> </w:t>
      </w:r>
      <w:r>
        <w:rPr/>
        <w:t>cuales</w:t>
      </w:r>
      <w:r>
        <w:rPr>
          <w:spacing w:val="24"/>
        </w:rPr>
        <w:t> </w:t>
      </w:r>
      <w:r>
        <w:rPr/>
        <w:t>se</w:t>
      </w:r>
      <w:r>
        <w:rPr>
          <w:spacing w:val="24"/>
        </w:rPr>
        <w:t> </w:t>
      </w:r>
      <w:r>
        <w:rPr/>
        <w:t>presentan</w:t>
      </w:r>
    </w:p>
    <w:p>
      <w:pPr>
        <w:spacing w:after="0" w:line="260" w:lineRule="exact"/>
        <w:jc w:val="both"/>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5"/>
        <w:jc w:val="both"/>
      </w:pPr>
      <w:r>
        <w:rPr/>
        <w:t>a continuación en el orden en el que han sido señalados los elementos del federalismo subsidiario:</w:t>
      </w:r>
    </w:p>
    <w:p>
      <w:pPr>
        <w:pStyle w:val="BodyText"/>
        <w:spacing w:before="7"/>
        <w:rPr>
          <w:sz w:val="22"/>
        </w:rPr>
      </w:pPr>
    </w:p>
    <w:p>
      <w:pPr>
        <w:pStyle w:val="ListParagraph"/>
        <w:numPr>
          <w:ilvl w:val="3"/>
          <w:numId w:val="4"/>
        </w:numPr>
        <w:tabs>
          <w:tab w:pos="678" w:val="left" w:leader="none"/>
        </w:tabs>
        <w:spacing w:line="260" w:lineRule="exact" w:before="0" w:after="0"/>
        <w:ind w:left="677" w:right="114" w:hanging="284"/>
        <w:jc w:val="both"/>
        <w:rPr>
          <w:sz w:val="23"/>
        </w:rPr>
      </w:pPr>
      <w:r>
        <w:rPr>
          <w:sz w:val="23"/>
        </w:rPr>
        <w:t>Al margen del posicionamiento de la alta representación estatal en      el </w:t>
      </w:r>
      <w:r>
        <w:rPr>
          <w:spacing w:val="-5"/>
          <w:sz w:val="23"/>
        </w:rPr>
        <w:t>SNCF, </w:t>
      </w:r>
      <w:r>
        <w:rPr>
          <w:sz w:val="23"/>
        </w:rPr>
        <w:t>algunos funcionarios menores han logrado </w:t>
      </w:r>
      <w:r>
        <w:rPr>
          <w:i/>
          <w:sz w:val="23"/>
        </w:rPr>
        <w:t>asociaciones </w:t>
      </w:r>
      <w:r>
        <w:rPr>
          <w:i/>
          <w:sz w:val="23"/>
        </w:rPr>
        <w:t>regionales </w:t>
      </w:r>
      <w:r>
        <w:rPr>
          <w:sz w:val="23"/>
        </w:rPr>
        <w:t>que celebran reuniones deliberativas para estandarizar criterios de la coordinación fiscal jerárquica, dejando a un lado las diferencias de extracción política. Es necesario que estas reuniones    se orienten al ideal de reforzar la recaudación estatal de los conceptos coordinados, y que una vez alcanzado cierto grado de madurez en la deliberación correspondiente ésta se mude al Sistema Nacional de Coordinación Fiscal, reivindicando su capacidad asociativa desde la visión</w:t>
      </w:r>
      <w:r>
        <w:rPr>
          <w:spacing w:val="-12"/>
          <w:sz w:val="23"/>
        </w:rPr>
        <w:t> </w:t>
      </w:r>
      <w:r>
        <w:rPr>
          <w:sz w:val="23"/>
        </w:rPr>
        <w:t>subsidiaria.</w:t>
      </w:r>
    </w:p>
    <w:p>
      <w:pPr>
        <w:pStyle w:val="BodyText"/>
        <w:spacing w:before="7"/>
        <w:rPr>
          <w:sz w:val="22"/>
        </w:rPr>
      </w:pPr>
    </w:p>
    <w:p>
      <w:pPr>
        <w:pStyle w:val="ListParagraph"/>
        <w:numPr>
          <w:ilvl w:val="3"/>
          <w:numId w:val="4"/>
        </w:numPr>
        <w:tabs>
          <w:tab w:pos="678" w:val="left" w:leader="none"/>
        </w:tabs>
        <w:spacing w:line="260" w:lineRule="exact" w:before="0" w:after="0"/>
        <w:ind w:left="677" w:right="114" w:hanging="284"/>
        <w:jc w:val="both"/>
        <w:rPr>
          <w:sz w:val="23"/>
        </w:rPr>
      </w:pPr>
      <w:r>
        <w:rPr>
          <w:sz w:val="23"/>
        </w:rPr>
        <w:t>La </w:t>
      </w:r>
      <w:r>
        <w:rPr>
          <w:i/>
          <w:sz w:val="23"/>
        </w:rPr>
        <w:t>propuesta de descentralizar </w:t>
      </w:r>
      <w:r>
        <w:rPr>
          <w:sz w:val="23"/>
        </w:rPr>
        <w:t>la fiscalización del IDE hacia el orden estatal,</w:t>
      </w:r>
      <w:r>
        <w:rPr>
          <w:spacing w:val="-25"/>
          <w:sz w:val="23"/>
        </w:rPr>
        <w:t> </w:t>
      </w:r>
      <w:r>
        <w:rPr>
          <w:sz w:val="23"/>
        </w:rPr>
        <w:t>aún</w:t>
      </w:r>
      <w:r>
        <w:rPr>
          <w:spacing w:val="-24"/>
          <w:sz w:val="23"/>
        </w:rPr>
        <w:t> </w:t>
      </w:r>
      <w:r>
        <w:rPr>
          <w:sz w:val="23"/>
        </w:rPr>
        <w:t>sin</w:t>
      </w:r>
      <w:r>
        <w:rPr>
          <w:spacing w:val="-24"/>
          <w:sz w:val="23"/>
        </w:rPr>
        <w:t> </w:t>
      </w:r>
      <w:r>
        <w:rPr>
          <w:sz w:val="23"/>
        </w:rPr>
        <w:t>resultados</w:t>
      </w:r>
      <w:r>
        <w:rPr>
          <w:spacing w:val="-24"/>
          <w:sz w:val="23"/>
        </w:rPr>
        <w:t> </w:t>
      </w:r>
      <w:r>
        <w:rPr>
          <w:sz w:val="23"/>
        </w:rPr>
        <w:t>tangibles,</w:t>
      </w:r>
      <w:r>
        <w:rPr>
          <w:spacing w:val="-25"/>
          <w:sz w:val="23"/>
        </w:rPr>
        <w:t> </w:t>
      </w:r>
      <w:r>
        <w:rPr>
          <w:sz w:val="23"/>
        </w:rPr>
        <w:t>representa</w:t>
      </w:r>
      <w:r>
        <w:rPr>
          <w:spacing w:val="-24"/>
          <w:sz w:val="23"/>
        </w:rPr>
        <w:t> </w:t>
      </w:r>
      <w:r>
        <w:rPr>
          <w:sz w:val="23"/>
        </w:rPr>
        <w:t>un</w:t>
      </w:r>
      <w:r>
        <w:rPr>
          <w:spacing w:val="-24"/>
          <w:sz w:val="23"/>
        </w:rPr>
        <w:t> </w:t>
      </w:r>
      <w:r>
        <w:rPr>
          <w:sz w:val="23"/>
        </w:rPr>
        <w:t>primer</w:t>
      </w:r>
      <w:r>
        <w:rPr>
          <w:spacing w:val="-24"/>
          <w:sz w:val="23"/>
        </w:rPr>
        <w:t> </w:t>
      </w:r>
      <w:r>
        <w:rPr>
          <w:sz w:val="23"/>
        </w:rPr>
        <w:t>paso</w:t>
      </w:r>
      <w:r>
        <w:rPr>
          <w:spacing w:val="-24"/>
          <w:sz w:val="23"/>
        </w:rPr>
        <w:t> </w:t>
      </w:r>
      <w:r>
        <w:rPr>
          <w:sz w:val="23"/>
        </w:rPr>
        <w:t>del</w:t>
      </w:r>
      <w:r>
        <w:rPr>
          <w:spacing w:val="-24"/>
          <w:sz w:val="23"/>
        </w:rPr>
        <w:t> </w:t>
      </w:r>
      <w:r>
        <w:rPr>
          <w:sz w:val="23"/>
        </w:rPr>
        <w:t>interés estatal por reformar la centralización impuesta por los instrumentos jurídicos</w:t>
      </w:r>
      <w:r>
        <w:rPr>
          <w:spacing w:val="-11"/>
          <w:sz w:val="23"/>
        </w:rPr>
        <w:t> </w:t>
      </w:r>
      <w:r>
        <w:rPr>
          <w:sz w:val="23"/>
        </w:rPr>
        <w:t>de</w:t>
      </w:r>
      <w:r>
        <w:rPr>
          <w:spacing w:val="-11"/>
          <w:sz w:val="23"/>
        </w:rPr>
        <w:t> </w:t>
      </w:r>
      <w:r>
        <w:rPr>
          <w:sz w:val="23"/>
        </w:rPr>
        <w:t>la</w:t>
      </w:r>
      <w:r>
        <w:rPr>
          <w:spacing w:val="-11"/>
          <w:sz w:val="23"/>
        </w:rPr>
        <w:t> </w:t>
      </w:r>
      <w:r>
        <w:rPr>
          <w:sz w:val="23"/>
        </w:rPr>
        <w:t>coordinación</w:t>
      </w:r>
      <w:r>
        <w:rPr>
          <w:spacing w:val="-11"/>
          <w:sz w:val="23"/>
        </w:rPr>
        <w:t> </w:t>
      </w:r>
      <w:r>
        <w:rPr>
          <w:sz w:val="23"/>
        </w:rPr>
        <w:t>fiscal.</w:t>
      </w:r>
      <w:r>
        <w:rPr>
          <w:spacing w:val="-11"/>
          <w:sz w:val="23"/>
        </w:rPr>
        <w:t> </w:t>
      </w:r>
      <w:r>
        <w:rPr>
          <w:sz w:val="23"/>
        </w:rPr>
        <w:t>Estas</w:t>
      </w:r>
      <w:r>
        <w:rPr>
          <w:spacing w:val="-11"/>
          <w:sz w:val="23"/>
        </w:rPr>
        <w:t> </w:t>
      </w:r>
      <w:r>
        <w:rPr>
          <w:sz w:val="23"/>
        </w:rPr>
        <w:t>iniciativas</w:t>
      </w:r>
      <w:r>
        <w:rPr>
          <w:spacing w:val="-11"/>
          <w:sz w:val="23"/>
        </w:rPr>
        <w:t> </w:t>
      </w:r>
      <w:r>
        <w:rPr>
          <w:sz w:val="23"/>
        </w:rPr>
        <w:t>pueden</w:t>
      </w:r>
      <w:r>
        <w:rPr>
          <w:spacing w:val="-11"/>
          <w:sz w:val="23"/>
        </w:rPr>
        <w:t> </w:t>
      </w:r>
      <w:r>
        <w:rPr>
          <w:sz w:val="23"/>
        </w:rPr>
        <w:t>introducirse en la actividad descrita en el inciso</w:t>
      </w:r>
      <w:r>
        <w:rPr>
          <w:spacing w:val="-18"/>
          <w:sz w:val="23"/>
        </w:rPr>
        <w:t> </w:t>
      </w:r>
      <w:r>
        <w:rPr>
          <w:sz w:val="23"/>
        </w:rPr>
        <w:t>anterior.</w:t>
      </w:r>
    </w:p>
    <w:p>
      <w:pPr>
        <w:pStyle w:val="BodyText"/>
        <w:spacing w:before="7"/>
        <w:rPr>
          <w:sz w:val="22"/>
        </w:rPr>
      </w:pPr>
    </w:p>
    <w:p>
      <w:pPr>
        <w:pStyle w:val="ListParagraph"/>
        <w:numPr>
          <w:ilvl w:val="3"/>
          <w:numId w:val="4"/>
        </w:numPr>
        <w:tabs>
          <w:tab w:pos="678" w:val="left" w:leader="none"/>
        </w:tabs>
        <w:spacing w:line="260" w:lineRule="exact" w:before="0" w:after="0"/>
        <w:ind w:left="677" w:right="115" w:hanging="284"/>
        <w:jc w:val="both"/>
        <w:rPr>
          <w:sz w:val="23"/>
        </w:rPr>
      </w:pPr>
      <w:r>
        <w:rPr>
          <w:sz w:val="23"/>
        </w:rPr>
        <w:t>Los mecanismos logrados de </w:t>
      </w:r>
      <w:r>
        <w:rPr>
          <w:i/>
          <w:sz w:val="23"/>
        </w:rPr>
        <w:t>evaluación, </w:t>
      </w:r>
      <w:r>
        <w:rPr>
          <w:sz w:val="23"/>
        </w:rPr>
        <w:t>tanto concurrente como interna, son avances que sólo requieren la debida orientación hacia la causa</w:t>
      </w:r>
      <w:r>
        <w:rPr>
          <w:spacing w:val="-13"/>
          <w:sz w:val="23"/>
        </w:rPr>
        <w:t> </w:t>
      </w:r>
      <w:r>
        <w:rPr>
          <w:sz w:val="23"/>
        </w:rPr>
        <w:t>subsidiaria.</w:t>
      </w:r>
    </w:p>
    <w:p>
      <w:pPr>
        <w:pStyle w:val="BodyText"/>
        <w:spacing w:before="7"/>
        <w:rPr>
          <w:sz w:val="22"/>
        </w:rPr>
      </w:pPr>
    </w:p>
    <w:p>
      <w:pPr>
        <w:pStyle w:val="ListParagraph"/>
        <w:numPr>
          <w:ilvl w:val="3"/>
          <w:numId w:val="4"/>
        </w:numPr>
        <w:tabs>
          <w:tab w:pos="678" w:val="left" w:leader="none"/>
        </w:tabs>
        <w:spacing w:line="260" w:lineRule="exact" w:before="0" w:after="0"/>
        <w:ind w:left="677" w:right="114" w:hanging="284"/>
        <w:jc w:val="both"/>
        <w:rPr>
          <w:sz w:val="23"/>
        </w:rPr>
      </w:pPr>
      <w:r>
        <w:rPr>
          <w:sz w:val="23"/>
        </w:rPr>
        <w:t>La tendencia estadística del costo beneficio  estatal  (CBE),  misma que coloca a la entidad en el sexto lugar de importancia en la materia durante el periodo 2000-2006, evidencia como fortaleza un</w:t>
      </w:r>
      <w:r>
        <w:rPr>
          <w:spacing w:val="-17"/>
          <w:sz w:val="23"/>
        </w:rPr>
        <w:t> </w:t>
      </w:r>
      <w:r>
        <w:rPr>
          <w:sz w:val="23"/>
        </w:rPr>
        <w:t>desempeño estratégico basado en obtener doce pesos 91/100 ($ 12.91) por cada unidad que se invierte en fiscalización (con poco se logra un buen rendimiento).</w:t>
      </w:r>
      <w:r>
        <w:rPr>
          <w:spacing w:val="-23"/>
          <w:sz w:val="23"/>
        </w:rPr>
        <w:t> </w:t>
      </w:r>
      <w:r>
        <w:rPr>
          <w:sz w:val="23"/>
        </w:rPr>
        <w:t>Al</w:t>
      </w:r>
      <w:r>
        <w:rPr>
          <w:spacing w:val="-12"/>
          <w:sz w:val="23"/>
        </w:rPr>
        <w:t> </w:t>
      </w:r>
      <w:r>
        <w:rPr>
          <w:sz w:val="23"/>
        </w:rPr>
        <w:t>ser</w:t>
      </w:r>
      <w:r>
        <w:rPr>
          <w:spacing w:val="-12"/>
          <w:sz w:val="23"/>
        </w:rPr>
        <w:t> </w:t>
      </w:r>
      <w:r>
        <w:rPr>
          <w:sz w:val="23"/>
        </w:rPr>
        <w:t>ésta</w:t>
      </w:r>
      <w:r>
        <w:rPr>
          <w:spacing w:val="-12"/>
          <w:sz w:val="23"/>
        </w:rPr>
        <w:t> </w:t>
      </w:r>
      <w:r>
        <w:rPr>
          <w:sz w:val="23"/>
        </w:rPr>
        <w:t>la</w:t>
      </w:r>
      <w:r>
        <w:rPr>
          <w:spacing w:val="-12"/>
          <w:sz w:val="23"/>
        </w:rPr>
        <w:t> </w:t>
      </w:r>
      <w:r>
        <w:rPr>
          <w:sz w:val="23"/>
        </w:rPr>
        <w:t>lógica</w:t>
      </w:r>
      <w:r>
        <w:rPr>
          <w:spacing w:val="-12"/>
          <w:sz w:val="23"/>
        </w:rPr>
        <w:t> </w:t>
      </w:r>
      <w:r>
        <w:rPr>
          <w:sz w:val="23"/>
        </w:rPr>
        <w:t>de</w:t>
      </w:r>
      <w:r>
        <w:rPr>
          <w:spacing w:val="-12"/>
          <w:sz w:val="23"/>
        </w:rPr>
        <w:t> </w:t>
      </w:r>
      <w:r>
        <w:rPr>
          <w:sz w:val="23"/>
        </w:rPr>
        <w:t>la</w:t>
      </w:r>
      <w:r>
        <w:rPr>
          <w:spacing w:val="-12"/>
          <w:sz w:val="23"/>
        </w:rPr>
        <w:t> </w:t>
      </w:r>
      <w:r>
        <w:rPr>
          <w:sz w:val="23"/>
        </w:rPr>
        <w:t>Dirección</w:t>
      </w:r>
      <w:r>
        <w:rPr>
          <w:spacing w:val="-11"/>
          <w:sz w:val="23"/>
        </w:rPr>
        <w:t> </w:t>
      </w:r>
      <w:r>
        <w:rPr>
          <w:sz w:val="23"/>
        </w:rPr>
        <w:t>General</w:t>
      </w:r>
      <w:r>
        <w:rPr>
          <w:spacing w:val="-11"/>
          <w:sz w:val="23"/>
        </w:rPr>
        <w:t> </w:t>
      </w:r>
      <w:r>
        <w:rPr>
          <w:sz w:val="23"/>
        </w:rPr>
        <w:t>de</w:t>
      </w:r>
      <w:r>
        <w:rPr>
          <w:spacing w:val="-23"/>
          <w:sz w:val="23"/>
        </w:rPr>
        <w:t> </w:t>
      </w:r>
      <w:r>
        <w:rPr>
          <w:sz w:val="23"/>
        </w:rPr>
        <w:t>Auditoría, se hace necesario que esta </w:t>
      </w:r>
      <w:r>
        <w:rPr>
          <w:i/>
          <w:sz w:val="23"/>
        </w:rPr>
        <w:t>visión estratégica </w:t>
      </w:r>
      <w:r>
        <w:rPr>
          <w:sz w:val="23"/>
        </w:rPr>
        <w:t>se extienda a toda la Secretaría de Finanzas del Estado de</w:t>
      </w:r>
      <w:r>
        <w:rPr>
          <w:spacing w:val="-25"/>
          <w:sz w:val="23"/>
        </w:rPr>
        <w:t> </w:t>
      </w:r>
      <w:r>
        <w:rPr>
          <w:sz w:val="23"/>
        </w:rPr>
        <w:t>Hidalgo.</w:t>
      </w:r>
    </w:p>
    <w:p>
      <w:pPr>
        <w:pStyle w:val="BodyText"/>
        <w:spacing w:before="7"/>
        <w:rPr>
          <w:sz w:val="22"/>
        </w:rPr>
      </w:pPr>
    </w:p>
    <w:p>
      <w:pPr>
        <w:pStyle w:val="BodyText"/>
        <w:spacing w:line="260" w:lineRule="exact"/>
        <w:ind w:left="110" w:right="114"/>
        <w:jc w:val="both"/>
      </w:pPr>
      <w:r>
        <w:rPr/>
        <w:t>En suma, la formación de los funcionarios de la Secretaría de Finanzas, incluyendo</w:t>
      </w:r>
      <w:r>
        <w:rPr>
          <w:spacing w:val="-14"/>
        </w:rPr>
        <w:t> </w:t>
      </w:r>
      <w:r>
        <w:rPr/>
        <w:t>a</w:t>
      </w:r>
      <w:r>
        <w:rPr>
          <w:spacing w:val="-14"/>
        </w:rPr>
        <w:t> </w:t>
      </w:r>
      <w:r>
        <w:rPr/>
        <w:t>sus</w:t>
      </w:r>
      <w:r>
        <w:rPr>
          <w:spacing w:val="-14"/>
        </w:rPr>
        <w:t> </w:t>
      </w:r>
      <w:r>
        <w:rPr/>
        <w:t>altas</w:t>
      </w:r>
      <w:r>
        <w:rPr>
          <w:spacing w:val="-14"/>
        </w:rPr>
        <w:t> </w:t>
      </w:r>
      <w:r>
        <w:rPr/>
        <w:t>jerarquías,</w:t>
      </w:r>
      <w:r>
        <w:rPr>
          <w:spacing w:val="-15"/>
        </w:rPr>
        <w:t> </w:t>
      </w:r>
      <w:r>
        <w:rPr/>
        <w:t>debe</w:t>
      </w:r>
      <w:r>
        <w:rPr>
          <w:spacing w:val="-14"/>
        </w:rPr>
        <w:t> </w:t>
      </w:r>
      <w:r>
        <w:rPr/>
        <w:t>realizarse</w:t>
      </w:r>
      <w:r>
        <w:rPr>
          <w:spacing w:val="-14"/>
        </w:rPr>
        <w:t> </w:t>
      </w:r>
      <w:r>
        <w:rPr/>
        <w:t>sobre</w:t>
      </w:r>
      <w:r>
        <w:rPr>
          <w:spacing w:val="-14"/>
        </w:rPr>
        <w:t> </w:t>
      </w:r>
      <w:r>
        <w:rPr/>
        <w:t>la</w:t>
      </w:r>
      <w:r>
        <w:rPr>
          <w:spacing w:val="-14"/>
        </w:rPr>
        <w:t> </w:t>
      </w:r>
      <w:r>
        <w:rPr/>
        <w:t>base</w:t>
      </w:r>
      <w:r>
        <w:rPr>
          <w:spacing w:val="-14"/>
        </w:rPr>
        <w:t> </w:t>
      </w:r>
      <w:r>
        <w:rPr/>
        <w:t>técnico-cultural del desempeño estratégico alcanzado en la Dirección General de Auditoría, a manera de expansión misionaria y de conocimientos reforzados con la visión subsidiaria de autonomía estratégica y operativa. En esa nueva cultura, resta cultivar los rasgos primarios encontrados: proyectar capacidades</w:t>
      </w:r>
      <w:r>
        <w:rPr>
          <w:spacing w:val="17"/>
        </w:rPr>
        <w:t> </w:t>
      </w:r>
      <w:r>
        <w:rPr/>
        <w:t>asociativas,</w:t>
      </w:r>
    </w:p>
    <w:p>
      <w:pPr>
        <w:spacing w:after="0" w:line="260" w:lineRule="exact"/>
        <w:jc w:val="both"/>
        <w:sectPr>
          <w:pgSz w:w="9360" w:h="13040"/>
          <w:pgMar w:header="527" w:footer="514" w:top="720" w:bottom="700" w:left="740" w:right="1300"/>
        </w:sectPr>
      </w:pPr>
    </w:p>
    <w:p>
      <w:pPr>
        <w:pStyle w:val="BodyText"/>
        <w:spacing w:before="11"/>
        <w:rPr>
          <w:sz w:val="29"/>
        </w:rPr>
      </w:pPr>
    </w:p>
    <w:p>
      <w:pPr>
        <w:pStyle w:val="BodyText"/>
        <w:spacing w:line="260" w:lineRule="exact" w:before="77"/>
        <w:ind w:left="117" w:right="108"/>
        <w:jc w:val="both"/>
      </w:pPr>
      <w:r>
        <w:rPr/>
        <w:t>tanto informales como formales, para reforzar la recaudación estatal de los conceptos coordinados formalizados y para pugnar por la descentralización de</w:t>
      </w:r>
      <w:r>
        <w:rPr>
          <w:spacing w:val="-7"/>
        </w:rPr>
        <w:t> </w:t>
      </w:r>
      <w:r>
        <w:rPr/>
        <w:t>otros</w:t>
      </w:r>
      <w:r>
        <w:rPr>
          <w:spacing w:val="-7"/>
        </w:rPr>
        <w:t> </w:t>
      </w:r>
      <w:r>
        <w:rPr/>
        <w:t>conceptos</w:t>
      </w:r>
      <w:r>
        <w:rPr>
          <w:spacing w:val="-8"/>
        </w:rPr>
        <w:t> </w:t>
      </w:r>
      <w:r>
        <w:rPr/>
        <w:t>factibles;</w:t>
      </w:r>
      <w:r>
        <w:rPr>
          <w:spacing w:val="-7"/>
        </w:rPr>
        <w:t> </w:t>
      </w:r>
      <w:r>
        <w:rPr/>
        <w:t>ajustar</w:t>
      </w:r>
      <w:r>
        <w:rPr>
          <w:spacing w:val="-7"/>
        </w:rPr>
        <w:t> </w:t>
      </w:r>
      <w:r>
        <w:rPr/>
        <w:t>progresivamente</w:t>
      </w:r>
      <w:r>
        <w:rPr>
          <w:spacing w:val="-7"/>
        </w:rPr>
        <w:t> </w:t>
      </w:r>
      <w:r>
        <w:rPr/>
        <w:t>la</w:t>
      </w:r>
      <w:r>
        <w:rPr>
          <w:spacing w:val="-7"/>
        </w:rPr>
        <w:t> </w:t>
      </w:r>
      <w:r>
        <w:rPr/>
        <w:t>evaluación</w:t>
      </w:r>
      <w:r>
        <w:rPr>
          <w:spacing w:val="-8"/>
        </w:rPr>
        <w:t> </w:t>
      </w:r>
      <w:r>
        <w:rPr/>
        <w:t>a</w:t>
      </w:r>
      <w:r>
        <w:rPr>
          <w:spacing w:val="-7"/>
        </w:rPr>
        <w:t> </w:t>
      </w:r>
      <w:r>
        <w:rPr/>
        <w:t>la</w:t>
      </w:r>
      <w:r>
        <w:rPr>
          <w:spacing w:val="-7"/>
        </w:rPr>
        <w:t> </w:t>
      </w:r>
      <w:r>
        <w:rPr/>
        <w:t>lógica subsidiaria, y aplicarse a la mejora continua de los programas relativos a la colaboración administrativa que se vaya</w:t>
      </w:r>
      <w:r>
        <w:rPr>
          <w:spacing w:val="-3"/>
        </w:rPr>
        <w:t> </w:t>
      </w:r>
      <w:r>
        <w:rPr/>
        <w:t>formalizando.</w:t>
      </w:r>
    </w:p>
    <w:p>
      <w:pPr>
        <w:pStyle w:val="BodyText"/>
        <w:spacing w:before="5"/>
        <w:rPr>
          <w:sz w:val="20"/>
        </w:rPr>
      </w:pPr>
    </w:p>
    <w:p>
      <w:pPr>
        <w:spacing w:before="0"/>
        <w:ind w:left="738" w:right="732" w:firstLine="0"/>
        <w:jc w:val="center"/>
        <w:rPr>
          <w:b/>
          <w:sz w:val="25"/>
        </w:rPr>
      </w:pPr>
      <w:r>
        <w:rPr>
          <w:b/>
          <w:sz w:val="25"/>
        </w:rPr>
        <w:t>ANEXOS DEL CAPÍTULO I.</w:t>
      </w:r>
    </w:p>
    <w:p>
      <w:pPr>
        <w:pStyle w:val="BodyText"/>
        <w:spacing w:before="9"/>
        <w:rPr>
          <w:b/>
          <w:sz w:val="21"/>
        </w:rPr>
      </w:pPr>
    </w:p>
    <w:p>
      <w:pPr>
        <w:pStyle w:val="Heading3"/>
        <w:ind w:left="739" w:right="732"/>
        <w:jc w:val="center"/>
      </w:pPr>
      <w:r>
        <w:rPr/>
        <w:pict>
          <v:group style="position:absolute;margin-left:85.927124pt;margin-top:18.384821pt;width:264.7pt;height:130.9pt;mso-position-horizontal-relative:page;mso-position-vertical-relative:paragraph;z-index:1456;mso-wrap-distance-left:0;mso-wrap-distance-right:0" coordorigin="1719,368" coordsize="5294,2618">
            <v:line style="position:absolute" from="2106,440" to="6958,440" stroked="true" strokeweight="1pt" strokecolor="#221f20"/>
            <v:line style="position:absolute" from="2106,861" to="6954,861" stroked="true" strokeweight="1pt" strokecolor="#221f20"/>
            <v:line style="position:absolute" from="2106,1264" to="6954,1264" stroked="true" strokeweight="1pt" strokecolor="#221f20"/>
            <v:line style="position:absolute" from="6954,1688" to="2106,1688" stroked="true" strokeweight="1pt" strokecolor="#221f20"/>
            <v:line style="position:absolute" from="2106,2082" to="6954,2082" stroked="true" strokeweight="1pt" strokecolor="#221f20"/>
            <v:line style="position:absolute" from="2172,440" to="2172,2231" stroked="true" strokeweight="1pt" strokecolor="#221f20"/>
            <v:line style="position:absolute" from="6958,440" to="6958,2108" stroked="true" strokeweight="1pt" strokecolor="#221f20"/>
            <v:line style="position:absolute" from="6954,2507" to="2106,2507" stroked="true" strokeweight="1pt" strokecolor="#221f20"/>
            <v:line style="position:absolute" from="2106,2914" to="6954,2914" stroked="true" strokeweight="1pt" strokecolor="#221f20"/>
            <v:line style="position:absolute" from="6160,2975" to="6160,2914" stroked="true" strokeweight="1pt" strokecolor="#221f20"/>
            <v:line style="position:absolute" from="5361,2975" to="5361,2914" stroked="true" strokeweight="1pt" strokecolor="#221f20"/>
            <v:line style="position:absolute" from="4563,2975" to="4563,2914" stroked="true" strokeweight="1pt" strokecolor="#221f20"/>
            <v:line style="position:absolute" from="3764,2975" to="3764,2914" stroked="true" strokeweight="1pt" strokecolor="#221f20"/>
            <v:line style="position:absolute" from="2974,2975" to="2974,2914" stroked="true" strokeweight="1pt" strokecolor="#221f20"/>
            <v:line style="position:absolute" from="2172,2322" to="2172,2975" stroked="true" strokeweight="1pt" strokecolor="#221f20"/>
            <v:line style="position:absolute" from="6958,2199" to="6958,2975" stroked="true" strokeweight="1pt" strokecolor="#221f20"/>
            <v:shape style="position:absolute;left:2178;top:1893;width:4784;height:877" coordorigin="2178,1893" coordsize="4784,877" path="m2178,2770l2971,2181,3774,1893,4576,1919,5374,2207,6159,2087,6961,1958e" filled="false" stroked="true" strokeweight="2pt" strokecolor="#585a5b">
              <v:path arrowok="t"/>
            </v:shape>
            <v:shape style="position:absolute;left:6914;top:1909;width:98;height:99" coordorigin="6914,1909" coordsize="98,99" path="m6963,1909l6939,1934,6914,1959,6939,1983,6963,2008,7012,1959,6963,1909xe" filled="true" fillcolor="#585a5b" stroked="false">
              <v:path arrowok="t"/>
              <v:fill type="solid"/>
            </v:shape>
            <v:shape style="position:absolute;left:5324;top:2154;width:98;height:99" coordorigin="5324,2154" coordsize="98,99" path="m5373,2154l5324,2203,5349,2228,5373,2252,5398,2228,5422,2203,5398,2179,5373,2154xe" filled="true" fillcolor="#585a5b" stroked="false">
              <v:path arrowok="t"/>
              <v:fill type="solid"/>
            </v:shape>
            <v:shape style="position:absolute;left:4513;top:1860;width:99;height:99" coordorigin="4513,1860" coordsize="99,99" path="m4562,1860l4513,1909,4562,1958,4611,1909,4562,1860xe" filled="true" fillcolor="#585a5b" stroked="false">
              <v:path arrowok="t"/>
              <v:fill type="solid"/>
            </v:shape>
            <v:shape style="position:absolute;left:3721;top:1834;width:99;height:99" coordorigin="3721,1834" coordsize="99,99" path="m3770,1834l3746,1859,3721,1883,3770,1932,3819,1883,3795,1859,3770,1834xe" filled="true" fillcolor="#585a5b" stroked="false">
              <v:path arrowok="t"/>
              <v:fill type="solid"/>
            </v:shape>
            <v:shape style="position:absolute;left:2918;top:2128;width:98;height:99" coordorigin="2918,2128" coordsize="98,99" path="m2967,2128l2942,2153,2918,2177,2942,2202,2967,2226,2991,2202,3016,2177,2967,2128xe" filled="true" fillcolor="#585a5b" stroked="false">
              <v:path arrowok="t"/>
              <v:fill type="solid"/>
            </v:shape>
            <v:shape style="position:absolute;left:2123;top:2729;width:98;height:99" coordorigin="2123,2729" coordsize="98,99" path="m2172,2729l2123,2778,2172,2827,2196,2803,2221,2778,2196,2753,2172,2729xe" filled="true" fillcolor="#585a5b" stroked="false">
              <v:path arrowok="t"/>
              <v:fill type="solid"/>
            </v:shape>
            <v:shape style="position:absolute;left:2175;top:2161;width:4785;height:417" coordorigin="2175,2161" coordsize="4785,417" path="m2175,2280l2977,2578,3768,2252,4567,2385,5363,2438,6156,2457,6960,2161e" filled="false" stroked="true" strokeweight="2pt" strokecolor="#bbbdbf">
              <v:path arrowok="t"/>
            </v:shape>
            <v:line style="position:absolute" from="5367,2397" to="5367,2488" stroked="true" strokeweight="4.533pt" strokecolor="#bbbdbf"/>
            <v:line style="position:absolute" from="4567,2340" to="4567,2432" stroked="true" strokeweight="4.519pt" strokecolor="#bbbdbf"/>
            <v:line style="position:absolute" from="3767,2202" to="3767,2292" stroked="true" strokeweight="4.533pt" strokecolor="#bbbdbf"/>
            <v:line style="position:absolute" from="2975,2543" to="2975,2634" stroked="true" strokeweight="4.533pt" strokecolor="#bbbdbf"/>
            <v:line style="position:absolute" from="2172,2231" to="2172,2322" stroked="true" strokeweight="4.533pt" strokecolor="#bbbdbf"/>
            <v:line style="position:absolute" from="6151,2416" to="6151,2507" stroked="true" strokeweight="4.519pt" strokecolor="#bbbdbf"/>
            <v:line style="position:absolute" from="6959,2108" to="6959,2199" stroked="true" strokeweight="4.533pt" strokecolor="#bbbdbf"/>
            <v:shape style="position:absolute;left:4574;top:787;width:2380;height:1214" coordorigin="4574,787" coordsize="2380,1214" path="m4574,1900l5374,1925,6151,2000,6954,787e" filled="false" stroked="true" strokeweight="2pt" strokecolor="#929496">
              <v:path arrowok="t"/>
            </v:shape>
            <v:shape style="position:absolute;left:6913;top:741;width:97;height:84" coordorigin="6913,741" coordsize="97,84" path="m6961,741l6937,783,6913,824,7010,824,6985,783,6961,741xe" filled="true" fillcolor="#929496" stroked="false">
              <v:path arrowok="t"/>
              <v:fill type="solid"/>
            </v:shape>
            <v:shape style="position:absolute;left:6114;top:1957;width:97;height:84" coordorigin="6114,1957" coordsize="97,84" path="m6162,1957l6114,2041,6211,2041,6187,1999,6162,1957xe" filled="true" fillcolor="#929496" stroked="false">
              <v:path arrowok="t"/>
              <v:fill type="solid"/>
            </v:shape>
            <v:shape style="position:absolute;left:5319;top:1886;width:97;height:84" coordorigin="5319,1886" coordsize="97,84" path="m5367,1886l5343,1927,5319,1969,5415,1969,5391,1927,5367,1886xe" filled="true" fillcolor="#929496" stroked="false">
              <v:path arrowok="t"/>
              <v:fill type="solid"/>
            </v:shape>
            <v:shape style="position:absolute;left:4529;top:1857;width:97;height:84" coordorigin="4529,1857" coordsize="97,84" path="m4577,1857l4529,1941,4625,1941,4601,1899,4577,1857xe" filled="true" fillcolor="#929496" stroked="false">
              <v:path arrowok="t"/>
              <v:fill type="solid"/>
            </v:shape>
            <v:shape style="position:absolute;left:1973;top:368;width:83;height:135" coordorigin="1973,368" coordsize="83,135" path="m1985,477l1980,477,1978,478,1974,482,1973,484,1973,491,1975,494,1978,497,1983,501,1991,502,2002,502,2014,502,2024,499,2033,495,2034,494,2012,494,2006,491,2000,486,1994,481,1990,478,1989,478,1987,477,1985,477xm2049,387l2009,387,2014,389,2018,393,2022,396,2024,401,2024,410,2023,414,2021,418,2019,421,2016,424,2014,426,2011,427,2006,429,1999,432,1999,435,2010,438,2019,443,2031,457,2034,465,2034,480,2033,484,2029,488,2026,492,2022,494,2034,494,2041,488,2051,479,2056,467,2056,446,2054,439,2050,434,2046,429,2041,424,2033,421,2039,417,2043,413,2046,409,2048,405,2050,400,2050,388,2049,387xm2028,368l2010,368,2002,370,1988,381,1982,389,1978,400,1981,401,1987,391,1995,387,2049,387,2047,381,2041,376,2035,370,2028,368xe" filled="true" fillcolor="#221f20" stroked="false">
              <v:path arrowok="t"/>
              <v:fill type="solid"/>
            </v:shape>
            <v:shape style="position:absolute;left:1822;top:773;width:231;height:166" type="#_x0000_t75" stroked="false">
              <v:imagedata r:id="rId42" o:title=""/>
            </v:shape>
            <v:shape style="position:absolute;left:2548;top:2562;width:326;height:166" type="#_x0000_t75" stroked="false">
              <v:imagedata r:id="rId43" o:title=""/>
            </v:shape>
            <v:shape style="position:absolute;left:2515;top:2130;width:326;height:166" type="#_x0000_t75" stroked="false">
              <v:imagedata r:id="rId44" o:title=""/>
            </v:shape>
            <v:shape style="position:absolute;left:3327;top:1789;width:320;height:166" type="#_x0000_t75" stroked="false">
              <v:imagedata r:id="rId45" o:title=""/>
            </v:shape>
            <v:shape style="position:absolute;left:3313;top:2144;width:318;height:166" type="#_x0000_t75" stroked="false">
              <v:imagedata r:id="rId46" o:title=""/>
            </v:shape>
            <v:shape style="position:absolute;left:4141;top:2298;width:326;height:166" type="#_x0000_t75" stroked="false">
              <v:imagedata r:id="rId47" o:title=""/>
            </v:shape>
            <v:shape style="position:absolute;left:4163;top:1840;width:318;height:166" type="#_x0000_t75" stroked="false">
              <v:imagedata r:id="rId48" o:title=""/>
            </v:shape>
            <v:shape style="position:absolute;left:4671;top:1855;width:221;height:166" type="#_x0000_t75" stroked="false">
              <v:imagedata r:id="rId49" o:title=""/>
            </v:shape>
            <v:shape style="position:absolute;left:5467;top:1851;width:321;height:167" coordorigin="5467,1851" coordsize="321,167" path="m5536,1980l5468,1980,5468,1983,5536,1983,5536,1980xm5517,1873l5482,1873,5484,1874,5486,1875,5487,1876,5488,1877,5489,1879,5489,1880,5489,1884,5489,1965,5489,1971,5488,1975,5486,1977,5484,1978,5481,1980,5477,1980,5528,1980,5525,1979,5520,1976,5519,1975,5518,1973,5518,1970,5517,1965,5517,1873xm5517,1851l5514,1851,5467,1873,5468,1876,5473,1874,5477,1873,5517,1873,5517,1851xm5593,1982l5580,1982,5580,1983,5581,1983,5581,1984,5581,1984,5581,1991,5580,1996,5573,2006,5568,2010,5561,2014,5561,2018,5571,2014,5580,2009,5585,2002,5590,1995,5593,1987,5593,1982xm5579,1954l5569,1954,5565,1956,5562,1959,5559,1962,5557,1966,5557,1974,5559,1977,5561,1980,5564,1983,5567,1985,5574,1985,5576,1984,5578,1983,5579,1982,5593,1982,5593,1970,5591,1965,5583,1956,5579,1954xm5682,1980l5614,1980,5614,1983,5682,1983,5682,1980xm5663,1873l5628,1873,5630,1874,5631,1875,5633,1876,5634,1877,5634,1879,5635,1880,5635,1884,5635,1965,5635,1971,5633,1975,5632,1977,5629,1978,5627,1980,5623,1980,5674,1980,5670,1979,5666,1976,5665,1975,5664,1973,5663,1970,5663,1965,5663,1873xm5663,1851l5660,1851,5612,1873,5614,1876,5619,1874,5623,1873,5663,1873,5663,1851xm5782,1931l5756,1931,5754,1940,5751,1948,5747,1955,5743,1962,5737,1968,5729,1973,5722,1977,5713,1981,5703,1983,5703,1986,5715,1985,5727,1983,5738,1979,5748,1974,5757,1968,5765,1961,5772,1953,5777,1944,5781,1934,5782,1931xm5751,1851l5737,1851,5730,1853,5723,1857,5717,1861,5712,1867,5708,1874,5705,1881,5703,1888,5703,1909,5706,1919,5713,1926,5719,1933,5727,1937,5740,1937,5743,1936,5746,1935,5748,1935,5752,1933,5756,1931,5782,1931,5784,1926,5743,1926,5739,1924,5732,1913,5730,1901,5730,1872,5731,1866,5734,1862,5736,1859,5738,1858,5765,1858,5758,1854,5751,1851xm5765,1858l5744,1858,5746,1859,5750,1862,5753,1867,5754,1872,5757,1882,5758,1893,5758,1913,5758,1916,5757,1923,5753,1925,5750,1926,5784,1926,5784,1925,5786,1915,5787,1905,5787,1894,5785,1885,5781,1877,5777,1869,5772,1862,5765,1858xe" filled="true" fillcolor="#221f20" stroked="false">
              <v:path arrowok="t"/>
              <v:fill type="solid"/>
            </v:shape>
            <v:shape style="position:absolute;left:4942;top:2133;width:327;height:166" type="#_x0000_t75" stroked="false">
              <v:imagedata r:id="rId50" o:title=""/>
            </v:shape>
            <v:shape style="position:absolute;left:4967;top:2340;width:329;height:166" type="#_x0000_t75" stroked="false">
              <v:imagedata r:id="rId51" o:title=""/>
            </v:shape>
            <v:shape style="position:absolute;left:5752;top:2401;width:326;height:166" type="#_x0000_t75" stroked="false">
              <v:imagedata r:id="rId52" o:title=""/>
            </v:shape>
            <v:shape style="position:absolute;left:5753;top:2037;width:313;height:167" coordorigin="5753,2037" coordsize="313,167" path="m5823,2165l5755,2165,5755,2169,5823,2169,5823,2165xm5804,2058l5769,2058,5771,2059,5772,2060,5774,2061,5775,2062,5775,2064,5776,2065,5776,2069,5776,2151,5775,2156,5774,2160,5772,2162,5770,2163,5768,2164,5764,2165,5815,2165,5811,2164,5807,2162,5805,2160,5805,2158,5804,2156,5804,2151,5804,2058xm5804,2037l5801,2037,5753,2058,5755,2061,5760,2060,5763,2058,5804,2058,5804,2037xm5880,2167l5866,2167,5867,2168,5867,2168,5868,2169,5868,2169,5868,2176,5866,2181,5863,2186,5860,2191,5855,2195,5847,2198,5847,2203,5858,2199,5866,2194,5871,2187,5877,2180,5880,2172,5880,2167xm5865,2139l5855,2139,5852,2141,5845,2147,5844,2151,5844,2159,5845,2162,5848,2165,5850,2168,5854,2170,5860,2170,5863,2169,5864,2168,5865,2168,5866,2167,5880,2167,5880,2156,5878,2150,5870,2141,5865,2139xm5942,2037l5927,2037,5920,2039,5907,2050,5902,2057,5899,2067,5895,2078,5893,2090,5893,2117,5895,2126,5897,2136,5899,2143,5902,2148,5904,2153,5908,2159,5913,2163,5918,2166,5923,2170,5928,2171,5940,2171,5945,2170,5950,2167,5954,2165,5955,2164,5932,2164,5930,2164,5928,2162,5926,2160,5925,2158,5924,2153,5922,2147,5922,2145,5922,2136,5922,2090,5922,2076,5923,2064,5923,2057,5924,2051,5925,2048,5928,2045,5930,2044,5931,2043,5954,2043,5949,2039,5942,2037xm5954,2043l5938,2043,5940,2044,5942,2046,5944,2049,5946,2055,5947,2064,5947,2116,5947,2140,5946,2147,5946,2152,5945,2158,5942,2161,5940,2163,5938,2164,5955,2164,5958,2161,5966,2153,5969,2147,5971,2140,5974,2129,5976,2117,5976,2090,5974,2077,5967,2056,5962,2049,5955,2044,5954,2043xm6066,2165l5998,2165,5998,2169,6066,2169,6066,2165xm6047,2058l6012,2058,6014,2059,6015,2060,6017,2061,6018,2062,6018,2064,6019,2065,6019,2069,6019,2151,6019,2156,6017,2160,6015,2162,6013,2163,6011,2164,6007,2165,6058,2165,6054,2164,6050,2162,6048,2160,6048,2158,6047,2156,6047,2151,6047,2058xm6047,2037l6044,2037,5996,2058,5998,2061,6003,2060,6006,2058,6047,2058,6047,2037xe" filled="true" fillcolor="#221f20" stroked="false">
              <v:path arrowok="t"/>
              <v:fill type="solid"/>
            </v:shape>
            <v:shape style="position:absolute;left:6236;top:1914;width:302;height:166" type="#_x0000_t75" stroked="false">
              <v:imagedata r:id="rId53" o:title=""/>
            </v:shape>
            <v:shape style="position:absolute;left:6586;top:1877;width:322;height:166" type="#_x0000_t75" stroked="false">
              <v:imagedata r:id="rId54" o:title=""/>
            </v:shape>
            <v:shape style="position:absolute;left:6570;top:665;width:331;height:166" type="#_x0000_t75" stroked="false">
              <v:imagedata r:id="rId55" o:title=""/>
            </v:shape>
            <v:shape style="position:absolute;left:6539;top:2118;width:322;height:166" type="#_x0000_t75" stroked="false">
              <v:imagedata r:id="rId56" o:title=""/>
            </v:shape>
            <v:shape style="position:absolute;left:1973;top:1194;width:84;height:133" coordorigin="1973,1194" coordsize="84,133" path="m2048,1216l2007,1216,2012,1219,2016,1223,2020,1227,2023,1233,2023,1249,2020,1258,2015,1268,2010,1277,2001,1289,1989,1305,1973,1324,1973,1326,2048,1326,2053,1301,2001,1301,2016,1286,2027,1273,2037,1261,2043,1252,2047,1243,2050,1234,2050,1221,2048,1216xm2056,1289l2052,1289,2050,1293,2048,1296,2046,1299,2044,1300,2042,1300,2040,1301,2036,1301,2053,1301,2056,1289xm2021,1194l2006,1194,1998,1197,1984,1209,1979,1218,1975,1230,1979,1231,1984,1221,1991,1216,2048,1216,2042,1206,2038,1202,2033,1199,2027,1196,2021,1194xe" filled="true" fillcolor="#221f20" stroked="false">
              <v:path arrowok="t"/>
              <v:fill type="solid"/>
            </v:shape>
            <v:shape style="position:absolute;left:1823;top:1603;width:223;height:166" type="#_x0000_t75" stroked="false">
              <v:imagedata r:id="rId57" o:title=""/>
            </v:shape>
            <v:shape style="position:absolute;left:1980;top:2014;width:70;height:133" coordorigin="1980,2014" coordsize="70,133" path="m2049,2143l1981,2143,1981,2146,2049,2146,2049,2143xm2030,2037l1995,2037,1997,2037,1998,2038,2000,2039,2001,2040,2002,2042,2002,2043,2002,2047,2002,2128,2002,2134,2000,2138,1999,2140,1996,2141,1994,2143,1990,2143,2041,2143,2038,2143,2033,2140,2032,2138,2031,2136,2030,2133,2030,2128,2030,2037xm2030,2014l2027,2014,1980,2036,1981,2040,1986,2037,1990,2037,2030,2037,2030,2014xe" filled="true" fillcolor="#221f20" stroked="false">
              <v:path arrowok="t"/>
              <v:fill type="solid"/>
            </v:shape>
            <v:shape style="position:absolute;left:1719;top:2210;width:329;height:166" type="#_x0000_t75" stroked="false">
              <v:imagedata r:id="rId58" o:title=""/>
            </v:shape>
            <v:shape style="position:absolute;left:1824;top:2423;width:229;height:166" type="#_x0000_t75" stroked="false">
              <v:imagedata r:id="rId59" o:title=""/>
            </v:shape>
            <v:shape style="position:absolute;left:1720;top:2690;width:336;height:291" type="#_x0000_t75" stroked="false">
              <v:imagedata r:id="rId60" o:title=""/>
            </v:shape>
            <w10:wrap type="topAndBottom"/>
          </v:group>
        </w:pict>
      </w:r>
      <w:r>
        <w:rPr/>
        <w:pict>
          <v:group style="position:absolute;margin-left:362.746002pt;margin-top:65.403023pt;width:47.45pt;height:36.65pt;mso-position-horizontal-relative:page;mso-position-vertical-relative:paragraph;z-index:1480;mso-wrap-distance-left:0;mso-wrap-distance-right:0" coordorigin="7255,1308" coordsize="949,733">
            <v:shape style="position:absolute;left:7641;top:1380;width:465;height:133" coordorigin="7641,1380" coordsize="465,133" path="m7767,1480l7757,1480,7754,1481,7751,1485,7748,1488,7746,1491,7746,1500,7748,1504,7754,1510,7757,1512,7766,1512,7770,1510,7776,1504,7778,1500,7778,1491,7776,1488,7773,1485,7770,1481,7767,1480xm7707,1506l7641,1506,7641,1509,7707,1509,7707,1506xm7698,1380l7641,1380,7641,1383,7647,1383,7651,1384,7656,1386,7657,1387,7658,1389,7659,1391,7659,1394,7659,1493,7659,1498,7658,1500,7657,1501,7656,1503,7654,1504,7652,1505,7647,1506,7701,1506,7697,1505,7695,1504,7693,1503,7691,1501,7690,1500,7690,1498,7689,1493,7689,1451,7704,1451,7714,1450,7730,1446,7734,1443,7691,1443,7689,1443,7689,1387,7734,1387,7731,1385,7722,1382,7711,1380,7698,1380xm7734,1387l7702,1387,7708,1389,7712,1394,7716,1398,7718,1405,7718,1425,7716,1432,7712,1436,7708,1441,7702,1443,7734,1443,7737,1442,7742,1436,7747,1430,7750,1423,7750,1404,7746,1396,7738,1390,7734,1387xm7916,1480l7907,1480,7903,1481,7897,1488,7896,1491,7896,1500,7897,1504,7900,1507,7903,1510,7907,1512,7916,1512,7919,1510,7923,1507,7926,1504,7927,1500,7927,1491,7926,1488,7923,1485,7920,1481,7916,1480xm7858,1506l7791,1506,7791,1509,7858,1509,7858,1506xm7899,1380l7791,1380,7791,1383,7798,1383,7802,1384,7803,1385,7806,1386,7807,1387,7808,1389,7808,1391,7809,1393,7809,1494,7808,1498,7807,1500,7807,1501,7806,1503,7804,1504,7802,1505,7799,1506,7850,1506,7847,1505,7845,1504,7843,1503,7841,1501,7841,1500,7840,1498,7840,1494,7840,1448,7875,1448,7875,1440,7840,1440,7840,1387,7899,1387,7899,1380xm7875,1448l7850,1448,7856,1449,7862,1453,7867,1457,7870,1465,7871,1477,7875,1477,7875,1448xm7875,1413l7871,1413,7871,1420,7869,1425,7867,1429,7864,1433,7861,1436,7857,1438,7854,1439,7849,1440,7875,1440,7875,1413xm7899,1387l7862,1387,7869,1387,7873,1389,7880,1390,7885,1393,7889,1397,7892,1402,7894,1408,7895,1417,7899,1417,7899,1387xm8047,1380l7940,1380,7940,1383,7948,1383,7951,1384,7954,1386,7955,1387,7957,1389,7957,1391,7957,1392,7958,1495,7957,1498,7957,1499,7956,1501,7954,1503,7953,1504,7951,1505,7948,1506,7940,1506,7940,1509,8051,1509,8052,1502,7997,1502,7994,1501,7991,1499,7990,1498,7989,1495,7989,1493,7989,1447,8020,1447,8020,1440,7989,1440,7989,1387,8047,1387,8047,1380xm8057,1468l8053,1468,8050,1479,8045,1488,8037,1493,8030,1499,8021,1502,8052,1502,8057,1468xm8020,1447l7995,1447,7999,1448,8006,1451,8009,1454,8014,1464,8015,1470,8016,1477,8020,1477,8020,1447xm8020,1409l8016,1409,8015,1419,8013,1427,8009,1432,8005,1437,7999,1440,8020,1440,8020,1409xm8047,1387l8012,1387,8018,1388,8028,1391,8033,1394,8036,1398,8039,1402,8042,1408,8044,1418,8047,1418,8047,1387xm8094,1480l8085,1480,8082,1481,8075,1488,8074,1491,8074,1500,8075,1504,8078,1507,8082,1510,8085,1512,8094,1512,8098,1510,8101,1507,8104,1504,8106,1500,8106,1491,8104,1488,8101,1485,8098,1481,8094,1480xe" filled="true" fillcolor="#221f20" stroked="false">
              <v:path arrowok="t"/>
              <v:fill type="solid"/>
            </v:shape>
            <v:shape style="position:absolute;left:7636;top:1619;width:410;height:133" coordorigin="7636,1619" coordsize="410,133" path="m7680,1746l7636,1746,7636,1749,7680,1749,7680,1746xm7694,1632l7661,1632,7711,1749,7713,1749,7732,1705,7725,1705,7694,1632xm7812,1746l7745,1746,7745,1749,7812,1749,7812,1746xm7688,1619l7636,1619,7636,1623,7643,1623,7646,1623,7649,1625,7651,1626,7652,1627,7653,1629,7654,1631,7654,1635,7654,1732,7654,1733,7653,1736,7652,1738,7651,1740,7649,1742,7647,1743,7645,1744,7643,1745,7640,1746,7674,1746,7670,1745,7664,1741,7662,1738,7662,1735,7661,1733,7661,1732,7661,1729,7661,1632,7694,1632,7688,1619xm7794,1631l7763,1631,7763,1735,7763,1737,7762,1739,7761,1741,7760,1743,7758,1743,7756,1745,7753,1746,7804,1746,7801,1745,7799,1744,7797,1742,7796,1741,7795,1739,7794,1738,7794,1737,7794,1735,7794,1635,7794,1631xm7812,1619l7760,1619,7725,1705,7732,1705,7763,1631,7794,1631,7794,1631,7795,1629,7796,1627,7797,1626,7799,1625,7801,1623,7804,1623,7812,1623,7812,1619xm7844,1720l7835,1720,7832,1721,7825,1727,7824,1731,7824,1740,7825,1744,7832,1750,7835,1751,7844,1751,7848,1750,7851,1747,7854,1744,7856,1740,7856,1731,7854,1727,7848,1721,7844,1720xm7932,1644l7893,1644,7980,1752,7983,1752,7983,1700,7976,1700,7932,1644xm7913,1746l7867,1746,7867,1749,7913,1749,7913,1746xm7912,1619l7867,1619,7867,1623,7871,1623,7874,1624,7876,1625,7878,1626,7880,1628,7883,1632,7886,1635,7885,1734,7884,1738,7881,1741,7879,1744,7874,1746,7905,1746,7901,1744,7898,1742,7894,1739,7893,1734,7893,1644,7932,1644,7912,1619xm8000,1619l7957,1619,7957,1623,7964,1623,7969,1624,7973,1628,7975,1631,7976,1636,7976,1700,7983,1700,7983,1638,7983,1634,7986,1629,7987,1627,7989,1626,7991,1624,7994,1624,8000,1623,8000,1619xm8033,1720l8024,1720,8021,1721,8015,1727,8013,1731,8013,1740,8015,1744,8021,1750,8024,1751,8033,1751,8037,1750,8040,1747,8043,1744,8045,1740,8045,1731,8043,1727,8037,1721,8033,1720xe" filled="true" fillcolor="#221f20" stroked="false">
              <v:path arrowok="t"/>
              <v:fill type="solid"/>
            </v:shape>
            <v:shape style="position:absolute;left:7641;top:1852;width:436;height:133" coordorigin="7641,1852" coordsize="436,133" path="m7767,1952l7757,1952,7754,1954,7748,1960,7746,1964,7746,1973,7748,1976,7751,1980,7754,1983,7757,1984,7766,1984,7770,1983,7773,1980,7776,1976,7778,1973,7778,1964,7776,1960,7773,1957,7770,1954,7767,1952xm7707,1978l7641,1978,7641,1981,7707,1981,7707,1978xm7698,1852l7641,1852,7641,1855,7647,1855,7651,1856,7656,1858,7657,1859,7659,1863,7659,1866,7659,1966,7659,1970,7658,1972,7657,1974,7656,1975,7654,1976,7652,1978,7647,1978,7701,1978,7697,1978,7695,1976,7693,1975,7691,1974,7690,1972,7690,1970,7689,1966,7689,1923,7704,1923,7714,1922,7720,1921,7730,1918,7735,1916,7689,1916,7689,1859,7734,1859,7731,1858,7722,1854,7711,1853,7698,1852xm7734,1859l7702,1859,7708,1862,7712,1866,7716,1870,7718,1878,7718,1897,7716,1904,7708,1913,7702,1916,7735,1916,7737,1914,7742,1908,7747,1902,7750,1895,7750,1877,7746,1869,7738,1862,7734,1859xm7916,1952l7907,1952,7903,1954,7900,1957,7897,1960,7896,1964,7896,1973,7897,1976,7900,1980,7903,1983,7907,1984,7916,1984,7919,1983,7923,1980,7926,1976,7927,1973,7927,1964,7926,1960,7920,1954,7916,1952xm7858,1978l7791,1978,7791,1981,7858,1981,7858,1978xm7899,1852l7791,1852,7791,1855,7798,1855,7802,1856,7803,1857,7806,1859,7807,1860,7808,1862,7808,1863,7809,1865,7809,1966,7808,1970,7808,1972,7807,1974,7806,1975,7804,1976,7802,1978,7799,1978,7850,1978,7847,1978,7845,1976,7843,1975,7841,1973,7841,1972,7840,1970,7840,1966,7840,1920,7875,1920,7875,1913,7840,1913,7840,1859,7899,1859,7899,1852xm7875,1920l7850,1920,7856,1922,7862,1926,7867,1929,7870,1938,7871,1950,7875,1950,7875,1920xm7875,1885l7871,1885,7871,1892,7869,1897,7864,1906,7861,1908,7857,1910,7854,1912,7849,1913,7875,1913,7875,1885xm7899,1859l7862,1859,7869,1860,7873,1861,7880,1863,7885,1865,7889,1870,7892,1874,7894,1880,7895,1889,7899,1889,7899,1859xm8065,1952l8057,1952,8053,1954,8047,1960,8045,1964,8045,1973,8047,1976,8050,1980,8053,1983,8057,1984,8065,1984,8069,1983,8075,1976,8077,1973,8077,1964,8075,1960,8072,1957,8069,1954,8065,1952xm8007,1978l7940,1978,7940,1981,8007,1981,8007,1978xm8049,1852l7940,1852,7940,1855,7948,1855,7951,1856,7953,1857,7955,1859,7956,1860,7958,1863,7958,1865,7958,1966,7958,1970,7957,1972,7956,1974,7955,1975,7953,1976,7951,1978,7948,1978,7999,1978,7997,1978,7994,1976,7992,1975,7991,1973,7990,1972,7989,1970,7989,1966,7989,1920,8024,1920,8024,1913,7989,1913,7989,1859,8049,1859,8049,1852xm8024,1920l8000,1920,8006,1922,8011,1926,8016,1929,8020,1938,8021,1950,8024,1950,8024,1920xm8024,1885l8021,1885,8020,1892,8018,1897,8013,1906,8010,1908,8007,1910,8003,1912,7999,1913,8024,1913,8024,1885xm8049,1859l8011,1859,8018,1860,8022,1861,8029,1863,8034,1865,8038,1870,8042,1874,8044,1880,8045,1889,8049,1889,8049,1859xe" filled="true" fillcolor="#221f20" stroked="false">
              <v:path arrowok="t"/>
              <v:fill type="solid"/>
            </v:shape>
            <v:line style="position:absolute" from="7434,1640" to="7434,1731" stroked="true" strokeweight="4.533pt" strokecolor="#bbbdbf"/>
            <v:line style="position:absolute" from="7314,1686" to="7554,1686" stroked="true" strokeweight="2pt" strokecolor="#bbbdbf"/>
            <v:shape style="position:absolute;left:7394;top:1872;width:97;height:84" coordorigin="7394,1872" coordsize="97,84" path="m7442,1872l7418,1914,7394,1956,7490,1956,7466,1914,7442,1872xe" filled="true" fillcolor="#929496" stroked="false">
              <v:path arrowok="t"/>
              <v:fill type="solid"/>
            </v:shape>
            <v:line style="position:absolute" from="7328,1922" to="7569,1922" stroked="true" strokeweight="2pt" strokecolor="#929496"/>
            <v:shape style="position:absolute;left:7400;top:1395;width:98;height:99" coordorigin="7400,1395" coordsize="98,99" path="m7448,1395l7424,1419,7400,1444,7448,1493,7473,1468,7497,1444,7448,1395xe" filled="true" fillcolor="#585a5b" stroked="false">
              <v:path arrowok="t"/>
              <v:fill type="solid"/>
            </v:shape>
            <v:line style="position:absolute" from="7328,1444" to="7569,1444" stroked="true" strokeweight="2pt" strokecolor="#585a5b"/>
            <v:rect style="position:absolute;left:7270;top:1324;width:917;height:702" filled="false" stroked="true" strokeweight="1.514pt" strokecolor="#221f20"/>
            <w10:wrap type="topAndBottom"/>
          </v:group>
        </w:pict>
      </w:r>
      <w:r>
        <w:rPr/>
        <w:t>Presencia fiscal</w:t>
      </w:r>
    </w:p>
    <w:p>
      <w:pPr>
        <w:pStyle w:val="BodyText"/>
        <w:spacing w:before="1"/>
        <w:rPr>
          <w:b/>
          <w:sz w:val="7"/>
        </w:rPr>
      </w:pPr>
    </w:p>
    <w:p>
      <w:pPr>
        <w:tabs>
          <w:tab w:pos="1489" w:val="left" w:leader="none"/>
          <w:tab w:pos="2277" w:val="left" w:leader="none"/>
          <w:tab w:pos="3095" w:val="left" w:leader="none"/>
          <w:tab w:pos="3891" w:val="left" w:leader="none"/>
          <w:tab w:pos="4686" w:val="left" w:leader="none"/>
          <w:tab w:pos="5490" w:val="left" w:leader="none"/>
        </w:tabs>
        <w:spacing w:line="135" w:lineRule="exact"/>
        <w:ind w:left="747" w:right="0" w:firstLine="0"/>
        <w:rPr>
          <w:sz w:val="13"/>
        </w:rPr>
      </w:pPr>
      <w:r>
        <w:rPr>
          <w:position w:val="-2"/>
          <w:sz w:val="13"/>
        </w:rPr>
        <w:drawing>
          <wp:inline distT="0" distB="0" distL="0" distR="0">
            <wp:extent cx="240210" cy="85725"/>
            <wp:effectExtent l="0" t="0" r="0" b="0"/>
            <wp:docPr id="9" name="image27.png" descr=""/>
            <wp:cNvGraphicFramePr>
              <a:graphicFrameLocks noChangeAspect="1"/>
            </wp:cNvGraphicFramePr>
            <a:graphic>
              <a:graphicData uri="http://schemas.openxmlformats.org/drawingml/2006/picture">
                <pic:pic>
                  <pic:nvPicPr>
                    <pic:cNvPr id="10" name="image27.png"/>
                    <pic:cNvPicPr/>
                  </pic:nvPicPr>
                  <pic:blipFill>
                    <a:blip r:embed="rId61" cstate="print"/>
                    <a:stretch>
                      <a:fillRect/>
                    </a:stretch>
                  </pic:blipFill>
                  <pic:spPr>
                    <a:xfrm>
                      <a:off x="0" y="0"/>
                      <a:ext cx="240210"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35469" cy="85725"/>
            <wp:effectExtent l="0" t="0" r="0" b="0"/>
            <wp:docPr id="11" name="image28.png" descr=""/>
            <wp:cNvGraphicFramePr>
              <a:graphicFrameLocks noChangeAspect="1"/>
            </wp:cNvGraphicFramePr>
            <a:graphic>
              <a:graphicData uri="http://schemas.openxmlformats.org/drawingml/2006/picture">
                <pic:pic>
                  <pic:nvPicPr>
                    <pic:cNvPr id="12" name="image28.png"/>
                    <pic:cNvPicPr/>
                  </pic:nvPicPr>
                  <pic:blipFill>
                    <a:blip r:embed="rId62" cstate="print"/>
                    <a:stretch>
                      <a:fillRect/>
                    </a:stretch>
                  </pic:blipFill>
                  <pic:spPr>
                    <a:xfrm>
                      <a:off x="0" y="0"/>
                      <a:ext cx="235469"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38808" cy="85725"/>
            <wp:effectExtent l="0" t="0" r="0" b="0"/>
            <wp:docPr id="13" name="image29.png" descr=""/>
            <wp:cNvGraphicFramePr>
              <a:graphicFrameLocks noChangeAspect="1"/>
            </wp:cNvGraphicFramePr>
            <a:graphic>
              <a:graphicData uri="http://schemas.openxmlformats.org/drawingml/2006/picture">
                <pic:pic>
                  <pic:nvPicPr>
                    <pic:cNvPr id="14" name="image29.png"/>
                    <pic:cNvPicPr/>
                  </pic:nvPicPr>
                  <pic:blipFill>
                    <a:blip r:embed="rId63" cstate="print"/>
                    <a:stretch>
                      <a:fillRect/>
                    </a:stretch>
                  </pic:blipFill>
                  <pic:spPr>
                    <a:xfrm>
                      <a:off x="0" y="0"/>
                      <a:ext cx="238808"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37585" cy="85725"/>
            <wp:effectExtent l="0" t="0" r="0" b="0"/>
            <wp:docPr id="15" name="image30.png" descr=""/>
            <wp:cNvGraphicFramePr>
              <a:graphicFrameLocks noChangeAspect="1"/>
            </wp:cNvGraphicFramePr>
            <a:graphic>
              <a:graphicData uri="http://schemas.openxmlformats.org/drawingml/2006/picture">
                <pic:pic>
                  <pic:nvPicPr>
                    <pic:cNvPr id="16" name="image30.png"/>
                    <pic:cNvPicPr/>
                  </pic:nvPicPr>
                  <pic:blipFill>
                    <a:blip r:embed="rId64" cstate="print"/>
                    <a:stretch>
                      <a:fillRect/>
                    </a:stretch>
                  </pic:blipFill>
                  <pic:spPr>
                    <a:xfrm>
                      <a:off x="0" y="0"/>
                      <a:ext cx="237585"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39675" cy="85725"/>
            <wp:effectExtent l="0" t="0" r="0" b="0"/>
            <wp:docPr id="17" name="image31.png" descr=""/>
            <wp:cNvGraphicFramePr>
              <a:graphicFrameLocks noChangeAspect="1"/>
            </wp:cNvGraphicFramePr>
            <a:graphic>
              <a:graphicData uri="http://schemas.openxmlformats.org/drawingml/2006/picture">
                <pic:pic>
                  <pic:nvPicPr>
                    <pic:cNvPr id="18" name="image31.png"/>
                    <pic:cNvPicPr/>
                  </pic:nvPicPr>
                  <pic:blipFill>
                    <a:blip r:embed="rId65" cstate="print"/>
                    <a:stretch>
                      <a:fillRect/>
                    </a:stretch>
                  </pic:blipFill>
                  <pic:spPr>
                    <a:xfrm>
                      <a:off x="0" y="0"/>
                      <a:ext cx="239675"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40045" cy="85725"/>
            <wp:effectExtent l="0" t="0" r="0" b="0"/>
            <wp:docPr id="19" name="image32.png" descr=""/>
            <wp:cNvGraphicFramePr>
              <a:graphicFrameLocks noChangeAspect="1"/>
            </wp:cNvGraphicFramePr>
            <a:graphic>
              <a:graphicData uri="http://schemas.openxmlformats.org/drawingml/2006/picture">
                <pic:pic>
                  <pic:nvPicPr>
                    <pic:cNvPr id="20" name="image32.png"/>
                    <pic:cNvPicPr/>
                  </pic:nvPicPr>
                  <pic:blipFill>
                    <a:blip r:embed="rId66" cstate="print"/>
                    <a:stretch>
                      <a:fillRect/>
                    </a:stretch>
                  </pic:blipFill>
                  <pic:spPr>
                    <a:xfrm>
                      <a:off x="0" y="0"/>
                      <a:ext cx="240045" cy="85725"/>
                    </a:xfrm>
                    <a:prstGeom prst="rect">
                      <a:avLst/>
                    </a:prstGeom>
                  </pic:spPr>
                </pic:pic>
              </a:graphicData>
            </a:graphic>
          </wp:inline>
        </w:drawing>
      </w:r>
      <w:r>
        <w:rPr>
          <w:position w:val="-2"/>
          <w:sz w:val="13"/>
        </w:rPr>
      </w:r>
      <w:r>
        <w:rPr>
          <w:position w:val="-2"/>
          <w:sz w:val="13"/>
        </w:rPr>
        <w:tab/>
      </w:r>
      <w:r>
        <w:rPr>
          <w:position w:val="-2"/>
          <w:sz w:val="13"/>
        </w:rPr>
        <w:drawing>
          <wp:inline distT="0" distB="0" distL="0" distR="0">
            <wp:extent cx="241103" cy="85725"/>
            <wp:effectExtent l="0" t="0" r="0" b="0"/>
            <wp:docPr id="21" name="image33.png" descr=""/>
            <wp:cNvGraphicFramePr>
              <a:graphicFrameLocks noChangeAspect="1"/>
            </wp:cNvGraphicFramePr>
            <a:graphic>
              <a:graphicData uri="http://schemas.openxmlformats.org/drawingml/2006/picture">
                <pic:pic>
                  <pic:nvPicPr>
                    <pic:cNvPr id="22" name="image33.png"/>
                    <pic:cNvPicPr/>
                  </pic:nvPicPr>
                  <pic:blipFill>
                    <a:blip r:embed="rId67" cstate="print"/>
                    <a:stretch>
                      <a:fillRect/>
                    </a:stretch>
                  </pic:blipFill>
                  <pic:spPr>
                    <a:xfrm>
                      <a:off x="0" y="0"/>
                      <a:ext cx="241103" cy="85725"/>
                    </a:xfrm>
                    <a:prstGeom prst="rect">
                      <a:avLst/>
                    </a:prstGeom>
                  </pic:spPr>
                </pic:pic>
              </a:graphicData>
            </a:graphic>
          </wp:inline>
        </w:drawing>
      </w:r>
      <w:r>
        <w:rPr>
          <w:position w:val="-2"/>
          <w:sz w:val="13"/>
        </w:rPr>
      </w:r>
    </w:p>
    <w:p>
      <w:pPr>
        <w:spacing w:before="85"/>
        <w:ind w:left="117" w:right="0" w:firstLine="0"/>
        <w:jc w:val="both"/>
        <w:rPr>
          <w:sz w:val="17"/>
        </w:rPr>
      </w:pPr>
      <w:r>
        <w:rPr>
          <w:sz w:val="17"/>
        </w:rPr>
        <w:t>Gráfica construida por el autor con información de los diagnósticos integrales de la situación actual de las</w:t>
      </w:r>
    </w:p>
    <w:p>
      <w:pPr>
        <w:spacing w:before="4"/>
        <w:ind w:left="117" w:right="0" w:firstLine="0"/>
        <w:jc w:val="both"/>
        <w:rPr>
          <w:sz w:val="17"/>
        </w:rPr>
      </w:pPr>
      <w:r>
        <w:rPr>
          <w:sz w:val="17"/>
        </w:rPr>
        <w:t>haciendas públicas estatales y municipales de los años 2003 al 2007.</w:t>
      </w:r>
    </w:p>
    <w:p>
      <w:pPr>
        <w:pStyle w:val="BodyText"/>
        <w:rPr>
          <w:sz w:val="19"/>
        </w:rPr>
      </w:pPr>
    </w:p>
    <w:p>
      <w:pPr>
        <w:pStyle w:val="Heading3"/>
        <w:ind w:left="738" w:right="732"/>
        <w:jc w:val="center"/>
      </w:pPr>
      <w:r>
        <w:rPr/>
        <w:t>Costo beneficio</w:t>
      </w:r>
    </w:p>
    <w:p>
      <w:pPr>
        <w:pStyle w:val="BodyText"/>
        <w:spacing w:before="4"/>
        <w:rPr>
          <w:b/>
          <w:sz w:val="10"/>
        </w:rPr>
      </w:pPr>
      <w:r>
        <w:rPr/>
        <w:pict>
          <v:group style="position:absolute;margin-left:83.976196pt;margin-top:7.936844pt;width:328.15pt;height:145.65pt;mso-position-horizontal-relative:page;mso-position-vertical-relative:paragraph;z-index:1504;mso-wrap-distance-left:0;mso-wrap-distance-right:0" coordorigin="1680,159" coordsize="6563,2913">
            <v:shape style="position:absolute;left:1973;top:232;width:4932;height:2830" coordorigin="1973,232" coordsize="4932,2830" path="m1973,232l6904,232,6904,3062e" filled="false" stroked="true" strokeweight="1pt" strokecolor="#221f20">
              <v:path arrowok="t"/>
            </v:shape>
            <v:line style="position:absolute" from="2039,232" to="2039,2364" stroked="true" strokeweight="1pt" strokecolor="#221f20"/>
            <v:line style="position:absolute" from="2039,2456" to="2039,3062" stroked="true" strokeweight="1pt" strokecolor="#221f20"/>
            <v:line style="position:absolute" from="1973,628" to="6904,628" stroked="true" strokeweight="1pt" strokecolor="#221f20"/>
            <v:line style="position:absolute" from="6904,1028" to="1973,1028" stroked="true" strokeweight="1pt" strokecolor="#221f20"/>
            <v:line style="position:absolute" from="1973,1421" to="6904,1421" stroked="true" strokeweight="1pt" strokecolor="#221f20"/>
            <v:line style="position:absolute" from="6904,1810" to="1973,1810" stroked="true" strokeweight="1pt" strokecolor="#221f20"/>
            <v:line style="position:absolute" from="1973,2199" to="6904,2199" stroked="true" strokeweight="1pt" strokecolor="#221f20"/>
            <v:line style="position:absolute" from="6904,2602" to="1973,2602" stroked="true" strokeweight="1pt" strokecolor="#221f20"/>
            <v:line style="position:absolute" from="1973,2999" to="6904,2999" stroked="true" strokeweight="1pt" strokecolor="#221f20"/>
            <v:line style="position:absolute" from="6081,3062" to="6081,2999" stroked="true" strokeweight="1pt" strokecolor="#221f20"/>
            <v:line style="position:absolute" from="5262,3062" to="5262,2999" stroked="true" strokeweight="1pt" strokecolor="#221f20"/>
            <v:line style="position:absolute" from="4473,3062" to="4473,2999" stroked="true" strokeweight="1pt" strokecolor="#221f20"/>
            <v:line style="position:absolute" from="3658,3062" to="3658,2999" stroked="true" strokeweight="1pt" strokecolor="#221f20"/>
            <v:line style="position:absolute" from="2844,3062" to="2844,2999" stroked="true" strokeweight="1pt" strokecolor="#221f20"/>
            <v:line style="position:absolute" from="6909,2117" to="6909,2209" stroked="true" strokeweight="4.597pt" strokecolor="#bbbdbf"/>
            <v:line style="position:absolute" from="6104,2221" to="6104,2313" stroked="true" strokeweight="4.597pt" strokecolor="#bbbdbf"/>
            <v:line style="position:absolute" from="5274,2528" to="5274,2620" stroked="true" strokeweight="4.611pt" strokecolor="#bbbdbf"/>
            <v:line style="position:absolute" from="4473,2370" to="4473,2461" stroked="true" strokeweight="4.597pt" strokecolor="#bbbdbf"/>
            <v:line style="position:absolute" from="3667,2518" to="3667,2610" stroked="true" strokeweight="4.597pt" strokecolor="#bbbdbf"/>
            <v:line style="position:absolute" from="2841,2394" to="2841,2486" stroked="true" strokeweight="4.611pt" strokecolor="#bbbdbf"/>
            <v:line style="position:absolute" from="2039,2364" to="2039,2456" stroked="true" strokeweight="4.597pt" strokecolor="#bbbdbf"/>
            <v:shape style="position:absolute;left:6860;top:429;width:99;height:85" coordorigin="6860,429" coordsize="99,85" path="m6909,429l6885,471,6860,513,6958,513,6934,471,6909,429xe" filled="true" fillcolor="#929496" stroked="false">
              <v:path arrowok="t"/>
              <v:fill type="solid"/>
            </v:shape>
            <v:shape style="position:absolute;left:6049;top:720;width:98;height:85" coordorigin="6049,720" coordsize="98,85" path="m6097,720l6073,763,6049,805,6147,805,6122,763,6097,720xe" filled="true" fillcolor="#929496" stroked="false">
              <v:path arrowok="t"/>
              <v:fill type="solid"/>
            </v:shape>
            <v:shape style="position:absolute;left:5234;top:2306;width:98;height:85" coordorigin="5234,2306" coordsize="98,85" path="m5283,2306l5259,2349,5234,2391,5332,2391,5308,2349,5283,2306xe" filled="true" fillcolor="#929496" stroked="false">
              <v:path arrowok="t"/>
              <v:fill type="solid"/>
            </v:shape>
            <v:shape style="position:absolute;left:4423;top:2456;width:99;height:85" coordorigin="4423,2456" coordsize="99,85" path="m4472,2456l4423,2541,4521,2541,4472,2456xe" filled="true" fillcolor="#929496" stroked="false">
              <v:path arrowok="t"/>
              <v:fill type="solid"/>
            </v:shape>
            <v:shape style="position:absolute;left:6853;top:1368;width:100;height:100" coordorigin="6853,1368" coordsize="100,100" path="m6903,1368l6853,1418,6903,1468,6953,1418,6903,1368xe" filled="true" fillcolor="#585a5b" stroked="false">
              <v:path arrowok="t"/>
              <v:fill type="solid"/>
            </v:shape>
            <v:shape style="position:absolute;left:6044;top:1345;width:100;height:100" coordorigin="6044,1345" coordsize="100,100" path="m6094,1345l6069,1370,6044,1395,6094,1445,6144,1395,6119,1370,6094,1345xe" filled="true" fillcolor="#585a5b" stroked="false">
              <v:path arrowok="t"/>
              <v:fill type="solid"/>
            </v:shape>
            <v:shape style="position:absolute;left:5220;top:1899;width:100;height:100" coordorigin="5220,1899" coordsize="100,100" path="m5270,1899l5220,1949,5245,1974,5270,1999,5295,1974,5320,1949,5270,1899xe" filled="true" fillcolor="#585a5b" stroked="false">
              <v:path arrowok="t"/>
              <v:fill type="solid"/>
            </v:shape>
            <v:shape style="position:absolute;left:4422;top:2088;width:100;height:100" coordorigin="4422,2088" coordsize="100,100" path="m4471,2088l4446,2113,4422,2138,4471,2188,4496,2163,4521,2138,4496,2113,4471,2088xe" filled="true" fillcolor="#585a5b" stroked="false">
              <v:path arrowok="t"/>
              <v:fill type="solid"/>
            </v:shape>
            <v:shape style="position:absolute;left:3610;top:2028;width:100;height:100" coordorigin="3610,2028" coordsize="100,100" path="m3660,2028l3635,2053,3610,2078,3635,2103,3660,2128,3710,2078,3660,2028xe" filled="true" fillcolor="#585a5b" stroked="false">
              <v:path arrowok="t"/>
              <v:fill type="solid"/>
            </v:shape>
            <v:shape style="position:absolute;left:2799;top:2582;width:100;height:100" coordorigin="2799,2582" coordsize="100,100" path="m2849,2582l2824,2607,2799,2632,2824,2657,2849,2682,2899,2632,2874,2607,2849,2582xe" filled="true" fillcolor="#585a5b" stroked="false">
              <v:path arrowok="t"/>
              <v:fill type="solid"/>
            </v:shape>
            <v:shape style="position:absolute;left:1990;top:2147;width:100;height:100" coordorigin="1990,2147" coordsize="100,100" path="m2039,2147l2015,2172,1990,2197,2039,2247,2089,2197,2064,2172,2039,2147xe" filled="true" fillcolor="#585a5b" stroked="false">
              <v:path arrowok="t"/>
              <v:fill type="solid"/>
            </v:shape>
            <v:shape style="position:absolute;left:2044;top:1405;width:4865;height:1215" coordorigin="2044,1405" coordsize="4865,1215" path="m2044,2193l2853,2620,3663,2076,4474,2135,5271,1949,6094,1405,6909,1428e" filled="false" stroked="true" strokeweight="2.029pt" strokecolor="#585a5b">
              <v:path arrowok="t"/>
            </v:shape>
            <v:shape style="position:absolute;left:2040;top:2173;width:4869;height:390" coordorigin="2040,2173" coordsize="4869,390" path="m2040,2408l2841,2436,3666,2554,4472,2413,5273,2563,6103,2272,6908,2173e" filled="false" stroked="true" strokeweight="2.029pt" strokecolor="#bbbdbf">
              <v:path arrowok="t"/>
            </v:shape>
            <v:shape style="position:absolute;left:4474;top:480;width:2432;height:2023" coordorigin="4474,480" coordsize="2432,2023" path="m4474,2503l5283,2354,6096,784,6906,480e" filled="false" stroked="true" strokeweight="2.029pt" strokecolor="#929496">
              <v:path arrowok="t"/>
            </v:shape>
            <v:shape style="position:absolute;left:6395;top:339;width:431;height:169" coordorigin="6395,339" coordsize="431,169" path="m6408,449l6403,449,6401,450,6399,452,6397,454,6395,457,6396,464,6397,467,6401,470,6406,473,6414,475,6425,475,6437,474,6448,472,6457,467,6458,467,6435,467,6429,464,6417,454,6413,451,6410,450,6408,449xm6473,358l6433,358,6438,360,6441,364,6445,368,6447,372,6447,381,6446,385,6444,389,6442,393,6440,396,6437,397,6434,399,6429,401,6422,404,6422,407,6434,410,6443,415,6449,422,6455,430,6458,438,6458,452,6456,457,6453,461,6450,465,6445,467,6458,467,6465,461,6475,451,6480,440,6480,418,6478,411,6470,400,6464,396,6457,392,6463,389,6467,385,6469,381,6472,376,6474,371,6474,359,6473,358xm6452,339l6434,339,6425,341,6418,347,6411,352,6405,360,6400,371,6404,372,6410,363,6418,358,6473,358,6471,353,6465,347,6459,342,6452,339xm6575,469l6506,469,6506,473,6575,473,6575,469xm6556,361l6520,361,6522,361,6525,364,6526,365,6527,367,6527,368,6528,372,6528,454,6527,460,6526,464,6524,466,6522,467,6519,468,6515,469,6567,469,6564,468,6559,466,6557,464,6557,462,6556,459,6556,454,6556,361xm6556,339l6552,339,6504,361,6506,364,6511,362,6515,361,6556,361,6556,339xm6633,471l6620,471,6620,472,6621,472,6621,473,6621,480,6619,485,6616,491,6613,496,6607,500,6600,503,6600,507,6611,504,6619,499,6625,491,6630,484,6633,476,6633,471xm6619,443l6608,443,6605,445,6601,448,6598,451,6596,455,6596,463,6598,466,6601,469,6603,472,6607,474,6613,474,6616,473,6617,472,6618,472,6619,471,6633,471,6633,459,6631,453,6623,445,6619,443xm6725,367l6710,367,6675,475,6690,475,6725,367xm6734,341l6656,341,6646,382,6650,382,6653,377,6656,373,6659,371,6665,368,6673,367,6725,367,6734,341xm6754,449l6749,449,6747,450,6745,452,6743,454,6742,457,6742,464,6744,467,6747,470,6752,473,6760,475,6771,475,6783,474,6794,472,6803,467,6804,467,6781,467,6776,464,6763,454,6759,451,6758,450,6756,450,6754,449xm6819,358l6779,358,6784,360,6788,364,6792,368,6794,372,6794,381,6792,385,6790,389,6788,393,6786,396,6783,397,6780,399,6775,401,6768,404,6768,407,6780,410,6789,415,6795,422,6801,430,6804,438,6804,452,6802,457,6799,461,6796,465,6792,467,6804,467,6811,461,6821,451,6826,440,6826,418,6824,411,6816,400,6810,396,6803,392,6809,389,6813,385,6816,381,6818,376,6820,371,6820,359,6819,358xm6797,339l6779,339,6772,341,6764,347,6757,352,6751,360,6746,371,6750,372,6756,363,6764,358,6819,358,6817,353,6811,347,6805,342,6797,339xe" filled="true" fillcolor="#221f20" stroked="false">
              <v:path arrowok="t"/>
              <v:fill type="solid"/>
            </v:shape>
            <v:shape style="position:absolute;left:6177;top:692;width:186;height:137" type="#_x0000_t75" stroked="false">
              <v:imagedata r:id="rId68" o:title=""/>
            </v:shape>
            <v:shape style="position:absolute;left:6189;top:1319;width:429;height:169" coordorigin="6189,1319" coordsize="429,169" path="m6265,1342l6224,1342,6229,1344,6237,1353,6239,1359,6239,1375,6237,1385,6232,1394,6226,1403,6217,1416,6205,1432,6189,1451,6189,1453,6266,1453,6271,1428,6217,1428,6232,1413,6244,1399,6253,1388,6260,1378,6265,1369,6267,1360,6267,1347,6265,1342xm6273,1415l6270,1415,6267,1420,6266,1423,6263,1426,6261,1427,6259,1427,6257,1428,6252,1428,6271,1428,6273,1415xm6238,1319l6222,1319,6214,1323,6207,1328,6200,1334,6194,1344,6191,1356,6194,1357,6200,1347,6208,1342,6265,1342,6259,1332,6255,1327,6249,1324,6244,1321,6238,1319xm6340,1319l6325,1319,6318,1322,6311,1327,6304,1333,6299,1340,6296,1350,6292,1362,6290,1375,6290,1401,6291,1410,6294,1420,6296,1427,6298,1433,6301,1438,6305,1443,6310,1448,6315,1451,6320,1454,6326,1456,6337,1456,6343,1455,6347,1452,6352,1450,6353,1449,6329,1449,6327,1448,6323,1445,6322,1442,6321,1438,6320,1431,6320,1427,6319,1420,6319,1360,6320,1347,6320,1341,6321,1335,6323,1331,6325,1328,6327,1327,6329,1326,6352,1326,6347,1322,6340,1319xm6352,1326l6335,1326,6338,1327,6340,1329,6342,1332,6344,1339,6344,1348,6344,1352,6345,1400,6344,1427,6344,1431,6344,1437,6342,1442,6338,1448,6335,1449,6353,1449,6356,1446,6364,1437,6367,1431,6372,1413,6374,1401,6374,1388,6374,1377,6373,1367,6371,1357,6367,1347,6365,1339,6360,1332,6353,1327,6352,1326xm6425,1452l6411,1452,6412,1453,6412,1454,6412,1454,6413,1461,6411,1466,6404,1476,6399,1480,6392,1484,6392,1488,6402,1485,6411,1479,6416,1472,6422,1465,6425,1457,6425,1452xm6410,1424l6400,1424,6396,1425,6393,1428,6390,1432,6388,1435,6388,1444,6389,1447,6392,1450,6395,1453,6398,1454,6405,1454,6407,1454,6409,1453,6410,1452,6410,1452,6425,1452,6425,1440,6423,1434,6415,1426,6410,1424xm6515,1450l6446,1450,6446,1453,6515,1453,6515,1450xm6496,1342l6460,1342,6462,1342,6465,1344,6466,1346,6467,1347,6467,1349,6467,1353,6467,1435,6467,1440,6465,1445,6464,1447,6461,1448,6459,1449,6455,1450,6507,1450,6503,1449,6499,1446,6497,1445,6497,1442,6496,1440,6496,1435,6496,1342xm6496,1319l6492,1319,6444,1341,6446,1345,6450,1343,6455,1342,6496,1342,6496,1319xm6546,1430l6541,1430,6538,1431,6536,1433,6534,1435,6533,1438,6533,1445,6535,1448,6539,1450,6544,1454,6552,1456,6563,1456,6575,1455,6585,1453,6594,1448,6595,1447,6573,1447,6567,1445,6554,1435,6550,1432,6550,1431,6548,1430,6546,1430xm6611,1339l6570,1339,6575,1341,6579,1345,6583,1348,6585,1353,6585,1362,6584,1366,6582,1370,6580,1374,6577,1376,6575,1378,6571,1380,6566,1382,6559,1384,6559,1388,6571,1390,6580,1395,6586,1403,6593,1410,6596,1418,6596,1433,6594,1438,6591,1442,6587,1445,6583,1447,6595,1447,6603,1442,6612,1432,6617,1420,6617,1399,6615,1392,6611,1387,6607,1381,6602,1377,6594,1373,6600,1370,6604,1366,6610,1357,6611,1352,6611,1340,6611,1339xm6589,1319l6571,1319,6563,1322,6556,1328,6549,1333,6542,1341,6538,1352,6541,1353,6548,1344,6556,1339,6611,1339,6608,1334,6596,1322,6589,1319xe" filled="true" fillcolor="#221f20" stroked="false">
              <v:path arrowok="t"/>
              <v:fill type="solid"/>
            </v:shape>
            <v:shape style="position:absolute;left:5370;top:1890;width:428;height:169" coordorigin="5370,1890" coordsize="428,169" path="m5441,2020l5372,2020,5372,2023,5441,2023,5441,2020xm5421,1912l5386,1912,5387,1912,5389,1913,5391,1914,5392,1916,5392,1917,5393,1919,5393,1923,5393,2005,5393,2010,5392,2013,5391,2015,5389,2017,5387,2018,5385,2019,5381,2020,5433,2020,5429,2019,5424,2016,5423,2014,5422,2012,5422,2010,5421,2005,5421,1912xm5421,1890l5418,1890,5370,1912,5372,1915,5376,1913,5380,1912,5421,1912,5421,1890xm5472,2000l5467,2000,5464,2001,5460,2005,5459,2008,5459,2015,5461,2018,5470,2024,5477,2026,5489,2026,5500,2025,5511,2022,5520,2018,5521,2017,5498,2017,5493,2015,5486,2010,5480,2005,5476,2002,5475,2001,5474,2000,5472,2000xm5537,1909l5496,1909,5501,1911,5505,1915,5509,1919,5511,1923,5511,1932,5510,1936,5508,1940,5505,1944,5503,1947,5500,1948,5497,1950,5492,1952,5485,1954,5485,1958,5497,1960,5506,1966,5512,1973,5518,1981,5521,1989,5521,2003,5520,2008,5516,2012,5513,2016,5509,2017,5521,2017,5528,2012,5538,2002,5543,1991,5543,1969,5541,1962,5533,1951,5528,1947,5520,1943,5526,1940,5530,1936,5533,1931,5536,1927,5537,1923,5537,1910,5537,1909xm5515,1890l5497,1890,5489,1892,5481,1898,5474,1903,5468,1911,5464,1922,5467,1923,5474,1914,5481,1909,5537,1909,5534,1903,5528,1898,5522,1892,5515,1890xm5597,2022l5585,2022,5585,2023,5585,2023,5586,2024,5586,2031,5584,2036,5581,2041,5577,2046,5572,2051,5565,2054,5565,2058,5575,2055,5584,2049,5589,2042,5595,2035,5597,2027,5597,2022xm5583,1994l5573,1994,5569,1995,5566,1998,5563,2002,5561,2005,5561,2014,5562,2017,5568,2023,5571,2025,5578,2025,5580,2024,5582,2023,5583,2022,5597,2022,5597,2010,5595,2004,5592,2000,5588,1996,5583,1994xm5685,1912l5644,1912,5649,1915,5657,1924,5659,1929,5659,1945,5657,1955,5652,1964,5646,1973,5637,1986,5625,2002,5609,2021,5609,2023,5686,2023,5691,1998,5638,1998,5652,1983,5664,1969,5674,1958,5680,1948,5685,1939,5687,1931,5687,1917,5685,1912xm5693,1986l5690,1986,5688,1990,5686,1993,5684,1994,5683,1996,5682,1997,5679,1997,5677,1998,5673,1998,5691,1998,5693,1986xm5658,1890l5642,1890,5634,1892,5627,1898,5620,1905,5615,1913,5611,1926,5615,1927,5620,1917,5628,1912,5685,1912,5682,1907,5679,1901,5675,1897,5670,1894,5664,1891,5658,1890xm5789,1918l5774,1918,5738,2026,5753,2026,5789,1918xm5797,1892l5719,1892,5710,1933,5713,1933,5716,1927,5719,1924,5723,1922,5728,1919,5736,1918,5789,1918,5797,1892xe" filled="true" fillcolor="#221f20" stroked="false">
              <v:path arrowok="t"/>
              <v:fill type="solid"/>
            </v:shape>
            <v:shape style="position:absolute;left:6376;top:2094;width:425;height:169" coordorigin="6376,2094" coordsize="425,169" path="m6447,2224l6378,2224,6378,2227,6447,2227,6447,2224xm6428,2116l6392,2116,6394,2116,6397,2119,6398,2120,6399,2121,6399,2123,6400,2127,6400,2209,6399,2214,6397,2219,6396,2221,6394,2222,6391,2223,6387,2224,6439,2224,6436,2223,6431,2221,6429,2219,6429,2216,6428,2214,6428,2209,6428,2116xm6428,2094l6425,2094,6376,2116,6378,2119,6383,2117,6387,2116,6428,2116,6428,2094xm6519,2094l6504,2094,6497,2096,6490,2101,6483,2107,6478,2114,6475,2124,6471,2136,6469,2149,6469,2175,6471,2184,6473,2194,6476,2201,6478,2207,6481,2212,6485,2218,6489,2222,6494,2225,6499,2228,6505,2230,6517,2230,6522,2229,6527,2226,6531,2224,6532,2223,6509,2223,6506,2222,6503,2219,6501,2216,6501,2212,6499,2205,6499,2203,6499,2194,6499,2134,6499,2121,6500,2115,6501,2109,6502,2105,6505,2103,6506,2101,6508,2100,6531,2100,6526,2096,6519,2094xm6531,2100l6515,2100,6517,2101,6519,2103,6521,2106,6523,2113,6524,2122,6524,2126,6524,2174,6524,2198,6523,2205,6523,2211,6522,2216,6519,2220,6517,2222,6515,2223,6532,2223,6536,2220,6543,2211,6546,2205,6548,2198,6552,2187,6554,2175,6554,2162,6553,2151,6552,2141,6550,2132,6547,2122,6544,2113,6539,2106,6533,2101,6531,2100xm6604,2226l6591,2226,6592,2228,6592,2235,6590,2240,6584,2250,6578,2255,6571,2258,6571,2262,6582,2259,6590,2253,6596,2246,6601,2239,6604,2231,6604,2226xm6589,2198l6579,2198,6575,2199,6569,2206,6567,2209,6567,2218,6569,2221,6572,2224,6574,2227,6578,2228,6584,2228,6586,2228,6588,2227,6589,2226,6590,2226,6604,2226,6604,2214,6602,2209,6598,2204,6594,2200,6589,2198xm6626,2204l6621,2204,6619,2205,6615,2209,6614,2212,6614,2219,6616,2222,6619,2225,6624,2228,6632,2230,6643,2230,6655,2229,6666,2227,6675,2222,6676,2221,6653,2221,6647,2219,6641,2214,6635,2209,6631,2206,6630,2205,6628,2205,6626,2204xm6691,2113l6651,2113,6656,2115,6663,2123,6665,2127,6665,2136,6664,2140,6662,2144,6660,2148,6658,2150,6655,2152,6652,2154,6647,2156,6640,2158,6640,2162,6652,2165,6661,2170,6667,2177,6673,2184,6676,2193,6676,2207,6674,2212,6668,2219,6663,2221,6676,2221,6683,2216,6693,2206,6698,2195,6698,2173,6696,2166,6692,2161,6688,2155,6682,2151,6675,2147,6681,2144,6685,2140,6688,2135,6690,2131,6692,2126,6692,2114,6691,2113xm6670,2094l6651,2094,6644,2096,6636,2102,6629,2107,6623,2115,6618,2126,6622,2127,6628,2118,6636,2113,6691,2113,6689,2108,6677,2096,6670,2094xm6729,2204l6724,2204,6721,2205,6717,2209,6716,2212,6716,2218,6718,2221,6722,2224,6728,2228,6736,2230,6757,2230,6766,2228,6781,2221,6762,2221,6760,2220,6758,2219,6755,2218,6751,2216,6748,2214,6741,2209,6737,2207,6734,2205,6732,2205,6729,2204xm6801,2096l6739,2096,6716,2162,6724,2162,6736,2163,6747,2165,6758,2168,6767,2173,6778,2180,6784,2189,6784,2206,6782,2211,6774,2219,6770,2221,6781,2221,6783,2220,6789,2214,6794,2205,6798,2198,6801,2191,6801,2170,6795,2159,6786,2151,6776,2144,6764,2139,6750,2136,6735,2134,6739,2121,6791,2121,6801,2096xe" filled="true" fillcolor="#221f20" stroked="false">
              <v:path arrowok="t"/>
              <v:fill type="solid"/>
            </v:shape>
            <v:shape style="position:absolute;left:5812;top:2248;width:232;height:169" type="#_x0000_t75" stroked="false">
              <v:imagedata r:id="rId69" o:title=""/>
            </v:shape>
            <v:shape style="position:absolute;left:5378;top:2292;width:85;height:137" coordorigin="5378,2292" coordsize="85,137" path="m5434,2292l5409,2292,5399,2295,5391,2302,5384,2308,5380,2316,5380,2331,5382,2337,5384,2342,5387,2347,5394,2354,5404,2362,5395,2366,5388,2371,5384,2376,5380,2381,5378,2387,5378,2404,5381,2412,5389,2418,5396,2424,5406,2428,5432,2428,5443,2424,5446,2421,5417,2421,5414,2421,5411,2419,5408,2417,5406,2414,5405,2410,5403,2406,5402,2401,5402,2390,5403,2385,5404,2381,5405,2377,5406,2373,5407,2371,5408,2369,5410,2368,5412,2366,5455,2366,5454,2364,5447,2358,5438,2351,5446,2347,5448,2346,5431,2346,5421,2339,5414,2334,5411,2329,5407,2324,5406,2319,5406,2309,5407,2306,5410,2302,5413,2299,5417,2298,5447,2298,5444,2295,5434,2292xm5455,2366l5412,2366,5423,2375,5431,2384,5435,2393,5437,2402,5437,2408,5435,2413,5432,2416,5429,2420,5425,2421,5446,2421,5451,2417,5459,2409,5463,2401,5463,2382,5461,2376,5455,2366xm5447,2298l5426,2298,5430,2299,5433,2303,5436,2307,5438,2313,5438,2328,5437,2331,5436,2335,5435,2339,5433,2343,5431,2346,5448,2346,5452,2343,5459,2333,5460,2329,5461,2313,5457,2306,5447,2298xe" filled="true" fillcolor="#221f20" stroked="false">
              <v:path arrowok="t"/>
              <v:fill type="solid"/>
            </v:shape>
            <v:shape style="position:absolute;left:4584;top:2029;width:428;height:169" coordorigin="4584,2029" coordsize="428,169" path="m4654,2159l4585,2159,4585,2163,4654,2163,4654,2159xm4635,2051l4600,2051,4601,2051,4603,2053,4605,2054,4606,2055,4606,2057,4607,2058,4607,2062,4607,2144,4607,2150,4605,2154,4603,2156,4601,2157,4599,2158,4595,2159,4647,2159,4643,2158,4638,2156,4637,2154,4636,2151,4635,2149,4635,2144,4635,2051xm4635,2029l4632,2029,4584,2051,4585,2054,4590,2052,4594,2051,4635,2051,4635,2029xm4726,2029l4711,2029,4704,2031,4691,2042,4686,2050,4683,2059,4679,2071,4677,2084,4677,2110,4678,2119,4681,2129,4683,2136,4686,2142,4688,2147,4692,2152,4697,2157,4702,2160,4707,2164,4712,2165,4724,2165,4730,2164,4734,2161,4739,2159,4740,2158,4716,2158,4714,2157,4712,2156,4710,2154,4709,2151,4708,2147,4707,2141,4707,2138,4706,2129,4706,2069,4707,2057,4707,2050,4708,2044,4710,2040,4714,2036,4716,2035,4739,2035,4733,2031,4726,2029xm4739,2035l4722,2035,4725,2036,4726,2039,4729,2042,4730,2048,4731,2057,4731,2060,4731,2109,4731,2136,4731,2141,4731,2146,4729,2151,4726,2155,4725,2157,4722,2158,4740,2158,4743,2155,4747,2151,4751,2146,4753,2141,4759,2122,4761,2110,4761,2097,4761,2086,4760,2076,4758,2067,4755,2057,4751,2049,4747,2042,4739,2035xm4811,2161l4798,2161,4798,2162,4799,2162,4799,2163,4799,2170,4798,2175,4794,2180,4791,2186,4786,2190,4778,2193,4778,2197,4789,2194,4797,2189,4803,2181,4809,2174,4811,2166,4811,2161xm4797,2133l4787,2133,4783,2134,4779,2138,4776,2141,4775,2145,4775,2153,4776,2156,4779,2159,4782,2162,4785,2164,4792,2164,4794,2163,4796,2162,4797,2162,4797,2161,4811,2161,4811,2149,4809,2143,4802,2135,4797,2133xm4881,2029l4856,2029,4846,2033,4831,2046,4827,2054,4827,2069,4829,2075,4831,2080,4834,2085,4841,2091,4851,2099,4842,2104,4835,2108,4831,2114,4827,2119,4825,2125,4825,2141,4828,2149,4836,2156,4843,2162,4853,2165,4879,2165,4890,2162,4893,2159,4864,2159,4861,2158,4858,2156,4855,2155,4853,2152,4852,2147,4850,2143,4849,2140,4849,2127,4850,2123,4851,2119,4852,2114,4853,2111,4854,2109,4855,2107,4857,2106,4859,2104,4902,2104,4901,2102,4894,2095,4885,2088,4893,2085,4894,2084,4878,2084,4868,2077,4861,2071,4858,2066,4854,2061,4853,2056,4853,2047,4854,2043,4857,2040,4860,2037,4864,2035,4895,2035,4891,2032,4881,2029xm4902,2104l4859,2104,4870,2112,4878,2121,4882,2130,4884,2138,4884,2146,4882,2150,4876,2157,4872,2159,4893,2159,4906,2147,4910,2138,4910,2120,4908,2113,4904,2107,4902,2104xm4895,2035l4873,2035,4877,2037,4880,2041,4883,2045,4885,2051,4885,2065,4884,2069,4882,2077,4880,2080,4878,2084,4894,2084,4899,2080,4902,2076,4906,2071,4908,2065,4908,2051,4904,2044,4895,2035xm5003,2057l4987,2057,4952,2165,4967,2165,5003,2057xm5011,2031l4933,2031,4924,2072,4927,2072,4930,2067,4933,2063,4942,2058,4950,2057,5003,2057,5011,2031xe" filled="true" fillcolor="#221f20" stroked="false">
              <v:path arrowok="t"/>
              <v:fill type="solid"/>
            </v:shape>
            <v:shape style="position:absolute;left:3786;top:1990;width:413;height:169" coordorigin="3786,1990" coordsize="413,169" path="m3857,2120l3788,2120,3788,2124,3857,2124,3857,2120xm3838,2012l3802,2012,3804,2012,3805,2014,3807,2015,3808,2016,3809,2018,3809,2019,3810,2023,3810,2105,3809,2111,3807,2115,3806,2117,3803,2118,3801,2119,3797,2120,3849,2120,3845,2119,3841,2117,3839,2115,3839,2113,3838,2110,3838,2105,3838,2012xm3838,1990l3835,1990,3786,2012,3788,2015,3793,2013,3797,2012,3838,2012,3838,1990xm3945,2120l3876,2120,3876,2124,3945,2124,3945,2120xm3926,2012l3890,2012,3892,2012,3895,2015,3896,2016,3897,2018,3897,2019,3898,2023,3898,2105,3897,2111,3895,2115,3894,2117,3891,2118,3889,2119,3885,2120,3937,2120,3933,2119,3929,2117,3927,2115,3927,2113,3926,2110,3926,2105,3926,2012xm3926,1990l3923,1990,3874,2012,3876,2015,3881,2013,3885,2012,3926,2012,3926,1990xm4003,2122l3990,2122,3990,2123,3990,2123,3991,2124,3991,2124,3991,2131,3990,2136,3986,2141,3983,2147,3977,2151,3970,2154,3970,2158,3981,2155,3989,2150,3995,2142,4000,2135,4003,2127,4003,2122xm3988,2094l3978,2094,3974,2095,3971,2099,3968,2102,3966,2106,3966,2114,3968,2117,3970,2120,3973,2123,3977,2125,3983,2125,3986,2124,3987,2123,3988,2123,3989,2122,4003,2122,4003,2110,4001,2104,3993,2096,3988,2094xm4029,2100l4024,2100,4022,2101,4018,2105,4017,2107,4017,2115,4018,2117,4028,2124,4036,2126,4057,2126,4066,2124,4074,2120,4082,2117,4062,2117,4060,2116,4058,2115,4055,2114,4052,2113,4048,2110,4041,2105,4037,2103,4034,2102,4032,2101,4029,2100xm4097,2058l4024,2058,4036,2059,4048,2061,4058,2064,4067,2069,4078,2076,4084,2085,4084,2103,4082,2107,4074,2115,4070,2117,4082,2117,4083,2116,4089,2110,4094,2102,4098,2095,4101,2087,4101,2066,4097,2058xm4101,1992l4039,1992,4016,2058,4020,2058,4097,2058,4096,2055,4086,2047,4076,2040,4064,2035,4050,2032,4035,2030,4039,2017,4091,2017,4101,1992xm4187,2094l4161,2094,4161,2124,4187,2124,4187,2094xm4187,1990l4175,1990,4113,2074,4113,2094,4199,2094,4199,2074,4122,2074,4161,2022,4187,2022,4187,1990xm4187,2022l4161,2022,4161,2074,4187,2074,4187,2022xe" filled="true" fillcolor="#221f20" stroked="false">
              <v:path arrowok="t"/>
              <v:fill type="solid"/>
            </v:shape>
            <v:shape style="position:absolute;left:4052;top:2335;width:334;height:169" type="#_x0000_t75" stroked="false">
              <v:imagedata r:id="rId70" o:title=""/>
            </v:shape>
            <v:shape style="position:absolute;left:2932;top:2433;width:659;height:337" type="#_x0000_t75" stroked="false">
              <v:imagedata r:id="rId71" o:title=""/>
            </v:shape>
            <v:shape style="position:absolute;left:2443;top:2376;width:332;height:168" type="#_x0000_t75" stroked="false">
              <v:imagedata r:id="rId72" o:title=""/>
            </v:shape>
            <v:shape style="position:absolute;left:2180;top:2113;width:421;height:169" coordorigin="2180,2113" coordsize="421,169" path="m2251,2243l2182,2243,2182,2247,2251,2247,2251,2243xm2232,2135l2196,2135,2198,2136,2200,2137,2201,2138,2202,2139,2203,2141,2203,2142,2204,2146,2204,2228,2203,2234,2202,2238,2200,2240,2198,2241,2195,2243,2191,2243,2243,2243,2240,2242,2235,2240,2234,2238,2233,2236,2232,2233,2232,2228,2232,2135xm2232,2113l2229,2113,2180,2135,2182,2138,2187,2136,2191,2135,2232,2135,2232,2113xm2323,2113l2308,2113,2301,2115,2294,2121,2288,2126,2283,2134,2279,2143,2275,2155,2274,2168,2274,2194,2275,2203,2278,2213,2280,2221,2282,2226,2285,2231,2289,2237,2293,2241,2298,2245,2304,2248,2309,2249,2321,2249,2326,2248,2336,2243,2337,2242,2313,2242,2311,2242,2309,2240,2307,2239,2306,2235,2305,2231,2304,2225,2303,2213,2303,2160,2303,2153,2303,2141,2304,2134,2305,2128,2306,2124,2309,2122,2311,2120,2313,2120,2336,2120,2330,2115,2323,2113xm2336,2120l2319,2120,2322,2121,2323,2123,2326,2126,2327,2132,2328,2141,2328,2207,2328,2225,2328,2230,2326,2236,2323,2239,2322,2241,2319,2242,2337,2242,2340,2239,2347,2230,2350,2225,2352,2218,2356,2207,2358,2194,2358,2181,2357,2171,2356,2160,2354,2151,2351,2142,2348,2133,2344,2126,2337,2121,2336,2120xm2408,2246l2395,2246,2395,2246,2396,2246,2396,2247,2396,2247,2396,2254,2395,2259,2391,2265,2388,2270,2383,2274,2375,2277,2375,2281,2386,2278,2394,2273,2405,2258,2408,2250,2408,2246xm2393,2217l2383,2217,2379,2219,2376,2222,2373,2225,2372,2229,2372,2237,2373,2240,2376,2243,2379,2246,2382,2248,2388,2248,2391,2247,2393,2246,2394,2246,2408,2246,2408,2233,2406,2228,2398,2219,2393,2217xm2472,2113l2457,2113,2450,2115,2436,2126,2431,2134,2428,2143,2424,2155,2422,2168,2422,2194,2423,2203,2426,2213,2428,2221,2430,2226,2433,2231,2437,2237,2442,2241,2447,2245,2452,2248,2458,2249,2469,2249,2474,2248,2484,2243,2485,2242,2461,2242,2459,2242,2455,2239,2454,2235,2453,2231,2452,2225,2452,2221,2451,2213,2451,2160,2451,2153,2452,2141,2452,2134,2453,2128,2455,2124,2457,2122,2459,2120,2461,2120,2484,2120,2479,2115,2472,2113xm2484,2120l2467,2120,2470,2121,2472,2123,2474,2126,2476,2132,2476,2141,2476,2207,2476,2225,2476,2230,2474,2236,2470,2241,2467,2242,2485,2242,2488,2239,2496,2230,2499,2225,2504,2207,2506,2194,2506,2181,2506,2171,2505,2160,2503,2151,2500,2142,2497,2133,2492,2126,2485,2121,2484,2120xm2529,2223l2524,2223,2522,2224,2520,2226,2518,2228,2517,2231,2517,2238,2519,2241,2522,2244,2527,2248,2535,2249,2547,2249,2558,2249,2569,2246,2578,2241,2579,2241,2556,2241,2550,2238,2544,2233,2538,2228,2534,2225,2533,2225,2531,2224,2529,2223xm2594,2132l2554,2132,2559,2134,2563,2138,2567,2142,2569,2147,2569,2156,2568,2159,2565,2163,2563,2167,2561,2170,2558,2172,2555,2173,2550,2175,2543,2178,2543,2181,2555,2184,2564,2189,2570,2196,2576,2204,2579,2212,2579,2226,2577,2231,2574,2235,2571,2239,2567,2241,2579,2241,2586,2235,2596,2226,2601,2214,2601,2192,2599,2186,2595,2180,2591,2175,2586,2170,2578,2166,2584,2163,2588,2159,2594,2150,2595,2145,2595,2133,2594,2132xm2573,2113l2555,2113,2547,2116,2532,2126,2526,2134,2522,2145,2525,2147,2531,2137,2539,2132,2594,2132,2592,2127,2586,2121,2580,2116,2573,2113xe" filled="true" fillcolor="#221f20" stroked="false">
              <v:path arrowok="t"/>
              <v:fill type="solid"/>
            </v:shape>
            <v:shape style="position:absolute;left:4876;top:2517;width:331;height:168" type="#_x0000_t75" stroked="false">
              <v:imagedata r:id="rId73" o:title=""/>
            </v:shape>
            <v:shape style="position:absolute;left:4571;top:2419;width:230;height:168" type="#_x0000_t75" stroked="false">
              <v:imagedata r:id="rId74" o:title=""/>
            </v:shape>
            <v:rect style="position:absolute;left:7293;top:1221;width:934;height:712" filled="false" stroked="true" strokeweight="1.514pt" strokecolor="#221f20"/>
            <v:shape style="position:absolute;left:7662;top:1266;width:539;height:138" coordorigin="7662,1266" coordsize="539,138" path="m7743,1266l7721,1266,7709,1269,7698,1275,7687,1282,7678,1290,7672,1302,7665,1313,7662,1325,7662,1349,7665,1360,7671,1371,7676,1381,7685,1389,7696,1395,7706,1401,7719,1403,7743,1403,7753,1402,7761,1398,7769,1395,7769,1394,7729,1394,7721,1392,7709,1382,7704,1375,7701,1365,7698,1355,7697,1345,7697,1321,7699,1310,7703,1300,7706,1293,7711,1287,7724,1277,7732,1275,7769,1275,7768,1275,7763,1272,7752,1268,7743,1266xm7784,1370l7776,1379,7769,1385,7762,1389,7755,1392,7748,1394,7769,1394,7776,1389,7784,1381,7784,1370xm7769,1275l7750,1275,7759,1278,7766,1284,7774,1291,7779,1300,7782,1312,7786,1312,7786,1276,7772,1276,7769,1275xm7786,1266l7782,1266,7782,1270,7781,1272,7779,1274,7778,1275,7776,1276,7786,1276,7786,1266xm7826,1371l7817,1371,7813,1372,7810,1376,7807,1379,7805,1382,7805,1391,7807,1395,7813,1401,7817,1403,7826,1403,7830,1401,7836,1395,7838,1391,7838,1382,7836,1379,7833,1376,7830,1372,7826,1371xm7928,1269l7850,1269,7850,1273,7856,1273,7860,1273,7865,1275,7866,1277,7867,1279,7868,1281,7868,1284,7868,1386,7868,1389,7867,1391,7866,1393,7865,1394,7863,1395,7860,1397,7856,1397,7850,1397,7850,1401,7917,1401,7930,1400,7941,1398,7951,1394,7953,1393,7906,1393,7903,1392,7900,1389,7899,1386,7899,1336,7952,1336,7946,1334,7934,1331,7944,1328,7899,1328,7899,1277,7952,1277,7951,1276,7945,1273,7939,1271,7928,1269xm7952,1336l7909,1336,7916,1337,7926,1341,7930,1344,7932,1349,7935,1354,7936,1359,7936,1371,7935,1375,7933,1380,7931,1384,7927,1387,7919,1392,7914,1393,7953,1393,7959,1389,7967,1382,7971,1374,7971,1355,7967,1347,7955,1337,7952,1336xm7952,1277l7908,1277,7915,1277,7920,1279,7924,1281,7927,1284,7932,1291,7933,1296,7933,1309,7932,1313,7927,1320,7924,1323,7915,1327,7908,1328,7944,1328,7946,1328,7954,1324,7958,1319,7963,1314,7965,1309,7965,1296,7964,1291,7956,1280,7952,1277xm8008,1371l7998,1371,7995,1372,7992,1376,7988,1379,7987,1382,7987,1391,7988,1395,7995,1401,7998,1403,8007,1403,8011,1401,8017,1395,8019,1391,8019,1382,8018,1379,8014,1376,8011,1372,8008,1371xm8141,1269l8032,1269,8032,1273,8040,1273,8043,1274,8046,1275,8048,1277,8049,1278,8049,1281,8050,1282,8050,1386,8050,1389,8049,1390,8048,1392,8047,1394,8045,1395,8043,1396,8039,1397,8032,1397,8032,1401,8145,1401,8146,1393,8090,1393,8087,1393,8084,1390,8083,1389,8082,1388,8082,1386,8081,1385,8081,1337,8113,1337,8113,1330,8081,1330,8081,1277,8141,1277,8141,1269xm8150,1359l8147,1359,8144,1370,8138,1379,8131,1385,8124,1390,8114,1393,8146,1393,8150,1359xm8113,1337l8088,1337,8092,1338,8096,1340,8099,1342,8102,1345,8107,1354,8108,1360,8109,1368,8113,1368,8113,1337xm8113,1299l8109,1299,8108,1309,8106,1317,8102,1322,8098,1328,8092,1330,8113,1330,8113,1299xm8141,1277l8105,1277,8112,1277,8115,1279,8121,1281,8126,1284,8129,1288,8133,1292,8135,1298,8137,1308,8141,1308,8141,1277xm8189,1371l8180,1371,8176,1372,8173,1376,8170,1379,8168,1382,8168,1391,8170,1395,8176,1401,8180,1403,8189,1403,8193,1401,8199,1395,8200,1391,8200,1382,8199,1379,8196,1376,8193,1372,8189,1371xe" filled="true" fillcolor="#221f20" stroked="false">
              <v:path arrowok="t"/>
              <v:fill type="solid"/>
            </v:shape>
            <v:shape style="position:absolute;left:7665;top:1521;width:518;height:370" type="#_x0000_t75" stroked="false">
              <v:imagedata r:id="rId75" o:title=""/>
            </v:shape>
            <v:line style="position:absolute" from="7459,1542" to="7459,1634" stroked="true" strokeweight="4.597pt" strokecolor="#bbbdbf"/>
            <v:line style="position:absolute" from="7337,1588" to="7581,1588" stroked="true" strokeweight="2.029pt" strokecolor="#bbbdbf"/>
            <v:shape style="position:absolute;left:7419;top:1777;width:98;height:85" coordorigin="7419,1777" coordsize="98,85" path="m7468,1777l7443,1819,7419,1862,7517,1862,7492,1819,7468,1777xe" filled="true" fillcolor="#929496" stroked="false">
              <v:path arrowok="t"/>
              <v:fill type="solid"/>
            </v:shape>
            <v:line style="position:absolute" from="7352,1827" to="7596,1827" stroked="true" strokeweight="2.029pt" strokecolor="#929496"/>
            <v:shape style="position:absolute;left:7424;top:1293;width:100;height:100" coordorigin="7424,1293" coordsize="100,100" path="m7474,1293l7424,1343,7474,1393,7499,1368,7524,1343,7499,1318,7474,1293xe" filled="true" fillcolor="#585a5b" stroked="false">
              <v:path arrowok="t"/>
              <v:fill type="solid"/>
            </v:shape>
            <v:line style="position:absolute" from="7352,1343" to="7596,1343" stroked="true" strokeweight="2.029pt" strokecolor="#585a5b"/>
            <v:shape style="position:absolute;left:7012;top:1370;width:228;height:168" type="#_x0000_t75" stroked="false">
              <v:imagedata r:id="rId76" o:title=""/>
            </v:shape>
            <v:shape style="position:absolute;left:1828;top:2925;width:85;height:137" coordorigin="1828,2925" coordsize="85,137" path="m1878,2925l1863,2925,1856,2928,1842,2938,1837,2946,1834,2956,1830,2967,1828,2981,1828,3006,1829,3015,1832,3025,1834,3033,1837,3038,1840,3043,1844,3049,1848,3054,1853,3057,1858,3060,1864,3062,1876,3062,1881,3060,1886,3058,1890,3055,1891,3054,1868,3054,1865,3054,1863,3052,1862,3050,1860,3048,1859,3043,1858,3037,1858,3033,1857,3025,1858,2973,1858,2965,1858,2953,1859,2946,1859,2940,1861,2936,1865,2932,1867,2932,1890,2932,1885,2928,1878,2925xm1890,2932l1874,2932,1876,2933,1878,2935,1880,2938,1882,2944,1882,2953,1883,3018,1882,3037,1882,3042,1881,3048,1878,3051,1876,3054,1874,3054,1891,3054,1895,3052,1902,3043,1905,3037,1911,3018,1912,3006,1912,2993,1912,2983,1911,2973,1909,2963,1906,2954,1903,2945,1898,2938,1891,2933,1890,2932xe" filled="true" fillcolor="#221f20" stroked="false">
              <v:path arrowok="t"/>
              <v:fill type="solid"/>
            </v:shape>
            <v:shape style="position:absolute;left:1829;top:2534;width:85;height:135" coordorigin="1829,2534" coordsize="85,135" path="m1843,2642l1837,2642,1835,2644,1833,2645,1831,2648,1830,2650,1830,2657,1831,2660,1836,2663,1841,2666,1850,2668,1870,2668,1879,2666,1888,2662,1895,2659,1875,2659,1873,2658,1871,2658,1868,2657,1865,2655,1861,2652,1855,2648,1850,2645,1848,2644,1845,2643,1843,2642xm1914,2534l1853,2534,1829,2601,1837,2601,1849,2601,1861,2603,1871,2607,1880,2611,1891,2618,1897,2628,1897,2644,1895,2649,1888,2657,1883,2659,1895,2659,1896,2658,1902,2652,1908,2644,1912,2637,1914,2629,1914,2608,1909,2598,1899,2589,1889,2582,1877,2577,1863,2574,1848,2573,1853,2559,1904,2559,1914,2534xe" filled="true" fillcolor="#221f20" stroked="false">
              <v:path arrowok="t"/>
              <v:fill type="solid"/>
            </v:shape>
            <v:shape style="position:absolute;left:1680;top:2336;width:233;height:166" type="#_x0000_t75" stroked="false">
              <v:imagedata r:id="rId77" o:title=""/>
            </v:shape>
            <v:shape style="position:absolute;left:1746;top:2129;width:177;height:137" type="#_x0000_t75" stroked="false">
              <v:imagedata r:id="rId78" o:title=""/>
            </v:shape>
            <v:shape style="position:absolute;left:1738;top:1739;width:177;height:137" type="#_x0000_t75" stroked="false">
              <v:imagedata r:id="rId79" o:title=""/>
            </v:shape>
            <v:shape style="position:absolute;left:1731;top:1350;width:186;height:137" type="#_x0000_t75" stroked="false">
              <v:imagedata r:id="rId80" o:title=""/>
            </v:shape>
            <v:shape style="position:absolute;left:1727;top:956;width:186;height:137" type="#_x0000_t75" stroked="false">
              <v:imagedata r:id="rId81" o:title=""/>
            </v:shape>
            <v:shape style="position:absolute;left:1722;top:556;width:187;height:136" type="#_x0000_t75" stroked="false">
              <v:imagedata r:id="rId82" o:title=""/>
            </v:shape>
            <v:shape style="position:absolute;left:1734;top:159;width:187;height:137" type="#_x0000_t75" stroked="false">
              <v:imagedata r:id="rId83" o:title=""/>
            </v:shape>
            <w10:wrap type="topAndBottom"/>
          </v:group>
        </w:pict>
      </w:r>
      <w:r>
        <w:rPr/>
        <w:drawing>
          <wp:anchor distT="0" distB="0" distL="0" distR="0" allowOverlap="1" layoutInCell="1" locked="0" behindDoc="0" simplePos="0" relativeHeight="1528">
            <wp:simplePos x="0" y="0"/>
            <wp:positionH relativeFrom="page">
              <wp:posOffset>1214422</wp:posOffset>
            </wp:positionH>
            <wp:positionV relativeFrom="paragraph">
              <wp:posOffset>2034440</wp:posOffset>
            </wp:positionV>
            <wp:extent cx="245529" cy="87439"/>
            <wp:effectExtent l="0" t="0" r="0" b="0"/>
            <wp:wrapTopAndBottom/>
            <wp:docPr id="23" name="image50.png" descr=""/>
            <wp:cNvGraphicFramePr>
              <a:graphicFrameLocks noChangeAspect="1"/>
            </wp:cNvGraphicFramePr>
            <a:graphic>
              <a:graphicData uri="http://schemas.openxmlformats.org/drawingml/2006/picture">
                <pic:pic>
                  <pic:nvPicPr>
                    <pic:cNvPr id="24" name="image50.png"/>
                    <pic:cNvPicPr/>
                  </pic:nvPicPr>
                  <pic:blipFill>
                    <a:blip r:embed="rId84" cstate="print"/>
                    <a:stretch>
                      <a:fillRect/>
                    </a:stretch>
                  </pic:blipFill>
                  <pic:spPr>
                    <a:xfrm>
                      <a:off x="0" y="0"/>
                      <a:ext cx="245529" cy="87439"/>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1693765</wp:posOffset>
            </wp:positionH>
            <wp:positionV relativeFrom="paragraph">
              <wp:posOffset>2034440</wp:posOffset>
            </wp:positionV>
            <wp:extent cx="240689" cy="87439"/>
            <wp:effectExtent l="0" t="0" r="0" b="0"/>
            <wp:wrapTopAndBottom/>
            <wp:docPr id="25" name="image51.png" descr=""/>
            <wp:cNvGraphicFramePr>
              <a:graphicFrameLocks noChangeAspect="1"/>
            </wp:cNvGraphicFramePr>
            <a:graphic>
              <a:graphicData uri="http://schemas.openxmlformats.org/drawingml/2006/picture">
                <pic:pic>
                  <pic:nvPicPr>
                    <pic:cNvPr id="26" name="image51.png"/>
                    <pic:cNvPicPr/>
                  </pic:nvPicPr>
                  <pic:blipFill>
                    <a:blip r:embed="rId85" cstate="print"/>
                    <a:stretch>
                      <a:fillRect/>
                    </a:stretch>
                  </pic:blipFill>
                  <pic:spPr>
                    <a:xfrm>
                      <a:off x="0" y="0"/>
                      <a:ext cx="240689" cy="87439"/>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2203194</wp:posOffset>
            </wp:positionH>
            <wp:positionV relativeFrom="paragraph">
              <wp:posOffset>2034440</wp:posOffset>
            </wp:positionV>
            <wp:extent cx="243916" cy="87439"/>
            <wp:effectExtent l="0" t="0" r="0" b="0"/>
            <wp:wrapTopAndBottom/>
            <wp:docPr id="27" name="image52.png" descr=""/>
            <wp:cNvGraphicFramePr>
              <a:graphicFrameLocks noChangeAspect="1"/>
            </wp:cNvGraphicFramePr>
            <a:graphic>
              <a:graphicData uri="http://schemas.openxmlformats.org/drawingml/2006/picture">
                <pic:pic>
                  <pic:nvPicPr>
                    <pic:cNvPr id="28" name="image52.png"/>
                    <pic:cNvPicPr/>
                  </pic:nvPicPr>
                  <pic:blipFill>
                    <a:blip r:embed="rId86" cstate="print"/>
                    <a:stretch>
                      <a:fillRect/>
                    </a:stretch>
                  </pic:blipFill>
                  <pic:spPr>
                    <a:xfrm>
                      <a:off x="0" y="0"/>
                      <a:ext cx="243916" cy="87439"/>
                    </a:xfrm>
                    <a:prstGeom prst="rect">
                      <a:avLst/>
                    </a:prstGeom>
                  </pic:spPr>
                </pic:pic>
              </a:graphicData>
            </a:graphic>
          </wp:anchor>
        </w:drawing>
      </w:r>
      <w:r>
        <w:rPr/>
        <w:drawing>
          <wp:anchor distT="0" distB="0" distL="0" distR="0" allowOverlap="1" layoutInCell="1" locked="0" behindDoc="0" simplePos="0" relativeHeight="1600">
            <wp:simplePos x="0" y="0"/>
            <wp:positionH relativeFrom="page">
              <wp:posOffset>2731133</wp:posOffset>
            </wp:positionH>
            <wp:positionV relativeFrom="paragraph">
              <wp:posOffset>2034440</wp:posOffset>
            </wp:positionV>
            <wp:extent cx="242840" cy="87439"/>
            <wp:effectExtent l="0" t="0" r="0" b="0"/>
            <wp:wrapTopAndBottom/>
            <wp:docPr id="29" name="image53.png" descr=""/>
            <wp:cNvGraphicFramePr>
              <a:graphicFrameLocks noChangeAspect="1"/>
            </wp:cNvGraphicFramePr>
            <a:graphic>
              <a:graphicData uri="http://schemas.openxmlformats.org/drawingml/2006/picture">
                <pic:pic>
                  <pic:nvPicPr>
                    <pic:cNvPr id="30" name="image53.png"/>
                    <pic:cNvPicPr/>
                  </pic:nvPicPr>
                  <pic:blipFill>
                    <a:blip r:embed="rId87" cstate="print"/>
                    <a:stretch>
                      <a:fillRect/>
                    </a:stretch>
                  </pic:blipFill>
                  <pic:spPr>
                    <a:xfrm>
                      <a:off x="0" y="0"/>
                      <a:ext cx="242840" cy="87439"/>
                    </a:xfrm>
                    <a:prstGeom prst="rect">
                      <a:avLst/>
                    </a:prstGeom>
                  </pic:spPr>
                </pic:pic>
              </a:graphicData>
            </a:graphic>
          </wp:anchor>
        </w:drawing>
      </w:r>
      <w:r>
        <w:rPr/>
        <w:drawing>
          <wp:anchor distT="0" distB="0" distL="0" distR="0" allowOverlap="1" layoutInCell="1" locked="0" behindDoc="0" simplePos="0" relativeHeight="1624">
            <wp:simplePos x="0" y="0"/>
            <wp:positionH relativeFrom="page">
              <wp:posOffset>3245722</wp:posOffset>
            </wp:positionH>
            <wp:positionV relativeFrom="paragraph">
              <wp:posOffset>2034440</wp:posOffset>
            </wp:positionV>
            <wp:extent cx="245171" cy="87439"/>
            <wp:effectExtent l="0" t="0" r="0" b="0"/>
            <wp:wrapTopAndBottom/>
            <wp:docPr id="31" name="image54.png" descr=""/>
            <wp:cNvGraphicFramePr>
              <a:graphicFrameLocks noChangeAspect="1"/>
            </wp:cNvGraphicFramePr>
            <a:graphic>
              <a:graphicData uri="http://schemas.openxmlformats.org/drawingml/2006/picture">
                <pic:pic>
                  <pic:nvPicPr>
                    <pic:cNvPr id="32" name="image54.png"/>
                    <pic:cNvPicPr/>
                  </pic:nvPicPr>
                  <pic:blipFill>
                    <a:blip r:embed="rId88" cstate="print"/>
                    <a:stretch>
                      <a:fillRect/>
                    </a:stretch>
                  </pic:blipFill>
                  <pic:spPr>
                    <a:xfrm>
                      <a:off x="0" y="0"/>
                      <a:ext cx="245171" cy="87439"/>
                    </a:xfrm>
                    <a:prstGeom prst="rect">
                      <a:avLst/>
                    </a:prstGeom>
                  </pic:spPr>
                </pic:pic>
              </a:graphicData>
            </a:graphic>
          </wp:anchor>
        </w:drawing>
      </w:r>
      <w:r>
        <w:rPr/>
        <w:drawing>
          <wp:anchor distT="0" distB="0" distL="0" distR="0" allowOverlap="1" layoutInCell="1" locked="0" behindDoc="0" simplePos="0" relativeHeight="1648">
            <wp:simplePos x="0" y="0"/>
            <wp:positionH relativeFrom="page">
              <wp:posOffset>3758882</wp:posOffset>
            </wp:positionH>
            <wp:positionV relativeFrom="paragraph">
              <wp:posOffset>2034440</wp:posOffset>
            </wp:positionV>
            <wp:extent cx="245529" cy="87439"/>
            <wp:effectExtent l="0" t="0" r="0" b="0"/>
            <wp:wrapTopAndBottom/>
            <wp:docPr id="33" name="image55.png" descr=""/>
            <wp:cNvGraphicFramePr>
              <a:graphicFrameLocks noChangeAspect="1"/>
            </wp:cNvGraphicFramePr>
            <a:graphic>
              <a:graphicData uri="http://schemas.openxmlformats.org/drawingml/2006/picture">
                <pic:pic>
                  <pic:nvPicPr>
                    <pic:cNvPr id="34" name="image55.png"/>
                    <pic:cNvPicPr/>
                  </pic:nvPicPr>
                  <pic:blipFill>
                    <a:blip r:embed="rId89" cstate="print"/>
                    <a:stretch>
                      <a:fillRect/>
                    </a:stretch>
                  </pic:blipFill>
                  <pic:spPr>
                    <a:xfrm>
                      <a:off x="0" y="0"/>
                      <a:ext cx="245529" cy="87439"/>
                    </a:xfrm>
                    <a:prstGeom prst="rect">
                      <a:avLst/>
                    </a:prstGeom>
                  </pic:spPr>
                </pic:pic>
              </a:graphicData>
            </a:graphic>
          </wp:anchor>
        </w:drawing>
      </w:r>
      <w:r>
        <w:rPr/>
        <w:drawing>
          <wp:anchor distT="0" distB="0" distL="0" distR="0" allowOverlap="1" layoutInCell="1" locked="0" behindDoc="0" simplePos="0" relativeHeight="1672">
            <wp:simplePos x="0" y="0"/>
            <wp:positionH relativeFrom="page">
              <wp:posOffset>4278810</wp:posOffset>
            </wp:positionH>
            <wp:positionV relativeFrom="paragraph">
              <wp:posOffset>2034440</wp:posOffset>
            </wp:positionV>
            <wp:extent cx="246426" cy="87439"/>
            <wp:effectExtent l="0" t="0" r="0" b="0"/>
            <wp:wrapTopAndBottom/>
            <wp:docPr id="35" name="image56.png" descr=""/>
            <wp:cNvGraphicFramePr>
              <a:graphicFrameLocks noChangeAspect="1"/>
            </wp:cNvGraphicFramePr>
            <a:graphic>
              <a:graphicData uri="http://schemas.openxmlformats.org/drawingml/2006/picture">
                <pic:pic>
                  <pic:nvPicPr>
                    <pic:cNvPr id="36" name="image56.png"/>
                    <pic:cNvPicPr/>
                  </pic:nvPicPr>
                  <pic:blipFill>
                    <a:blip r:embed="rId90" cstate="print"/>
                    <a:stretch>
                      <a:fillRect/>
                    </a:stretch>
                  </pic:blipFill>
                  <pic:spPr>
                    <a:xfrm>
                      <a:off x="0" y="0"/>
                      <a:ext cx="246426" cy="87439"/>
                    </a:xfrm>
                    <a:prstGeom prst="rect">
                      <a:avLst/>
                    </a:prstGeom>
                  </pic:spPr>
                </pic:pic>
              </a:graphicData>
            </a:graphic>
          </wp:anchor>
        </w:drawing>
      </w:r>
    </w:p>
    <w:p>
      <w:pPr>
        <w:pStyle w:val="BodyText"/>
        <w:spacing w:before="6"/>
        <w:rPr>
          <w:b/>
          <w:sz w:val="5"/>
        </w:rPr>
      </w:pPr>
    </w:p>
    <w:p>
      <w:pPr>
        <w:pStyle w:val="BodyText"/>
        <w:spacing w:before="2"/>
        <w:rPr>
          <w:b/>
          <w:sz w:val="19"/>
        </w:rPr>
      </w:pPr>
    </w:p>
    <w:p>
      <w:pPr>
        <w:spacing w:before="0"/>
        <w:ind w:left="117" w:right="0" w:firstLine="0"/>
        <w:jc w:val="both"/>
        <w:rPr>
          <w:sz w:val="17"/>
        </w:rPr>
      </w:pPr>
      <w:r>
        <w:rPr>
          <w:sz w:val="17"/>
        </w:rPr>
        <w:t>Gráfica construida por el autor con información de los diagnósticos integrales de la situación actual de las</w:t>
      </w:r>
    </w:p>
    <w:p>
      <w:pPr>
        <w:spacing w:before="4"/>
        <w:ind w:left="117" w:right="0" w:firstLine="0"/>
        <w:jc w:val="both"/>
        <w:rPr>
          <w:sz w:val="17"/>
        </w:rPr>
      </w:pPr>
      <w:r>
        <w:rPr>
          <w:sz w:val="17"/>
        </w:rPr>
        <w:t>haciendas públicas estatales y municipales de los años 2003 al 2007.</w:t>
      </w:r>
    </w:p>
    <w:p>
      <w:pPr>
        <w:spacing w:after="0"/>
        <w:jc w:val="both"/>
        <w:rPr>
          <w:sz w:val="17"/>
        </w:rPr>
        <w:sectPr>
          <w:pgSz w:w="9360" w:h="13040"/>
          <w:pgMar w:header="547" w:footer="514" w:top="940" w:bottom="700" w:left="1300" w:right="740"/>
        </w:sectPr>
      </w:pPr>
    </w:p>
    <w:p>
      <w:pPr>
        <w:pStyle w:val="BodyText"/>
        <w:rPr>
          <w:sz w:val="20"/>
        </w:rPr>
      </w:pPr>
    </w:p>
    <w:p>
      <w:pPr>
        <w:pStyle w:val="BodyText"/>
        <w:spacing w:before="9"/>
        <w:rPr>
          <w:sz w:val="28"/>
        </w:rPr>
      </w:pPr>
    </w:p>
    <w:p>
      <w:pPr>
        <w:pStyle w:val="Heading3"/>
        <w:spacing w:before="70"/>
        <w:ind w:left="727" w:right="732"/>
        <w:jc w:val="center"/>
      </w:pPr>
      <w:r>
        <w:rPr/>
        <w:pict>
          <v:group style="position:absolute;margin-left:87.987396pt;margin-top:35.174355pt;width:292.7pt;height:129.5500pt;mso-position-horizontal-relative:page;mso-position-vertical-relative:paragraph;z-index:1936" coordorigin="1760,703" coordsize="5854,2591">
            <v:shape style="position:absolute;left:0;top:11751;width:4846;height:2571" coordorigin="0,11751" coordsize="4846,2571" path="m1770,713l6615,713,6615,3284m1770,1067l6615,1067m6615,1430l1770,1430m1770,1788l6615,1788m6615,2146l1770,2146m1770,2505l6615,2505m6615,2867l1770,2867m1770,3225l6615,3225m5428,3284l5428,3225m4230,3284l4230,3225m3046,3284l3046,3225m1846,713l1846,3284e" filled="false" stroked="true" strokeweight="1pt" strokecolor="#221f20">
              <v:path arrowok="t"/>
            </v:shape>
            <v:line style="position:absolute" from="1846,3104" to="6619,3104" stroked="true" strokeweight="2.068pt" strokecolor="#585a5b"/>
            <v:rect style="position:absolute;left:6566;top:939;width:106;height:105" filled="true" fillcolor="#bbbdbf" stroked="false">
              <v:fill type="solid"/>
            </v:rect>
            <v:shape style="position:absolute;left:6562;top:3017;width:114;height:114" type="#_x0000_t75" stroked="false">
              <v:imagedata r:id="rId91" o:title=""/>
            </v:shape>
            <v:shape style="position:absolute;left:5366;top:3051;width:114;height:113" type="#_x0000_t75" stroked="false">
              <v:imagedata r:id="rId92" o:title=""/>
            </v:shape>
            <v:shape style="position:absolute;left:4177;top:3072;width:114;height:114" type="#_x0000_t75" stroked="false">
              <v:imagedata r:id="rId93" o:title=""/>
            </v:shape>
            <v:shape style="position:absolute;left:2963;top:3074;width:114;height:113" type="#_x0000_t75" stroked="false">
              <v:imagedata r:id="rId94" o:title=""/>
            </v:shape>
            <v:shape style="position:absolute;left:1789;top:3030;width:114;height:113" type="#_x0000_t75" stroked="false">
              <v:imagedata r:id="rId95" o:title=""/>
            </v:shape>
            <v:shape style="position:absolute;left:3082;top:1000;width:3534;height:2140" coordorigin="3082,1000" coordsize="3534,2140" path="m3082,3139l4248,2728,5429,1527,6616,1000e" filled="false" stroked="true" strokeweight="2pt" strokecolor="#bbbdbf">
              <v:path arrowok="t"/>
            </v:shape>
            <v:shape style="position:absolute;left:3046;top:1471;width:2438;height:1721" coordorigin="3046,1471" coordsize="2438,1721" path="m3152,3087l3046,3087,3046,3191,3152,3191,3152,3087m4300,2680l4195,2680,4195,2785,4300,2785,4300,2680m5483,1471l5378,1471,5378,1576,5483,1576,5483,1471e" filled="true" fillcolor="#bbbdbf" stroked="false">
              <v:path arrowok="t"/>
              <v:fill type="solid"/>
            </v:shape>
            <v:shape style="position:absolute;left:5560;top:3047;width:805;height:140" type="#_x0000_t75" stroked="false">
              <v:imagedata r:id="rId96" o:title=""/>
            </v:shape>
            <v:shape style="position:absolute;left:4334;top:3037;width:803;height:140" type="#_x0000_t75" stroked="false">
              <v:imagedata r:id="rId97" o:title=""/>
            </v:shape>
            <v:shape style="position:absolute;left:2969;top:2910;width:1121;height:291" type="#_x0000_t75" stroked="false">
              <v:imagedata r:id="rId98" o:title=""/>
            </v:shape>
            <v:shape style="position:absolute;left:4353;top:2648;width:896;height:140" type="#_x0000_t75" stroked="false">
              <v:imagedata r:id="rId99" o:title=""/>
            </v:shape>
            <v:shape style="position:absolute;left:5540;top:1483;width:905;height:140" type="#_x0000_t75" stroked="false">
              <v:imagedata r:id="rId100" o:title=""/>
            </v:shape>
            <v:shape style="position:absolute;left:6711;top:899;width:902;height:140" type="#_x0000_t75" stroked="false">
              <v:imagedata r:id="rId101" o:title=""/>
            </v:shape>
            <v:shape style="position:absolute;left:1989;top:3018;width:804;height:140" type="#_x0000_t75" stroked="false">
              <v:imagedata r:id="rId102" o:title=""/>
            </v:shape>
            <v:shape style="position:absolute;left:6711;top:3001;width:805;height:140" type="#_x0000_t75" stroked="false">
              <v:imagedata r:id="rId103" o:title=""/>
            </v:shape>
            <w10:wrap type="none"/>
          </v:group>
        </w:pict>
      </w:r>
      <w:r>
        <w:rPr/>
        <w:pict>
          <v:group style="position:absolute;margin-left:341.619995pt;margin-top:70.894356pt;width:55.25pt;height:31.55pt;mso-position-horizontal-relative:page;mso-position-vertical-relative:paragraph;z-index:1960" coordorigin="6832,1418" coordsize="1105,631">
            <v:rect style="position:absolute;left:6848;top:1433;width:1074;height:599" filled="false" stroked="true" strokeweight="1.514pt" strokecolor="#221f20"/>
            <v:shape style="position:absolute;left:7273;top:1487;width:630;height:443" coordorigin="7273,1487" coordsize="630,443" path="m7415,1487l7411,1487,7410,1491,7409,1494,7407,1495,7406,1497,7403,1498,7399,1498,7396,1497,7395,1497,7376,1490,7365,1487,7355,1487,7344,1488,7334,1490,7324,1493,7314,1498,7305,1504,7297,1511,7290,1518,7284,1528,7279,1537,7276,1547,7274,1557,7273,1568,7273,1581,7276,1594,7283,1606,7290,1618,7299,1627,7312,1633,7321,1638,7332,1641,7343,1642,7354,1643,7366,1643,7377,1641,7386,1637,7395,1633,7396,1633,7404,1627,7412,1618,7412,1605,7404,1616,7395,1623,7388,1627,7380,1631,7371,1633,7350,1633,7341,1630,7334,1625,7327,1619,7321,1610,7318,1600,7314,1588,7313,1576,7313,1549,7315,1537,7320,1526,7323,1517,7329,1510,7337,1505,7345,1499,7353,1497,7374,1497,7384,1500,7392,1508,7401,1515,7407,1525,7411,1539,7415,1539,7415,1498,7415,1487m7423,1774l7418,1774,7418,1777,7417,1780,7415,1782,7413,1783,7411,1784,7407,1784,7403,1783,7396,1780,7384,1776,7373,1774,7363,1774,7352,1774,7342,1776,7332,1779,7322,1784,7313,1790,7305,1797,7298,1805,7292,1814,7287,1823,7284,1833,7281,1844,7281,1854,7281,1868,7284,1880,7291,1893,7298,1904,7307,1914,7320,1920,7329,1924,7340,1927,7351,1929,7362,1930,7374,1930,7385,1928,7394,1924,7403,1920,7404,1919,7412,1913,7420,1905,7420,1892,7412,1902,7403,1909,7396,1913,7388,1917,7379,1919,7358,1919,7349,1916,7342,1911,7334,1905,7329,1897,7326,1886,7322,1875,7321,1863,7321,1836,7323,1823,7328,1812,7331,1804,7337,1797,7345,1791,7353,1786,7361,1783,7382,1783,7391,1787,7400,1794,7409,1801,7415,1812,7418,1825,7423,1825,7423,1784,7423,1774m7474,1619l7472,1615,7465,1608,7461,1606,7451,1606,7446,1608,7443,1611,7439,1615,7437,1619,7437,1630,7439,1634,7443,1637,7446,1641,7451,1643,7461,1643,7465,1641,7472,1634,7474,1630,7474,1619m7482,1906l7480,1902,7477,1898,7473,1894,7469,1893,7459,1893,7454,1894,7451,1898,7447,1902,7445,1906,7445,1916,7447,1920,7454,1927,7459,1929,7469,1929,7473,1927,7477,1924,7480,1920,7482,1916,7482,1906m7635,1487l7631,1487,7630,1491,7629,1494,7627,1495,7626,1497,7624,1498,7619,1498,7616,1497,7615,1497,7597,1490,7586,1487,7575,1487,7564,1488,7554,1490,7544,1493,7535,1498,7526,1504,7517,1511,7510,1518,7504,1528,7499,1537,7496,1547,7494,1557,7493,1568,7493,1581,7496,1594,7503,1606,7510,1618,7520,1627,7532,1633,7541,1638,7552,1641,7563,1642,7574,1643,7587,1643,7597,1641,7606,1637,7616,1633,7616,1633,7624,1627,7633,1618,7633,1605,7624,1616,7616,1623,7608,1627,7600,1631,7591,1633,7571,1633,7561,1630,7546,1619,7541,1610,7538,1600,7535,1588,7533,1576,7533,1549,7535,1537,7540,1526,7544,1517,7549,1510,7557,1505,7565,1499,7573,1497,7594,1497,7604,1500,7613,1508,7622,1515,7627,1525,7631,1539,7635,1539,7635,1498,7635,1487m7643,1774l7639,1774,7638,1777,7637,1780,7635,1782,7634,1783,7632,1784,7627,1784,7623,1783,7616,1780,7605,1776,7593,1774,7583,1774,7572,1774,7562,1776,7552,1779,7542,1784,7533,1790,7525,1797,7518,1805,7512,1814,7507,1823,7504,1833,7502,1844,7501,1854,7501,1868,7504,1880,7511,1893,7518,1904,7527,1914,7540,1920,7549,1924,7560,1927,7571,1929,7582,1930,7595,1930,7605,1928,7614,1924,7623,1920,7624,1919,7632,1913,7641,1905,7641,1892,7632,1902,7624,1909,7616,1913,7608,1917,7599,1919,7578,1919,7569,1916,7562,1911,7555,1905,7549,1897,7542,1875,7541,1863,7541,1836,7543,1823,7548,1812,7551,1804,7557,1797,7565,1791,7573,1786,7581,1783,7602,1783,7612,1787,7621,1794,7629,1801,7635,1812,7639,1825,7643,1825,7643,1784,7643,1774m7694,1619l7693,1615,7685,1608,7681,1606,7671,1606,7667,1608,7663,1611,7659,1615,7658,1619,7658,1630,7659,1634,7663,1637,7667,1641,7671,1643,7681,1643,7685,1641,7693,1634,7694,1630,7694,1619m7702,1906l7701,1902,7697,1898,7693,1894,7689,1893,7679,1893,7674,1894,7671,1898,7667,1902,7665,1906,7665,1916,7667,1920,7674,1927,7679,1929,7689,1929,7693,1927,7697,1924,7701,1920,7702,1916,7702,1906m7844,1777l7717,1777,7717,1781,7726,1781,7730,1782,7732,1783,7735,1784,7736,1786,7737,1788,7738,1790,7738,1795,7738,1909,7738,1913,7737,1915,7736,1917,7735,1919,7733,1920,7730,1922,7727,1922,7717,1922,7717,1926,7795,1926,7795,1922,7786,1922,7783,1922,7781,1920,7778,1919,7776,1917,7776,1915,7775,1913,7774,1909,7774,1855,7787,1855,7794,1857,7800,1862,7806,1866,7810,1876,7811,1890,7815,1890,7815,1855,7815,1847,7815,1815,7811,1815,7810,1823,7808,1829,7806,1834,7803,1839,7799,1842,7795,1844,7791,1846,7785,1847,7774,1847,7774,1785,7800,1785,7808,1786,7813,1787,7821,1789,7827,1792,7831,1797,7835,1802,7838,1810,7839,1820,7844,1820,7844,1785,7844,1777m7845,1592l7841,1592,7837,1606,7831,1615,7823,1622,7814,1628,7803,1632,7776,1632,7773,1631,7771,1630,7769,1629,7767,1627,7766,1623,7766,1618,7766,1568,7773,1568,7778,1569,7786,1573,7789,1577,7795,1588,7797,1594,7798,1603,7802,1603,7802,1568,7802,1560,7802,1525,7798,1525,7797,1536,7794,1545,7789,1551,7785,1557,7778,1560,7766,1560,7766,1499,7793,1499,7800,1500,7812,1503,7817,1507,7821,1512,7825,1516,7828,1524,7830,1535,7834,1535,7834,1499,7834,1491,7709,1491,7709,1494,7719,1494,7722,1495,7725,1498,7727,1499,7729,1501,7729,1504,7729,1505,7730,1507,7730,1623,7729,1626,7729,1628,7728,1631,7726,1633,7724,1634,7721,1635,7718,1636,7709,1636,7709,1640,7838,1640,7839,1632,7845,1592m7877,1906l7875,1902,7871,1898,7868,1894,7863,1893,7853,1893,7849,1894,7841,1902,7840,1906,7840,1916,7841,1920,7845,1924,7849,1927,7853,1929,7863,1929,7868,1927,7875,1920,7877,1916,7877,1906m7902,1619l7900,1615,7893,1608,7889,1606,7878,1606,7874,1608,7871,1611,7867,1615,7865,1619,7865,1630,7867,1634,7871,1637,7874,1641,7878,1643,7889,1643,7893,1641,7900,1634,7902,1630,7902,1619e" filled="true" fillcolor="#221f20" stroked="false">
              <v:path arrowok="t"/>
              <v:fill type="solid"/>
            </v:shape>
            <v:rect style="position:absolute;left:6988;top:1801;width:106;height:105" filled="true" fillcolor="#bbbdbf" stroked="false">
              <v:fill type="solid"/>
            </v:rect>
            <v:line style="position:absolute" from="6901,1853" to="7181,1853" stroked="true" strokeweight="2pt" strokecolor="#bbbdbf"/>
            <v:shape style="position:absolute;left:7001;top:1518;width:114;height:114" coordorigin="7001,1518" coordsize="114,114" path="m7058,1518l7001,1574,7058,1631,7086,1603,7115,1574,7086,1546,7058,1518xe" filled="true" fillcolor="#585a5b" stroked="false">
              <v:path arrowok="t"/>
              <v:fill type="solid"/>
            </v:shape>
            <v:line style="position:absolute" from="6918,1574" to="7198,1574" stroked="true" strokeweight="2pt" strokecolor="#585a5b"/>
            <w10:wrap type="none"/>
          </v:group>
        </w:pict>
      </w:r>
      <w:r>
        <w:rPr/>
        <w:drawing>
          <wp:anchor distT="0" distB="0" distL="0" distR="0" allowOverlap="1" layoutInCell="1" locked="0" behindDoc="0" simplePos="0" relativeHeight="1984">
            <wp:simplePos x="0" y="0"/>
            <wp:positionH relativeFrom="page">
              <wp:posOffset>546517</wp:posOffset>
            </wp:positionH>
            <wp:positionV relativeFrom="paragraph">
              <wp:posOffset>405886</wp:posOffset>
            </wp:positionV>
            <wp:extent cx="508171" cy="88677"/>
            <wp:effectExtent l="0" t="0" r="0" b="0"/>
            <wp:wrapNone/>
            <wp:docPr id="37" name="image70.png" descr=""/>
            <wp:cNvGraphicFramePr>
              <a:graphicFrameLocks noChangeAspect="1"/>
            </wp:cNvGraphicFramePr>
            <a:graphic>
              <a:graphicData uri="http://schemas.openxmlformats.org/drawingml/2006/picture">
                <pic:pic>
                  <pic:nvPicPr>
                    <pic:cNvPr id="38" name="image70.png"/>
                    <pic:cNvPicPr/>
                  </pic:nvPicPr>
                  <pic:blipFill>
                    <a:blip r:embed="rId104" cstate="print"/>
                    <a:stretch>
                      <a:fillRect/>
                    </a:stretch>
                  </pic:blipFill>
                  <pic:spPr>
                    <a:xfrm>
                      <a:off x="0" y="0"/>
                      <a:ext cx="508171" cy="88677"/>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549374</wp:posOffset>
            </wp:positionH>
            <wp:positionV relativeFrom="paragraph">
              <wp:posOffset>630996</wp:posOffset>
            </wp:positionV>
            <wp:extent cx="509325" cy="89153"/>
            <wp:effectExtent l="0" t="0" r="0" b="0"/>
            <wp:wrapNone/>
            <wp:docPr id="39" name="image71.png" descr=""/>
            <wp:cNvGraphicFramePr>
              <a:graphicFrameLocks noChangeAspect="1"/>
            </wp:cNvGraphicFramePr>
            <a:graphic>
              <a:graphicData uri="http://schemas.openxmlformats.org/drawingml/2006/picture">
                <pic:pic>
                  <pic:nvPicPr>
                    <pic:cNvPr id="40" name="image71.png"/>
                    <pic:cNvPicPr/>
                  </pic:nvPicPr>
                  <pic:blipFill>
                    <a:blip r:embed="rId105" cstate="print"/>
                    <a:stretch>
                      <a:fillRect/>
                    </a:stretch>
                  </pic:blipFill>
                  <pic:spPr>
                    <a:xfrm>
                      <a:off x="0" y="0"/>
                      <a:ext cx="509325" cy="89153"/>
                    </a:xfrm>
                    <a:prstGeom prst="rect">
                      <a:avLst/>
                    </a:prstGeom>
                  </pic:spPr>
                </pic:pic>
              </a:graphicData>
            </a:graphic>
          </wp:anchor>
        </w:drawing>
      </w:r>
      <w:r>
        <w:rPr/>
        <w:drawing>
          <wp:anchor distT="0" distB="0" distL="0" distR="0" allowOverlap="1" layoutInCell="1" locked="0" behindDoc="0" simplePos="0" relativeHeight="2032">
            <wp:simplePos x="0" y="0"/>
            <wp:positionH relativeFrom="page">
              <wp:posOffset>543871</wp:posOffset>
            </wp:positionH>
            <wp:positionV relativeFrom="paragraph">
              <wp:posOffset>861568</wp:posOffset>
            </wp:positionV>
            <wp:extent cx="508171" cy="88677"/>
            <wp:effectExtent l="0" t="0" r="0" b="0"/>
            <wp:wrapNone/>
            <wp:docPr id="41" name="image72.png" descr=""/>
            <wp:cNvGraphicFramePr>
              <a:graphicFrameLocks noChangeAspect="1"/>
            </wp:cNvGraphicFramePr>
            <a:graphic>
              <a:graphicData uri="http://schemas.openxmlformats.org/drawingml/2006/picture">
                <pic:pic>
                  <pic:nvPicPr>
                    <pic:cNvPr id="42" name="image72.png"/>
                    <pic:cNvPicPr/>
                  </pic:nvPicPr>
                  <pic:blipFill>
                    <a:blip r:embed="rId106" cstate="print"/>
                    <a:stretch>
                      <a:fillRect/>
                    </a:stretch>
                  </pic:blipFill>
                  <pic:spPr>
                    <a:xfrm>
                      <a:off x="0" y="0"/>
                      <a:ext cx="508171" cy="88677"/>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543261</wp:posOffset>
            </wp:positionH>
            <wp:positionV relativeFrom="paragraph">
              <wp:posOffset>1089524</wp:posOffset>
            </wp:positionV>
            <wp:extent cx="509462" cy="88677"/>
            <wp:effectExtent l="0" t="0" r="0" b="0"/>
            <wp:wrapNone/>
            <wp:docPr id="43" name="image73.png" descr=""/>
            <wp:cNvGraphicFramePr>
              <a:graphicFrameLocks noChangeAspect="1"/>
            </wp:cNvGraphicFramePr>
            <a:graphic>
              <a:graphicData uri="http://schemas.openxmlformats.org/drawingml/2006/picture">
                <pic:pic>
                  <pic:nvPicPr>
                    <pic:cNvPr id="44" name="image73.png"/>
                    <pic:cNvPicPr/>
                  </pic:nvPicPr>
                  <pic:blipFill>
                    <a:blip r:embed="rId107" cstate="print"/>
                    <a:stretch>
                      <a:fillRect/>
                    </a:stretch>
                  </pic:blipFill>
                  <pic:spPr>
                    <a:xfrm>
                      <a:off x="0" y="0"/>
                      <a:ext cx="509462" cy="88677"/>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540002</wp:posOffset>
            </wp:positionH>
            <wp:positionV relativeFrom="paragraph">
              <wp:posOffset>1317261</wp:posOffset>
            </wp:positionV>
            <wp:extent cx="513145" cy="89153"/>
            <wp:effectExtent l="0" t="0" r="0" b="0"/>
            <wp:wrapNone/>
            <wp:docPr id="45" name="image74.png" descr=""/>
            <wp:cNvGraphicFramePr>
              <a:graphicFrameLocks noChangeAspect="1"/>
            </wp:cNvGraphicFramePr>
            <a:graphic>
              <a:graphicData uri="http://schemas.openxmlformats.org/drawingml/2006/picture">
                <pic:pic>
                  <pic:nvPicPr>
                    <pic:cNvPr id="46" name="image74.png"/>
                    <pic:cNvPicPr/>
                  </pic:nvPicPr>
                  <pic:blipFill>
                    <a:blip r:embed="rId108" cstate="print"/>
                    <a:stretch>
                      <a:fillRect/>
                    </a:stretch>
                  </pic:blipFill>
                  <pic:spPr>
                    <a:xfrm>
                      <a:off x="0" y="0"/>
                      <a:ext cx="513145" cy="89153"/>
                    </a:xfrm>
                    <a:prstGeom prst="rect">
                      <a:avLst/>
                    </a:prstGeom>
                  </pic:spPr>
                </pic:pic>
              </a:graphicData>
            </a:graphic>
          </wp:anchor>
        </w:drawing>
      </w:r>
      <w:r>
        <w:rPr/>
        <w:t>Cifras cobradas más virtuales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0"/>
        </w:rPr>
      </w:pPr>
      <w:r>
        <w:rPr/>
        <w:drawing>
          <wp:anchor distT="0" distB="0" distL="0" distR="0" allowOverlap="1" layoutInCell="1" locked="0" behindDoc="0" simplePos="0" relativeHeight="1696">
            <wp:simplePos x="0" y="0"/>
            <wp:positionH relativeFrom="page">
              <wp:posOffset>1047548</wp:posOffset>
            </wp:positionH>
            <wp:positionV relativeFrom="paragraph">
              <wp:posOffset>176667</wp:posOffset>
            </wp:positionV>
            <wp:extent cx="250646" cy="89153"/>
            <wp:effectExtent l="0" t="0" r="0" b="0"/>
            <wp:wrapTopAndBottom/>
            <wp:docPr id="47" name="image75.png" descr=""/>
            <wp:cNvGraphicFramePr>
              <a:graphicFrameLocks noChangeAspect="1"/>
            </wp:cNvGraphicFramePr>
            <a:graphic>
              <a:graphicData uri="http://schemas.openxmlformats.org/drawingml/2006/picture">
                <pic:pic>
                  <pic:nvPicPr>
                    <pic:cNvPr id="48" name="image75.png"/>
                    <pic:cNvPicPr/>
                  </pic:nvPicPr>
                  <pic:blipFill>
                    <a:blip r:embed="rId109" cstate="print"/>
                    <a:stretch>
                      <a:fillRect/>
                    </a:stretch>
                  </pic:blipFill>
                  <pic:spPr>
                    <a:xfrm>
                      <a:off x="0" y="0"/>
                      <a:ext cx="250646" cy="89153"/>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1810724</wp:posOffset>
            </wp:positionH>
            <wp:positionV relativeFrom="paragraph">
              <wp:posOffset>176465</wp:posOffset>
            </wp:positionV>
            <wp:extent cx="249444" cy="89153"/>
            <wp:effectExtent l="0" t="0" r="0" b="0"/>
            <wp:wrapTopAndBottom/>
            <wp:docPr id="49" name="image76.png" descr=""/>
            <wp:cNvGraphicFramePr>
              <a:graphicFrameLocks noChangeAspect="1"/>
            </wp:cNvGraphicFramePr>
            <a:graphic>
              <a:graphicData uri="http://schemas.openxmlformats.org/drawingml/2006/picture">
                <pic:pic>
                  <pic:nvPicPr>
                    <pic:cNvPr id="50" name="image76.png"/>
                    <pic:cNvPicPr/>
                  </pic:nvPicPr>
                  <pic:blipFill>
                    <a:blip r:embed="rId110" cstate="print"/>
                    <a:stretch>
                      <a:fillRect/>
                    </a:stretch>
                  </pic:blipFill>
                  <pic:spPr>
                    <a:xfrm>
                      <a:off x="0" y="0"/>
                      <a:ext cx="249444" cy="89153"/>
                    </a:xfrm>
                    <a:prstGeom prst="rect">
                      <a:avLst/>
                    </a:prstGeom>
                  </pic:spPr>
                </pic:pic>
              </a:graphicData>
            </a:graphic>
          </wp:anchor>
        </w:drawing>
      </w:r>
      <w:r>
        <w:rPr/>
        <w:drawing>
          <wp:anchor distT="0" distB="0" distL="0" distR="0" allowOverlap="1" layoutInCell="1" locked="0" behindDoc="0" simplePos="0" relativeHeight="1744">
            <wp:simplePos x="0" y="0"/>
            <wp:positionH relativeFrom="page">
              <wp:posOffset>2560637</wp:posOffset>
            </wp:positionH>
            <wp:positionV relativeFrom="paragraph">
              <wp:posOffset>176465</wp:posOffset>
            </wp:positionV>
            <wp:extent cx="251486" cy="89153"/>
            <wp:effectExtent l="0" t="0" r="0" b="0"/>
            <wp:wrapTopAndBottom/>
            <wp:docPr id="51" name="image77.png" descr=""/>
            <wp:cNvGraphicFramePr>
              <a:graphicFrameLocks noChangeAspect="1"/>
            </wp:cNvGraphicFramePr>
            <a:graphic>
              <a:graphicData uri="http://schemas.openxmlformats.org/drawingml/2006/picture">
                <pic:pic>
                  <pic:nvPicPr>
                    <pic:cNvPr id="52" name="image77.png"/>
                    <pic:cNvPicPr/>
                  </pic:nvPicPr>
                  <pic:blipFill>
                    <a:blip r:embed="rId111" cstate="print"/>
                    <a:stretch>
                      <a:fillRect/>
                    </a:stretch>
                  </pic:blipFill>
                  <pic:spPr>
                    <a:xfrm>
                      <a:off x="0" y="0"/>
                      <a:ext cx="251486" cy="89153"/>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3330327</wp:posOffset>
            </wp:positionH>
            <wp:positionV relativeFrom="paragraph">
              <wp:posOffset>176465</wp:posOffset>
            </wp:positionV>
            <wp:extent cx="251894" cy="89153"/>
            <wp:effectExtent l="0" t="0" r="0" b="0"/>
            <wp:wrapTopAndBottom/>
            <wp:docPr id="53" name="image78.png" descr=""/>
            <wp:cNvGraphicFramePr>
              <a:graphicFrameLocks noChangeAspect="1"/>
            </wp:cNvGraphicFramePr>
            <a:graphic>
              <a:graphicData uri="http://schemas.openxmlformats.org/drawingml/2006/picture">
                <pic:pic>
                  <pic:nvPicPr>
                    <pic:cNvPr id="54" name="image78.png"/>
                    <pic:cNvPicPr/>
                  </pic:nvPicPr>
                  <pic:blipFill>
                    <a:blip r:embed="rId112" cstate="print"/>
                    <a:stretch>
                      <a:fillRect/>
                    </a:stretch>
                  </pic:blipFill>
                  <pic:spPr>
                    <a:xfrm>
                      <a:off x="0" y="0"/>
                      <a:ext cx="251894" cy="89153"/>
                    </a:xfrm>
                    <a:prstGeom prst="rect">
                      <a:avLst/>
                    </a:prstGeom>
                  </pic:spPr>
                </pic:pic>
              </a:graphicData>
            </a:graphic>
          </wp:anchor>
        </w:drawing>
      </w:r>
      <w:r>
        <w:rPr/>
        <w:drawing>
          <wp:anchor distT="0" distB="0" distL="0" distR="0" allowOverlap="1" layoutInCell="1" locked="0" behindDoc="0" simplePos="0" relativeHeight="1792">
            <wp:simplePos x="0" y="0"/>
            <wp:positionH relativeFrom="page">
              <wp:posOffset>4077384</wp:posOffset>
            </wp:positionH>
            <wp:positionV relativeFrom="paragraph">
              <wp:posOffset>179289</wp:posOffset>
            </wp:positionV>
            <wp:extent cx="251695" cy="88677"/>
            <wp:effectExtent l="0" t="0" r="0" b="0"/>
            <wp:wrapTopAndBottom/>
            <wp:docPr id="55" name="image79.png" descr=""/>
            <wp:cNvGraphicFramePr>
              <a:graphicFrameLocks noChangeAspect="1"/>
            </wp:cNvGraphicFramePr>
            <a:graphic>
              <a:graphicData uri="http://schemas.openxmlformats.org/drawingml/2006/picture">
                <pic:pic>
                  <pic:nvPicPr>
                    <pic:cNvPr id="56" name="image79.png"/>
                    <pic:cNvPicPr/>
                  </pic:nvPicPr>
                  <pic:blipFill>
                    <a:blip r:embed="rId113" cstate="print"/>
                    <a:stretch>
                      <a:fillRect/>
                    </a:stretch>
                  </pic:blipFill>
                  <pic:spPr>
                    <a:xfrm>
                      <a:off x="0" y="0"/>
                      <a:ext cx="251695" cy="88677"/>
                    </a:xfrm>
                    <a:prstGeom prst="rect">
                      <a:avLst/>
                    </a:prstGeom>
                  </pic:spPr>
                </pic:pic>
              </a:graphicData>
            </a:graphic>
          </wp:anchor>
        </w:drawing>
      </w:r>
    </w:p>
    <w:p>
      <w:pPr>
        <w:pStyle w:val="BodyText"/>
        <w:rPr>
          <w:b/>
          <w:sz w:val="22"/>
        </w:rPr>
      </w:pPr>
    </w:p>
    <w:p>
      <w:pPr>
        <w:spacing w:before="127"/>
        <w:ind w:left="110" w:right="-5" w:firstLine="0"/>
        <w:jc w:val="left"/>
        <w:rPr>
          <w:sz w:val="17"/>
        </w:rPr>
      </w:pPr>
      <w:r>
        <w:rPr/>
        <w:drawing>
          <wp:anchor distT="0" distB="0" distL="0" distR="0" allowOverlap="1" layoutInCell="1" locked="0" behindDoc="0" simplePos="0" relativeHeight="2104">
            <wp:simplePos x="0" y="0"/>
            <wp:positionH relativeFrom="page">
              <wp:posOffset>545905</wp:posOffset>
            </wp:positionH>
            <wp:positionV relativeFrom="paragraph">
              <wp:posOffset>-867174</wp:posOffset>
            </wp:positionV>
            <wp:extent cx="512137" cy="89153"/>
            <wp:effectExtent l="0" t="0" r="0" b="0"/>
            <wp:wrapNone/>
            <wp:docPr id="57" name="image80.png" descr=""/>
            <wp:cNvGraphicFramePr>
              <a:graphicFrameLocks noChangeAspect="1"/>
            </wp:cNvGraphicFramePr>
            <a:graphic>
              <a:graphicData uri="http://schemas.openxmlformats.org/drawingml/2006/picture">
                <pic:pic>
                  <pic:nvPicPr>
                    <pic:cNvPr id="58" name="image80.png"/>
                    <pic:cNvPicPr/>
                  </pic:nvPicPr>
                  <pic:blipFill>
                    <a:blip r:embed="rId114" cstate="print"/>
                    <a:stretch>
                      <a:fillRect/>
                    </a:stretch>
                  </pic:blipFill>
                  <pic:spPr>
                    <a:xfrm>
                      <a:off x="0" y="0"/>
                      <a:ext cx="512137" cy="89153"/>
                    </a:xfrm>
                    <a:prstGeom prst="rect">
                      <a:avLst/>
                    </a:prstGeom>
                  </pic:spPr>
                </pic:pic>
              </a:graphicData>
            </a:graphic>
          </wp:anchor>
        </w:drawing>
      </w:r>
      <w:r>
        <w:rPr/>
        <w:drawing>
          <wp:anchor distT="0" distB="0" distL="0" distR="0" allowOverlap="1" layoutInCell="1" locked="0" behindDoc="0" simplePos="0" relativeHeight="2128">
            <wp:simplePos x="0" y="0"/>
            <wp:positionH relativeFrom="page">
              <wp:posOffset>551420</wp:posOffset>
            </wp:positionH>
            <wp:positionV relativeFrom="paragraph">
              <wp:posOffset>-636791</wp:posOffset>
            </wp:positionV>
            <wp:extent cx="503894" cy="88677"/>
            <wp:effectExtent l="0" t="0" r="0" b="0"/>
            <wp:wrapNone/>
            <wp:docPr id="59" name="image81.png" descr=""/>
            <wp:cNvGraphicFramePr>
              <a:graphicFrameLocks noChangeAspect="1"/>
            </wp:cNvGraphicFramePr>
            <a:graphic>
              <a:graphicData uri="http://schemas.openxmlformats.org/drawingml/2006/picture">
                <pic:pic>
                  <pic:nvPicPr>
                    <pic:cNvPr id="60" name="image81.png"/>
                    <pic:cNvPicPr/>
                  </pic:nvPicPr>
                  <pic:blipFill>
                    <a:blip r:embed="rId115" cstate="print"/>
                    <a:stretch>
                      <a:fillRect/>
                    </a:stretch>
                  </pic:blipFill>
                  <pic:spPr>
                    <a:xfrm>
                      <a:off x="0" y="0"/>
                      <a:ext cx="503894" cy="88677"/>
                    </a:xfrm>
                    <a:prstGeom prst="rect">
                      <a:avLst/>
                    </a:prstGeom>
                  </pic:spPr>
                </pic:pic>
              </a:graphicData>
            </a:graphic>
          </wp:anchor>
        </w:drawing>
      </w:r>
      <w:r>
        <w:rPr>
          <w:sz w:val="17"/>
        </w:rPr>
        <w:t>Gráfica construida por el autor con información de los diagnósticos integrales de la situación actual de las</w:t>
      </w:r>
    </w:p>
    <w:p>
      <w:pPr>
        <w:spacing w:before="4"/>
        <w:ind w:left="110" w:right="0" w:firstLine="0"/>
        <w:jc w:val="left"/>
        <w:rPr>
          <w:sz w:val="17"/>
        </w:rPr>
      </w:pPr>
      <w:r>
        <w:rPr>
          <w:sz w:val="17"/>
        </w:rPr>
        <w:t>haciendas públicas estatales y municipales de los años 2003 al 2007.</w:t>
      </w:r>
    </w:p>
    <w:p>
      <w:pPr>
        <w:pStyle w:val="BodyText"/>
        <w:rPr>
          <w:sz w:val="16"/>
        </w:rPr>
      </w:pPr>
    </w:p>
    <w:p>
      <w:pPr>
        <w:pStyle w:val="BodyText"/>
        <w:spacing w:before="4"/>
        <w:rPr>
          <w:sz w:val="20"/>
        </w:rPr>
      </w:pPr>
    </w:p>
    <w:p>
      <w:pPr>
        <w:pStyle w:val="Heading3"/>
        <w:ind w:left="728" w:right="732"/>
        <w:jc w:val="center"/>
      </w:pPr>
      <w:r>
        <w:rPr/>
        <w:t>Programas de recaudación 2005.</w:t>
      </w:r>
    </w:p>
    <w:p>
      <w:pPr>
        <w:pStyle w:val="BodyText"/>
        <w:spacing w:before="8"/>
        <w:rPr>
          <w:b/>
          <w:sz w:val="19"/>
        </w:rPr>
      </w:pPr>
    </w:p>
    <w:tbl>
      <w:tblPr>
        <w:tblW w:w="0" w:type="auto"/>
        <w:jc w:val="left"/>
        <w:tblInd w:w="110" w:type="dxa"/>
        <w:tblBorders>
          <w:top w:val="single" w:sz="8" w:space="0" w:color="221F20"/>
          <w:left w:val="single" w:sz="8" w:space="0" w:color="221F20"/>
          <w:bottom w:val="single" w:sz="8" w:space="0" w:color="221F20"/>
          <w:right w:val="single" w:sz="8" w:space="0" w:color="221F20"/>
          <w:insideH w:val="single" w:sz="8" w:space="0" w:color="221F20"/>
          <w:insideV w:val="single" w:sz="8" w:space="0" w:color="221F20"/>
        </w:tblBorders>
        <w:tblLayout w:type="fixed"/>
        <w:tblCellMar>
          <w:top w:w="0" w:type="dxa"/>
          <w:left w:w="0" w:type="dxa"/>
          <w:bottom w:w="0" w:type="dxa"/>
          <w:right w:w="0" w:type="dxa"/>
        </w:tblCellMar>
        <w:tblLook w:val="01E0"/>
      </w:tblPr>
      <w:tblGrid>
        <w:gridCol w:w="1764"/>
        <w:gridCol w:w="1769"/>
        <w:gridCol w:w="1769"/>
        <w:gridCol w:w="1765"/>
      </w:tblGrid>
      <w:tr>
        <w:trPr>
          <w:trHeight w:val="566" w:hRule="exact"/>
        </w:trPr>
        <w:tc>
          <w:tcPr>
            <w:tcW w:w="1764" w:type="dxa"/>
          </w:tcPr>
          <w:p>
            <w:pPr>
              <w:pStyle w:val="TableParagraph"/>
              <w:spacing w:before="7"/>
              <w:rPr>
                <w:b/>
                <w:sz w:val="8"/>
              </w:rPr>
            </w:pPr>
          </w:p>
          <w:p>
            <w:pPr>
              <w:pStyle w:val="TableParagraph"/>
              <w:spacing w:before="0"/>
              <w:ind w:left="380"/>
              <w:rPr>
                <w:sz w:val="20"/>
              </w:rPr>
            </w:pPr>
            <w:r>
              <w:rPr>
                <w:sz w:val="20"/>
              </w:rPr>
              <w:drawing>
                <wp:inline distT="0" distB="0" distL="0" distR="0">
                  <wp:extent cx="621955" cy="242887"/>
                  <wp:effectExtent l="0" t="0" r="0" b="0"/>
                  <wp:docPr id="61" name="image82.png" descr=""/>
                  <wp:cNvGraphicFramePr>
                    <a:graphicFrameLocks noChangeAspect="1"/>
                  </wp:cNvGraphicFramePr>
                  <a:graphic>
                    <a:graphicData uri="http://schemas.openxmlformats.org/drawingml/2006/picture">
                      <pic:pic>
                        <pic:nvPicPr>
                          <pic:cNvPr id="62" name="image82.png"/>
                          <pic:cNvPicPr/>
                        </pic:nvPicPr>
                        <pic:blipFill>
                          <a:blip r:embed="rId116" cstate="print"/>
                          <a:stretch>
                            <a:fillRect/>
                          </a:stretch>
                        </pic:blipFill>
                        <pic:spPr>
                          <a:xfrm>
                            <a:off x="0" y="0"/>
                            <a:ext cx="621955" cy="242887"/>
                          </a:xfrm>
                          <a:prstGeom prst="rect">
                            <a:avLst/>
                          </a:prstGeom>
                        </pic:spPr>
                      </pic:pic>
                    </a:graphicData>
                  </a:graphic>
                </wp:inline>
              </w:drawing>
            </w:r>
            <w:r>
              <w:rPr>
                <w:sz w:val="20"/>
              </w:rPr>
            </w:r>
          </w:p>
        </w:tc>
        <w:tc>
          <w:tcPr>
            <w:tcW w:w="1769" w:type="dxa"/>
          </w:tcPr>
          <w:p>
            <w:pPr>
              <w:pStyle w:val="TableParagraph"/>
              <w:spacing w:before="7"/>
              <w:rPr>
                <w:b/>
                <w:sz w:val="8"/>
              </w:rPr>
            </w:pPr>
          </w:p>
          <w:p>
            <w:pPr>
              <w:pStyle w:val="TableParagraph"/>
              <w:spacing w:before="0"/>
              <w:ind w:left="390"/>
              <w:rPr>
                <w:sz w:val="20"/>
              </w:rPr>
            </w:pPr>
            <w:r>
              <w:rPr>
                <w:sz w:val="20"/>
              </w:rPr>
              <w:drawing>
                <wp:inline distT="0" distB="0" distL="0" distR="0">
                  <wp:extent cx="614533" cy="242887"/>
                  <wp:effectExtent l="0" t="0" r="0" b="0"/>
                  <wp:docPr id="63" name="image83.png" descr=""/>
                  <wp:cNvGraphicFramePr>
                    <a:graphicFrameLocks noChangeAspect="1"/>
                  </wp:cNvGraphicFramePr>
                  <a:graphic>
                    <a:graphicData uri="http://schemas.openxmlformats.org/drawingml/2006/picture">
                      <pic:pic>
                        <pic:nvPicPr>
                          <pic:cNvPr id="64" name="image83.png"/>
                          <pic:cNvPicPr/>
                        </pic:nvPicPr>
                        <pic:blipFill>
                          <a:blip r:embed="rId117" cstate="print"/>
                          <a:stretch>
                            <a:fillRect/>
                          </a:stretch>
                        </pic:blipFill>
                        <pic:spPr>
                          <a:xfrm>
                            <a:off x="0" y="0"/>
                            <a:ext cx="614533" cy="242887"/>
                          </a:xfrm>
                          <a:prstGeom prst="rect">
                            <a:avLst/>
                          </a:prstGeom>
                        </pic:spPr>
                      </pic:pic>
                    </a:graphicData>
                  </a:graphic>
                </wp:inline>
              </w:drawing>
            </w:r>
            <w:r>
              <w:rPr>
                <w:sz w:val="20"/>
              </w:rPr>
            </w:r>
          </w:p>
        </w:tc>
        <w:tc>
          <w:tcPr>
            <w:tcW w:w="1769" w:type="dxa"/>
          </w:tcPr>
          <w:p>
            <w:pPr>
              <w:pStyle w:val="TableParagraph"/>
              <w:spacing w:before="5"/>
              <w:rPr>
                <w:b/>
                <w:sz w:val="8"/>
              </w:rPr>
            </w:pPr>
          </w:p>
          <w:p>
            <w:pPr>
              <w:pStyle w:val="TableParagraph"/>
              <w:spacing w:before="0"/>
              <w:ind w:left="209"/>
              <w:rPr>
                <w:sz w:val="20"/>
              </w:rPr>
            </w:pPr>
            <w:r>
              <w:rPr>
                <w:sz w:val="20"/>
              </w:rPr>
              <w:drawing>
                <wp:inline distT="0" distB="0" distL="0" distR="0">
                  <wp:extent cx="851949" cy="219075"/>
                  <wp:effectExtent l="0" t="0" r="0" b="0"/>
                  <wp:docPr id="65" name="image84.png" descr=""/>
                  <wp:cNvGraphicFramePr>
                    <a:graphicFrameLocks noChangeAspect="1"/>
                  </wp:cNvGraphicFramePr>
                  <a:graphic>
                    <a:graphicData uri="http://schemas.openxmlformats.org/drawingml/2006/picture">
                      <pic:pic>
                        <pic:nvPicPr>
                          <pic:cNvPr id="66" name="image84.png"/>
                          <pic:cNvPicPr/>
                        </pic:nvPicPr>
                        <pic:blipFill>
                          <a:blip r:embed="rId118" cstate="print"/>
                          <a:stretch>
                            <a:fillRect/>
                          </a:stretch>
                        </pic:blipFill>
                        <pic:spPr>
                          <a:xfrm>
                            <a:off x="0" y="0"/>
                            <a:ext cx="851949" cy="219075"/>
                          </a:xfrm>
                          <a:prstGeom prst="rect">
                            <a:avLst/>
                          </a:prstGeom>
                        </pic:spPr>
                      </pic:pic>
                    </a:graphicData>
                  </a:graphic>
                </wp:inline>
              </w:drawing>
            </w:r>
            <w:r>
              <w:rPr>
                <w:sz w:val="20"/>
              </w:rPr>
            </w:r>
          </w:p>
        </w:tc>
        <w:tc>
          <w:tcPr>
            <w:tcW w:w="1765" w:type="dxa"/>
          </w:tcPr>
          <w:p>
            <w:pPr>
              <w:pStyle w:val="TableParagraph"/>
              <w:spacing w:before="6"/>
              <w:rPr>
                <w:b/>
                <w:sz w:val="7"/>
              </w:rPr>
            </w:pPr>
          </w:p>
          <w:p>
            <w:pPr>
              <w:pStyle w:val="TableParagraph"/>
              <w:spacing w:line="132" w:lineRule="exact" w:before="0"/>
              <w:ind w:left="217"/>
              <w:rPr>
                <w:sz w:val="13"/>
              </w:rPr>
            </w:pPr>
            <w:r>
              <w:rPr>
                <w:position w:val="-2"/>
                <w:sz w:val="13"/>
              </w:rPr>
              <w:drawing>
                <wp:inline distT="0" distB="0" distL="0" distR="0">
                  <wp:extent cx="838056" cy="84010"/>
                  <wp:effectExtent l="0" t="0" r="0" b="0"/>
                  <wp:docPr id="67" name="image85.png" descr=""/>
                  <wp:cNvGraphicFramePr>
                    <a:graphicFrameLocks noChangeAspect="1"/>
                  </wp:cNvGraphicFramePr>
                  <a:graphic>
                    <a:graphicData uri="http://schemas.openxmlformats.org/drawingml/2006/picture">
                      <pic:pic>
                        <pic:nvPicPr>
                          <pic:cNvPr id="68" name="image85.png"/>
                          <pic:cNvPicPr/>
                        </pic:nvPicPr>
                        <pic:blipFill>
                          <a:blip r:embed="rId119" cstate="print"/>
                          <a:stretch>
                            <a:fillRect/>
                          </a:stretch>
                        </pic:blipFill>
                        <pic:spPr>
                          <a:xfrm>
                            <a:off x="0" y="0"/>
                            <a:ext cx="838056" cy="84010"/>
                          </a:xfrm>
                          <a:prstGeom prst="rect">
                            <a:avLst/>
                          </a:prstGeom>
                        </pic:spPr>
                      </pic:pic>
                    </a:graphicData>
                  </a:graphic>
                </wp:inline>
              </w:drawing>
            </w:r>
            <w:r>
              <w:rPr>
                <w:position w:val="-2"/>
                <w:sz w:val="13"/>
              </w:rPr>
            </w:r>
          </w:p>
          <w:p>
            <w:pPr>
              <w:pStyle w:val="TableParagraph"/>
              <w:spacing w:before="5"/>
              <w:rPr>
                <w:b/>
                <w:sz w:val="28"/>
              </w:rPr>
            </w:pPr>
          </w:p>
        </w:tc>
      </w:tr>
      <w:tr>
        <w:trPr>
          <w:trHeight w:val="567" w:hRule="exact"/>
        </w:trPr>
        <w:tc>
          <w:tcPr>
            <w:tcW w:w="1764" w:type="dxa"/>
          </w:tcPr>
          <w:p>
            <w:pPr>
              <w:pStyle w:val="TableParagraph"/>
              <w:spacing w:before="2"/>
              <w:rPr>
                <w:b/>
                <w:sz w:val="19"/>
              </w:rPr>
            </w:pPr>
          </w:p>
          <w:p>
            <w:pPr>
              <w:pStyle w:val="TableParagraph"/>
              <w:spacing w:line="135" w:lineRule="exact" w:before="0"/>
              <w:ind w:left="687"/>
              <w:rPr>
                <w:sz w:val="13"/>
              </w:rPr>
            </w:pPr>
            <w:r>
              <w:rPr>
                <w:position w:val="-2"/>
                <w:sz w:val="13"/>
              </w:rPr>
              <w:drawing>
                <wp:inline distT="0" distB="0" distL="0" distR="0">
                  <wp:extent cx="230776" cy="85725"/>
                  <wp:effectExtent l="0" t="0" r="0" b="0"/>
                  <wp:docPr id="69" name="image86.png" descr=""/>
                  <wp:cNvGraphicFramePr>
                    <a:graphicFrameLocks noChangeAspect="1"/>
                  </wp:cNvGraphicFramePr>
                  <a:graphic>
                    <a:graphicData uri="http://schemas.openxmlformats.org/drawingml/2006/picture">
                      <pic:pic>
                        <pic:nvPicPr>
                          <pic:cNvPr id="70" name="image86.png"/>
                          <pic:cNvPicPr/>
                        </pic:nvPicPr>
                        <pic:blipFill>
                          <a:blip r:embed="rId120" cstate="print"/>
                          <a:stretch>
                            <a:fillRect/>
                          </a:stretch>
                        </pic:blipFill>
                        <pic:spPr>
                          <a:xfrm>
                            <a:off x="0" y="0"/>
                            <a:ext cx="230776" cy="85725"/>
                          </a:xfrm>
                          <a:prstGeom prst="rect">
                            <a:avLst/>
                          </a:prstGeom>
                        </pic:spPr>
                      </pic:pic>
                    </a:graphicData>
                  </a:graphic>
                </wp:inline>
              </w:drawing>
            </w:r>
            <w:r>
              <w:rPr>
                <w:position w:val="-2"/>
                <w:sz w:val="13"/>
              </w:rPr>
            </w:r>
          </w:p>
          <w:p>
            <w:pPr>
              <w:pStyle w:val="TableParagraph"/>
              <w:spacing w:before="7"/>
              <w:rPr>
                <w:b/>
                <w:sz w:val="16"/>
              </w:rPr>
            </w:pPr>
          </w:p>
        </w:tc>
        <w:tc>
          <w:tcPr>
            <w:tcW w:w="1769" w:type="dxa"/>
          </w:tcPr>
          <w:p>
            <w:pPr>
              <w:pStyle w:val="TableParagraph"/>
              <w:spacing w:before="5" w:after="1"/>
              <w:rPr>
                <w:b/>
                <w:sz w:val="19"/>
              </w:rPr>
            </w:pPr>
          </w:p>
          <w:p>
            <w:pPr>
              <w:pStyle w:val="TableParagraph"/>
              <w:spacing w:line="135" w:lineRule="exact" w:before="0"/>
              <w:ind w:left="692"/>
              <w:rPr>
                <w:sz w:val="13"/>
              </w:rPr>
            </w:pPr>
            <w:r>
              <w:rPr>
                <w:position w:val="-2"/>
                <w:sz w:val="13"/>
              </w:rPr>
              <w:drawing>
                <wp:inline distT="0" distB="0" distL="0" distR="0">
                  <wp:extent cx="230742" cy="85725"/>
                  <wp:effectExtent l="0" t="0" r="0" b="0"/>
                  <wp:docPr id="71" name="image87.png" descr=""/>
                  <wp:cNvGraphicFramePr>
                    <a:graphicFrameLocks noChangeAspect="1"/>
                  </wp:cNvGraphicFramePr>
                  <a:graphic>
                    <a:graphicData uri="http://schemas.openxmlformats.org/drawingml/2006/picture">
                      <pic:pic>
                        <pic:nvPicPr>
                          <pic:cNvPr id="72" name="image87.png"/>
                          <pic:cNvPicPr/>
                        </pic:nvPicPr>
                        <pic:blipFill>
                          <a:blip r:embed="rId121" cstate="print"/>
                          <a:stretch>
                            <a:fillRect/>
                          </a:stretch>
                        </pic:blipFill>
                        <pic:spPr>
                          <a:xfrm>
                            <a:off x="0" y="0"/>
                            <a:ext cx="230742" cy="85725"/>
                          </a:xfrm>
                          <a:prstGeom prst="rect">
                            <a:avLst/>
                          </a:prstGeom>
                        </pic:spPr>
                      </pic:pic>
                    </a:graphicData>
                  </a:graphic>
                </wp:inline>
              </w:drawing>
            </w:r>
            <w:r>
              <w:rPr>
                <w:position w:val="-2"/>
                <w:sz w:val="13"/>
              </w:rPr>
            </w:r>
          </w:p>
          <w:p>
            <w:pPr>
              <w:pStyle w:val="TableParagraph"/>
              <w:spacing w:before="3"/>
              <w:rPr>
                <w:b/>
                <w:sz w:val="16"/>
              </w:rPr>
            </w:pPr>
          </w:p>
        </w:tc>
        <w:tc>
          <w:tcPr>
            <w:tcW w:w="1769" w:type="dxa"/>
          </w:tcPr>
          <w:p>
            <w:pPr>
              <w:pStyle w:val="TableParagraph"/>
              <w:spacing w:before="5" w:after="1"/>
              <w:rPr>
                <w:b/>
                <w:sz w:val="19"/>
              </w:rPr>
            </w:pPr>
          </w:p>
          <w:p>
            <w:pPr>
              <w:pStyle w:val="TableParagraph"/>
              <w:spacing w:line="135" w:lineRule="exact" w:before="0"/>
              <w:ind w:left="694"/>
              <w:rPr>
                <w:sz w:val="13"/>
              </w:rPr>
            </w:pPr>
            <w:r>
              <w:rPr>
                <w:position w:val="-2"/>
                <w:sz w:val="13"/>
              </w:rPr>
              <w:drawing>
                <wp:inline distT="0" distB="0" distL="0" distR="0">
                  <wp:extent cx="230968" cy="85725"/>
                  <wp:effectExtent l="0" t="0" r="0" b="0"/>
                  <wp:docPr id="73" name="image88.png" descr=""/>
                  <wp:cNvGraphicFramePr>
                    <a:graphicFrameLocks noChangeAspect="1"/>
                  </wp:cNvGraphicFramePr>
                  <a:graphic>
                    <a:graphicData uri="http://schemas.openxmlformats.org/drawingml/2006/picture">
                      <pic:pic>
                        <pic:nvPicPr>
                          <pic:cNvPr id="74" name="image88.png"/>
                          <pic:cNvPicPr/>
                        </pic:nvPicPr>
                        <pic:blipFill>
                          <a:blip r:embed="rId122" cstate="print"/>
                          <a:stretch>
                            <a:fillRect/>
                          </a:stretch>
                        </pic:blipFill>
                        <pic:spPr>
                          <a:xfrm>
                            <a:off x="0" y="0"/>
                            <a:ext cx="230968" cy="85725"/>
                          </a:xfrm>
                          <a:prstGeom prst="rect">
                            <a:avLst/>
                          </a:prstGeom>
                        </pic:spPr>
                      </pic:pic>
                    </a:graphicData>
                  </a:graphic>
                </wp:inline>
              </w:drawing>
            </w:r>
            <w:r>
              <w:rPr>
                <w:position w:val="-2"/>
                <w:sz w:val="13"/>
              </w:rPr>
            </w:r>
          </w:p>
          <w:p>
            <w:pPr>
              <w:pStyle w:val="TableParagraph"/>
              <w:spacing w:before="3"/>
              <w:rPr>
                <w:b/>
                <w:sz w:val="16"/>
              </w:rPr>
            </w:pPr>
          </w:p>
        </w:tc>
        <w:tc>
          <w:tcPr>
            <w:tcW w:w="1765" w:type="dxa"/>
          </w:tcPr>
          <w:p>
            <w:pPr>
              <w:pStyle w:val="TableParagraph"/>
              <w:spacing w:before="2"/>
              <w:rPr>
                <w:b/>
                <w:sz w:val="19"/>
              </w:rPr>
            </w:pPr>
          </w:p>
          <w:p>
            <w:pPr>
              <w:pStyle w:val="TableParagraph"/>
              <w:spacing w:line="134" w:lineRule="exact" w:before="0"/>
              <w:ind w:left="651"/>
              <w:rPr>
                <w:sz w:val="13"/>
              </w:rPr>
            </w:pPr>
            <w:r>
              <w:rPr>
                <w:position w:val="-2"/>
                <w:sz w:val="13"/>
              </w:rPr>
              <w:pict>
                <v:group style="width:22.45pt;height:6.75pt;mso-position-horizontal-relative:char;mso-position-vertical-relative:line" coordorigin="0,0" coordsize="449,135">
                  <v:shape style="position:absolute;left:0;top:0;width:449;height:135" coordorigin="0,0" coordsize="449,135" path="m68,125l2,125,2,129,68,129,68,125xm49,21l15,21,17,22,20,24,21,25,22,26,22,28,22,32,22,111,22,116,21,119,20,121,19,122,17,124,14,125,10,125,60,125,57,125,55,123,53,122,51,120,50,118,50,116,49,111,49,21xm49,0l46,0,0,21,2,24,6,22,10,21,49,21,49,0xm137,0l122,0,116,2,109,8,103,13,98,20,95,29,91,41,90,52,89,78,91,87,93,97,95,104,98,109,104,119,108,124,113,127,118,130,124,131,135,131,140,130,144,128,149,125,150,125,127,125,125,124,123,122,121,121,120,118,118,108,117,97,118,39,118,27,119,20,119,15,121,11,125,7,127,6,149,6,144,2,137,0xm149,6l133,6,135,7,137,9,139,12,141,18,142,31,142,77,141,101,141,108,141,113,140,118,137,122,135,124,133,125,150,125,153,122,160,113,163,108,165,101,169,90,170,78,170,52,168,39,164,28,161,19,157,12,150,8,149,6xm232,0l217,0,211,2,204,8,198,13,193,20,190,29,186,41,184,52,184,78,186,87,188,97,190,104,192,109,195,113,199,119,203,124,208,127,213,130,218,131,230,131,235,130,244,125,244,125,222,125,220,124,218,122,216,121,215,118,214,113,213,108,213,104,212,97,212,52,213,39,213,27,213,20,214,15,216,11,218,9,220,7,222,6,244,6,239,2,232,0xm244,6l228,6,230,7,232,9,234,12,236,18,236,27,237,77,236,104,236,109,236,113,235,118,232,122,230,124,228,125,244,125,248,122,255,113,258,108,263,90,265,78,265,52,263,39,259,28,256,19,251,12,245,8,244,6xm418,0l405,0,316,134,329,134,418,0xm426,66l408,66,401,70,389,82,386,90,386,110,389,118,395,124,402,131,409,134,426,134,433,131,435,129,416,129,415,128,414,128,413,126,412,124,411,121,410,116,410,110,410,89,410,83,411,79,411,76,413,74,414,72,415,71,416,71,435,71,434,69,426,66xm435,71l419,71,420,71,421,72,422,74,423,76,424,79,425,83,425,89,425,110,425,116,424,121,423,124,422,126,420,128,420,128,419,129,435,129,439,124,445,118,448,110,448,90,445,82,435,71xm325,0l308,0,300,3,288,16,285,24,285,44,288,52,294,58,300,64,307,67,325,67,333,64,334,63,315,63,314,62,313,62,312,60,311,58,310,55,309,51,308,44,308,23,309,17,310,14,310,10,312,8,314,5,315,5,334,5,333,3,325,0xm334,5l318,5,319,5,320,6,321,7,322,10,323,13,324,18,324,23,324,44,324,51,323,55,322,58,321,60,320,62,319,62,318,63,334,63,339,58,345,52,348,44,348,23,345,15,339,9,334,5xe" filled="true" fillcolor="#221f20" stroked="false">
                    <v:path arrowok="t"/>
                    <v:fill type="solid"/>
                  </v:shape>
                </v:group>
              </w:pict>
            </w:r>
            <w:r>
              <w:rPr>
                <w:position w:val="-2"/>
                <w:sz w:val="13"/>
              </w:rPr>
            </w:r>
          </w:p>
          <w:p>
            <w:pPr>
              <w:pStyle w:val="TableParagraph"/>
              <w:spacing w:before="8"/>
              <w:rPr>
                <w:b/>
                <w:sz w:val="16"/>
              </w:rPr>
            </w:pPr>
          </w:p>
        </w:tc>
      </w:tr>
      <w:tr>
        <w:trPr>
          <w:trHeight w:val="562" w:hRule="exact"/>
        </w:trPr>
        <w:tc>
          <w:tcPr>
            <w:tcW w:w="1764" w:type="dxa"/>
          </w:tcPr>
          <w:p>
            <w:pPr>
              <w:pStyle w:val="TableParagraph"/>
              <w:spacing w:before="1"/>
              <w:rPr>
                <w:b/>
                <w:sz w:val="18"/>
              </w:rPr>
            </w:pPr>
          </w:p>
          <w:p>
            <w:pPr>
              <w:pStyle w:val="TableParagraph"/>
              <w:spacing w:line="134" w:lineRule="exact" w:before="0"/>
              <w:ind w:left="665"/>
              <w:rPr>
                <w:sz w:val="13"/>
              </w:rPr>
            </w:pPr>
            <w:r>
              <w:rPr>
                <w:position w:val="-2"/>
                <w:sz w:val="13"/>
              </w:rPr>
              <w:pict>
                <v:group style="width:20.350pt;height:6.75pt;mso-position-horizontal-relative:char;mso-position-vertical-relative:line" coordorigin="0,0" coordsize="407,135">
                  <v:shape style="position:absolute;left:0;top:0;width:407;height:135" coordorigin="0,0" coordsize="407,135" path="m48,0l33,0,26,2,20,7,14,13,9,20,2,41,0,52,0,78,1,87,4,97,6,104,8,109,11,113,15,119,19,124,24,127,29,130,34,131,46,131,50,130,55,128,60,125,60,125,38,125,35,124,34,122,32,121,31,118,29,108,28,97,28,39,29,27,29,20,30,15,32,11,34,9,35,7,37,6,59,6,54,2,48,0xm59,6l43,6,46,7,48,9,50,12,51,18,52,31,52,77,52,104,52,113,50,118,48,122,46,124,44,125,60,125,63,122,71,113,73,108,75,101,79,90,81,78,81,52,79,39,75,28,72,19,67,12,59,6xm116,100l107,100,104,102,98,108,96,111,96,120,98,124,104,130,107,131,116,131,120,130,126,124,127,120,127,111,126,108,123,105,120,102,116,100xm190,0l176,0,169,2,162,7,156,13,151,20,148,29,144,41,142,52,142,78,144,87,146,97,148,104,150,109,153,113,157,119,161,124,166,127,171,130,176,131,188,131,193,130,202,125,202,125,180,125,178,124,176,122,174,121,173,118,171,108,171,104,170,97,170,39,171,27,171,20,172,15,174,11,176,9,178,7,180,6,202,6,197,2,190,0xm202,6l186,6,188,7,190,9,192,12,194,18,194,27,195,77,194,95,194,108,194,113,193,118,190,122,188,124,186,125,202,125,206,122,209,117,213,113,216,108,221,90,223,78,223,52,221,39,217,28,214,19,209,12,203,7,202,6xm376,0l363,0,274,134,287,134,376,0xm384,66l366,66,359,70,347,82,344,90,344,110,347,118,353,124,359,131,367,134,384,134,391,131,393,129,374,129,373,128,372,128,371,126,369,124,369,121,368,116,367,110,367,89,368,83,369,79,369,76,371,74,372,72,373,71,374,71,393,71,392,69,384,66xm393,71l377,71,378,71,379,72,380,74,381,76,382,79,383,83,383,89,383,110,383,116,382,121,381,124,380,126,378,128,378,128,377,129,393,129,403,118,406,110,406,90,403,82,393,71xm283,0l265,0,258,3,246,16,243,24,243,44,246,52,252,58,258,64,265,67,283,67,291,64,292,63,273,63,272,62,271,62,270,60,269,58,268,56,267,51,266,44,266,23,267,17,268,13,268,10,269,7,271,6,272,5,273,5,292,5,291,3,283,0xm292,5l276,5,277,5,278,6,279,7,280,10,282,18,282,23,282,44,282,51,281,55,280,58,279,60,278,62,277,62,276,63,292,63,302,52,305,44,305,23,302,15,297,9,292,5xe" filled="true" fillcolor="#221f20" stroked="false">
                    <v:path arrowok="t"/>
                    <v:fill type="solid"/>
                  </v:shape>
                </v:group>
              </w:pict>
            </w:r>
            <w:r>
              <w:rPr>
                <w:position w:val="-2"/>
                <w:sz w:val="13"/>
              </w:rPr>
            </w:r>
          </w:p>
          <w:p>
            <w:pPr>
              <w:pStyle w:val="TableParagraph"/>
              <w:spacing w:before="4"/>
              <w:rPr>
                <w:b/>
                <w:sz w:val="17"/>
              </w:rPr>
            </w:pPr>
          </w:p>
        </w:tc>
        <w:tc>
          <w:tcPr>
            <w:tcW w:w="1769" w:type="dxa"/>
          </w:tcPr>
          <w:p>
            <w:pPr>
              <w:pStyle w:val="TableParagraph"/>
              <w:spacing w:before="1"/>
              <w:rPr>
                <w:b/>
                <w:sz w:val="18"/>
              </w:rPr>
            </w:pPr>
          </w:p>
          <w:p>
            <w:pPr>
              <w:pStyle w:val="TableParagraph"/>
              <w:spacing w:line="134" w:lineRule="exact" w:before="0"/>
              <w:ind w:left="621"/>
              <w:rPr>
                <w:sz w:val="13"/>
              </w:rPr>
            </w:pPr>
            <w:r>
              <w:rPr>
                <w:position w:val="-2"/>
                <w:sz w:val="13"/>
              </w:rPr>
              <w:pict>
                <v:group style="width:25.25pt;height:6.75pt;mso-position-horizontal-relative:char;mso-position-vertical-relative:line" coordorigin="0,0" coordsize="505,135">
                  <v:shape style="position:absolute;left:0;top:0;width:505;height:135" coordorigin="0,0" coordsize="505,135" path="m74,22l34,22,39,24,43,28,47,32,49,38,49,53,46,62,42,72,36,81,27,93,15,108,0,127,0,129,74,129,79,104,28,104,42,90,53,77,62,66,68,56,73,48,75,39,75,27,74,22xm81,92l78,92,76,97,74,99,73,101,71,102,70,103,68,104,66,104,61,104,79,104,81,92xm48,0l32,0,24,3,18,8,11,14,6,23,2,35,6,36,11,27,18,22,74,22,74,22,68,11,64,7,59,4,53,1,48,0xm166,101l140,101,140,129,166,129,166,101xm166,0l154,0,95,81,95,101,177,101,177,81,104,81,140,31,166,31,166,0xm166,31l140,31,140,81,166,81,166,31xm213,100l205,100,201,102,198,105,195,108,194,111,194,120,195,124,201,130,205,131,213,131,217,130,223,124,224,120,224,111,223,108,220,105,217,102,213,100xm287,0l273,0,266,2,260,7,253,13,248,20,245,29,241,41,240,52,240,78,241,87,244,97,246,104,248,109,251,113,254,119,259,124,264,127,269,130,274,131,285,131,290,130,299,125,300,125,278,125,275,124,272,121,270,118,268,108,268,97,268,39,268,27,269,20,270,15,271,11,273,9,275,7,277,6,299,6,294,2,287,0xm299,6l283,6,286,7,287,9,290,12,291,18,292,31,292,77,292,105,291,113,290,118,287,122,286,124,283,125,300,125,303,122,310,113,313,108,315,101,319,90,321,78,321,52,319,39,314,28,311,19,307,12,300,7,299,6xm473,0l461,0,372,134,384,134,473,0xm481,66l464,66,457,70,451,76,445,82,442,90,442,110,445,118,451,124,457,131,464,134,481,134,489,131,491,129,472,129,471,128,468,126,467,124,466,121,466,116,465,110,465,89,465,83,466,79,467,76,468,74,470,72,471,71,471,71,491,71,489,69,481,66xm491,71l474,71,475,71,477,74,479,76,479,79,480,83,481,89,481,110,480,116,479,121,479,124,477,126,476,128,475,128,474,129,491,129,495,124,501,118,504,110,504,90,501,82,491,71xm381,0l363,0,356,3,344,16,341,24,341,44,344,52,350,58,355,64,363,67,380,67,388,64,389,63,370,63,370,62,369,62,367,60,366,58,365,55,364,51,364,44,364,23,364,17,365,13,366,10,367,7,369,5,370,5,390,5,388,3,381,0xm390,5l373,5,374,5,375,6,377,7,378,9,378,10,379,13,379,18,380,23,380,44,379,51,378,56,378,58,376,60,374,62,373,63,389,63,394,58,400,52,403,44,403,23,400,15,394,9,390,5xe" filled="true" fillcolor="#221f20" stroked="false">
                    <v:path arrowok="t"/>
                    <v:fill type="solid"/>
                  </v:shape>
                </v:group>
              </w:pict>
            </w:r>
            <w:r>
              <w:rPr>
                <w:position w:val="-2"/>
                <w:sz w:val="13"/>
              </w:rPr>
            </w:r>
          </w:p>
          <w:p>
            <w:pPr>
              <w:pStyle w:val="TableParagraph"/>
              <w:spacing w:before="4"/>
              <w:rPr>
                <w:b/>
                <w:sz w:val="17"/>
              </w:rPr>
            </w:pPr>
          </w:p>
        </w:tc>
        <w:tc>
          <w:tcPr>
            <w:tcW w:w="1769" w:type="dxa"/>
          </w:tcPr>
          <w:p>
            <w:pPr>
              <w:pStyle w:val="TableParagraph"/>
              <w:spacing w:before="5"/>
              <w:rPr>
                <w:b/>
                <w:sz w:val="18"/>
              </w:rPr>
            </w:pPr>
          </w:p>
          <w:p>
            <w:pPr>
              <w:pStyle w:val="TableParagraph"/>
              <w:spacing w:line="134" w:lineRule="exact" w:before="0"/>
              <w:ind w:left="672"/>
              <w:rPr>
                <w:sz w:val="13"/>
              </w:rPr>
            </w:pPr>
            <w:r>
              <w:rPr>
                <w:position w:val="-2"/>
                <w:sz w:val="13"/>
              </w:rPr>
              <w:pict>
                <v:group style="width:20.350pt;height:6.75pt;mso-position-horizontal-relative:char;mso-position-vertical-relative:line" coordorigin="0,0" coordsize="407,135">
                  <v:shape style="position:absolute;left:0;top:0;width:407;height:135" coordorigin="0,0" coordsize="407,135" path="m76,27l61,27,27,132,42,132,76,27xm84,3l9,3,0,42,3,42,6,37,9,33,12,31,17,29,25,27,76,27,84,3xm117,100l108,100,104,102,101,105,98,108,97,112,97,120,98,124,104,130,108,131,116,131,120,130,123,127,126,124,128,120,128,112,126,108,123,105,120,102,117,100xm190,0l176,0,169,3,156,13,151,20,148,29,144,41,143,52,143,78,144,87,148,104,151,110,154,114,157,119,162,124,167,127,172,130,177,132,188,132,193,130,202,125,203,125,180,125,178,124,177,122,175,121,173,118,172,113,171,108,171,96,171,52,171,39,171,27,172,20,173,15,174,11,178,7,180,7,202,7,197,3,190,0xm202,7l186,7,189,7,190,10,193,13,194,18,195,27,195,39,195,77,195,104,195,108,194,113,193,118,190,122,189,124,186,125,203,125,206,122,213,113,216,108,218,101,222,90,223,78,223,52,221,39,217,27,214,19,210,13,203,7,202,7xm376,0l364,0,275,134,287,134,376,0xm385,67l367,67,359,70,353,76,348,82,345,90,345,110,348,118,360,131,367,134,384,134,392,131,393,129,375,129,373,128,373,128,371,126,370,124,369,121,368,116,368,110,368,89,368,83,369,80,370,76,371,74,373,73,373,72,375,71,394,71,392,70,385,67xm394,71l377,71,378,72,379,72,381,74,382,76,382,80,383,84,384,89,384,110,383,116,382,121,382,124,380,126,379,128,377,129,393,129,398,125,404,118,407,110,407,90,404,82,398,76,394,71xm284,0l266,0,259,3,247,16,244,24,244,44,246,53,252,59,258,65,266,68,284,68,291,65,292,63,274,63,272,63,270,60,269,59,267,51,267,44,267,24,267,17,268,13,269,10,270,8,272,6,272,5,273,5,293,5,291,3,284,0xm293,5l276,5,277,5,278,6,280,7,281,10,282,14,282,18,283,24,283,44,282,51,281,56,281,59,280,61,278,62,277,63,276,63,292,63,303,52,306,44,306,24,303,16,297,9,293,5xe" filled="true" fillcolor="#221f20" stroked="false">
                    <v:path arrowok="t"/>
                    <v:fill type="solid"/>
                  </v:shape>
                </v:group>
              </w:pict>
            </w:r>
            <w:r>
              <w:rPr>
                <w:position w:val="-2"/>
                <w:sz w:val="13"/>
              </w:rPr>
            </w:r>
          </w:p>
          <w:p>
            <w:pPr>
              <w:pStyle w:val="TableParagraph"/>
              <w:spacing w:before="0"/>
              <w:rPr>
                <w:b/>
                <w:sz w:val="17"/>
              </w:rPr>
            </w:pPr>
          </w:p>
        </w:tc>
        <w:tc>
          <w:tcPr>
            <w:tcW w:w="1765" w:type="dxa"/>
          </w:tcPr>
          <w:p>
            <w:pPr>
              <w:pStyle w:val="TableParagraph"/>
              <w:spacing w:before="1"/>
              <w:rPr>
                <w:b/>
                <w:sz w:val="18"/>
              </w:rPr>
            </w:pPr>
          </w:p>
          <w:p>
            <w:pPr>
              <w:pStyle w:val="TableParagraph"/>
              <w:spacing w:line="134" w:lineRule="exact" w:before="0"/>
              <w:ind w:left="623"/>
              <w:rPr>
                <w:sz w:val="13"/>
              </w:rPr>
            </w:pPr>
            <w:r>
              <w:rPr>
                <w:position w:val="-2"/>
                <w:sz w:val="13"/>
              </w:rPr>
              <w:pict>
                <v:group style="width:25.3pt;height:6.75pt;mso-position-horizontal-relative:char;mso-position-vertical-relative:line" coordorigin="0,0" coordsize="506,135">
                  <v:shape style="position:absolute;left:0;top:0;width:506;height:135" coordorigin="0,0" coordsize="506,135" path="m12,106l7,106,5,107,3,109,1,111,0,114,0,121,2,124,5,126,10,130,18,131,28,131,40,131,50,128,59,124,60,123,38,123,32,121,26,116,20,111,17,108,16,107,14,107,12,106xm75,19l36,19,40,20,44,24,48,28,50,32,50,41,49,45,47,48,45,52,42,55,37,58,32,60,25,62,25,65,36,68,45,73,51,80,57,87,60,95,60,109,58,114,52,121,48,123,60,123,67,118,76,108,81,97,81,76,79,70,75,65,71,59,66,55,59,52,64,48,68,44,71,40,74,36,75,31,75,20,75,19xm53,0l36,0,29,2,22,8,15,13,9,21,4,31,8,32,14,23,22,19,75,19,72,13,66,8,61,2,53,0xm172,125l106,125,106,129,172,129,172,125xm154,21l120,21,121,22,124,24,125,25,126,26,126,28,127,32,127,111,126,116,125,119,125,121,123,122,121,124,119,125,115,125,165,125,161,125,159,123,157,122,155,120,155,118,154,116,154,111,154,21xm154,0l151,0,104,21,106,24,111,22,114,21,154,21,154,0xm215,100l206,100,203,102,197,108,195,111,195,120,197,124,203,130,206,131,215,131,218,130,224,124,226,120,226,111,224,108,218,102,215,100xm289,0l274,0,267,2,261,8,255,13,250,20,247,29,243,41,241,52,241,78,242,87,245,97,247,104,249,109,252,113,256,119,260,124,265,127,270,130,275,131,287,131,292,130,301,125,301,125,279,125,277,124,273,121,272,118,270,107,269,97,269,52,269,39,270,27,270,20,271,15,272,11,275,9,276,7,278,6,300,6,295,2,289,0xm300,6l285,6,287,7,289,9,291,12,292,18,293,27,293,77,293,95,293,108,293,113,291,118,289,122,287,124,285,125,301,125,305,122,308,117,312,113,315,108,317,101,320,90,322,78,322,52,320,39,316,28,313,19,308,12,302,8,300,6xm474,0l462,0,373,134,385,134,474,0xm483,66l465,66,458,70,446,82,443,90,443,110,446,118,452,124,458,131,465,134,483,134,490,131,492,129,473,129,472,128,470,126,468,124,468,121,467,116,466,110,466,89,467,83,468,79,468,76,470,74,471,72,472,71,473,71,492,71,490,69,483,66xm492,71l476,71,477,71,479,74,480,76,481,79,482,83,482,89,482,110,482,116,481,121,480,124,479,126,477,128,477,128,476,129,492,129,496,124,502,118,506,110,506,90,503,82,496,76,492,71xm382,0l364,0,357,3,345,16,342,24,342,44,345,52,351,58,357,64,364,67,382,67,389,64,391,63,372,63,371,62,370,62,368,60,367,58,367,55,366,51,365,44,365,23,366,17,366,14,367,10,368,8,371,5,372,5,391,5,389,3,382,0xm391,5l375,5,376,5,378,7,379,10,380,13,381,18,381,23,381,44,381,51,380,56,379,58,378,60,376,62,376,62,375,63,391,63,395,58,402,52,404,44,405,23,402,15,391,5xe" filled="true" fillcolor="#221f20" stroked="false">
                    <v:path arrowok="t"/>
                    <v:fill type="solid"/>
                  </v:shape>
                </v:group>
              </w:pict>
            </w:r>
            <w:r>
              <w:rPr>
                <w:position w:val="-2"/>
                <w:sz w:val="13"/>
              </w:rPr>
            </w:r>
          </w:p>
          <w:p>
            <w:pPr>
              <w:pStyle w:val="TableParagraph"/>
              <w:spacing w:before="4"/>
              <w:rPr>
                <w:b/>
                <w:sz w:val="17"/>
              </w:rPr>
            </w:pPr>
          </w:p>
        </w:tc>
      </w:tr>
    </w:tbl>
    <w:p>
      <w:pPr>
        <w:pStyle w:val="BodyText"/>
        <w:spacing w:before="8"/>
        <w:rPr>
          <w:b/>
          <w:sz w:val="21"/>
        </w:rPr>
      </w:pPr>
    </w:p>
    <w:p>
      <w:pPr>
        <w:spacing w:line="244" w:lineRule="auto" w:before="0"/>
        <w:ind w:left="110" w:right="0" w:firstLine="0"/>
        <w:jc w:val="left"/>
        <w:rPr>
          <w:sz w:val="17"/>
        </w:rPr>
      </w:pPr>
      <w:r>
        <w:rPr>
          <w:sz w:val="17"/>
        </w:rPr>
        <w:t>Cuadro elaborado por el autor con información del diagnóstico integral de la situación actual de las haciendas públicas estatales y municipales del año 2006.</w:t>
      </w:r>
    </w:p>
    <w:p>
      <w:pPr>
        <w:spacing w:after="0" w:line="244" w:lineRule="auto"/>
        <w:jc w:val="left"/>
        <w:rPr>
          <w:sz w:val="17"/>
        </w:rPr>
        <w:sectPr>
          <w:pgSz w:w="9360" w:h="13040"/>
          <w:pgMar w:header="527" w:footer="514" w:top="72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08"/>
        <w:rPr>
          <w:sz w:val="20"/>
        </w:rPr>
      </w:pPr>
      <w:r>
        <w:rPr>
          <w:sz w:val="20"/>
        </w:rPr>
        <w:drawing>
          <wp:inline distT="0" distB="0" distL="0" distR="0">
            <wp:extent cx="3749040" cy="5401056"/>
            <wp:effectExtent l="0" t="0" r="0" b="0"/>
            <wp:docPr id="75" name="image89.png" descr=""/>
            <wp:cNvGraphicFramePr>
              <a:graphicFrameLocks noChangeAspect="1"/>
            </wp:cNvGraphicFramePr>
            <a:graphic>
              <a:graphicData uri="http://schemas.openxmlformats.org/drawingml/2006/picture">
                <pic:pic>
                  <pic:nvPicPr>
                    <pic:cNvPr id="76" name="image89.png"/>
                    <pic:cNvPicPr/>
                  </pic:nvPicPr>
                  <pic:blipFill>
                    <a:blip r:embed="rId125" cstate="print"/>
                    <a:stretch>
                      <a:fillRect/>
                    </a:stretch>
                  </pic:blipFill>
                  <pic:spPr>
                    <a:xfrm>
                      <a:off x="0" y="0"/>
                      <a:ext cx="3749040" cy="5401056"/>
                    </a:xfrm>
                    <a:prstGeom prst="rect">
                      <a:avLst/>
                    </a:prstGeom>
                  </pic:spPr>
                </pic:pic>
              </a:graphicData>
            </a:graphic>
          </wp:inline>
        </w:drawing>
      </w:r>
      <w:r>
        <w:rPr>
          <w:sz w:val="20"/>
        </w:rPr>
      </w:r>
    </w:p>
    <w:p>
      <w:pPr>
        <w:pStyle w:val="BodyText"/>
        <w:rPr>
          <w:sz w:val="12"/>
        </w:rPr>
      </w:pPr>
    </w:p>
    <w:p>
      <w:pPr>
        <w:pStyle w:val="BodyText"/>
        <w:spacing w:before="71"/>
        <w:ind w:left="738" w:right="732"/>
        <w:jc w:val="center"/>
      </w:pPr>
      <w:r>
        <w:rPr/>
        <w:t>Ixmiquilpan.</w:t>
      </w:r>
    </w:p>
    <w:p>
      <w:pPr>
        <w:spacing w:after="0"/>
        <w:jc w:val="center"/>
        <w:sectPr>
          <w:headerReference w:type="default" r:id="rId123"/>
          <w:footerReference w:type="default" r:id="rId124"/>
          <w:pgSz w:w="9360" w:h="13040"/>
          <w:pgMar w:header="0" w:footer="515" w:top="1200" w:bottom="700" w:left="1300" w:right="740"/>
          <w:pgNumType w:start="51"/>
        </w:sectPr>
      </w:pPr>
    </w:p>
    <w:p>
      <w:pPr>
        <w:pStyle w:val="BodyText"/>
        <w:spacing w:before="4"/>
        <w:rPr>
          <w:sz w:val="17"/>
        </w:rPr>
      </w:pPr>
    </w:p>
    <w:p>
      <w:pPr>
        <w:spacing w:after="0"/>
        <w:rPr>
          <w:sz w:val="17"/>
        </w:rPr>
        <w:sectPr>
          <w:headerReference w:type="default" r:id="rId126"/>
          <w:footerReference w:type="default" r:id="rId127"/>
          <w:pgSz w:w="9360" w:h="13040"/>
          <w:pgMar w:header="0" w:footer="0" w:top="1200" w:bottom="280" w:left="1300" w:right="1300"/>
        </w:sectPr>
      </w:pPr>
    </w:p>
    <w:p>
      <w:pPr>
        <w:pStyle w:val="Heading2"/>
        <w:spacing w:line="268" w:lineRule="exact"/>
        <w:ind w:left="738"/>
      </w:pPr>
      <w:bookmarkStart w:name="_TOC_250029" w:id="14"/>
      <w:bookmarkEnd w:id="14"/>
      <w:r>
        <w:rPr/>
        <w:t>Capítulo II.</w:t>
      </w:r>
    </w:p>
    <w:p>
      <w:pPr>
        <w:spacing w:line="260" w:lineRule="exact" w:before="8"/>
        <w:ind w:left="878" w:right="869" w:firstLine="0"/>
        <w:jc w:val="center"/>
        <w:rPr>
          <w:b/>
          <w:sz w:val="24"/>
        </w:rPr>
      </w:pPr>
      <w:r>
        <w:rPr>
          <w:b/>
          <w:sz w:val="24"/>
        </w:rPr>
        <w:t>La coordinación recaudatoria entre el gobierno estatal y los ayuntamientos hidalguenses.</w:t>
      </w:r>
    </w:p>
    <w:p>
      <w:pPr>
        <w:pStyle w:val="BodyText"/>
        <w:rPr>
          <w:b/>
          <w:sz w:val="35"/>
        </w:rPr>
      </w:pPr>
    </w:p>
    <w:p>
      <w:pPr>
        <w:pStyle w:val="Heading3"/>
        <w:spacing w:before="1"/>
      </w:pPr>
      <w:bookmarkStart w:name="_TOC_250028" w:id="15"/>
      <w:bookmarkEnd w:id="15"/>
      <w:r>
        <w:rPr/>
        <w:t>Los sistemas estatales de coordinación fiscal.</w:t>
      </w:r>
    </w:p>
    <w:p>
      <w:pPr>
        <w:pStyle w:val="BodyText"/>
        <w:spacing w:before="4"/>
        <w:rPr>
          <w:b/>
          <w:sz w:val="17"/>
        </w:rPr>
      </w:pPr>
    </w:p>
    <w:p>
      <w:pPr>
        <w:pStyle w:val="BodyText"/>
        <w:spacing w:line="250" w:lineRule="exact" w:before="1"/>
        <w:ind w:left="117" w:right="107"/>
        <w:jc w:val="both"/>
      </w:pPr>
      <w:r>
        <w:rPr/>
        <w:t>La</w:t>
      </w:r>
      <w:r>
        <w:rPr>
          <w:spacing w:val="-12"/>
        </w:rPr>
        <w:t> </w:t>
      </w:r>
      <w:r>
        <w:rPr/>
        <w:t>coordinación</w:t>
      </w:r>
      <w:r>
        <w:rPr>
          <w:spacing w:val="-12"/>
        </w:rPr>
        <w:t> </w:t>
      </w:r>
      <w:r>
        <w:rPr/>
        <w:t>recaudatoria</w:t>
      </w:r>
      <w:r>
        <w:rPr>
          <w:spacing w:val="-12"/>
        </w:rPr>
        <w:t> </w:t>
      </w:r>
      <w:r>
        <w:rPr/>
        <w:t>entre</w:t>
      </w:r>
      <w:r>
        <w:rPr>
          <w:spacing w:val="-12"/>
        </w:rPr>
        <w:t> </w:t>
      </w:r>
      <w:r>
        <w:rPr/>
        <w:t>estados</w:t>
      </w:r>
      <w:r>
        <w:rPr>
          <w:spacing w:val="-12"/>
        </w:rPr>
        <w:t> </w:t>
      </w:r>
      <w:r>
        <w:rPr/>
        <w:t>y</w:t>
      </w:r>
      <w:r>
        <w:rPr>
          <w:spacing w:val="-12"/>
        </w:rPr>
        <w:t> </w:t>
      </w:r>
      <w:r>
        <w:rPr/>
        <w:t>municipios</w:t>
      </w:r>
      <w:r>
        <w:rPr>
          <w:spacing w:val="-13"/>
        </w:rPr>
        <w:t> </w:t>
      </w:r>
      <w:r>
        <w:rPr/>
        <w:t>se</w:t>
      </w:r>
      <w:r>
        <w:rPr>
          <w:spacing w:val="-12"/>
        </w:rPr>
        <w:t> </w:t>
      </w:r>
      <w:r>
        <w:rPr/>
        <w:t>ubica</w:t>
      </w:r>
      <w:r>
        <w:rPr>
          <w:spacing w:val="-12"/>
        </w:rPr>
        <w:t> </w:t>
      </w:r>
      <w:r>
        <w:rPr/>
        <w:t>varios</w:t>
      </w:r>
      <w:r>
        <w:rPr>
          <w:spacing w:val="-12"/>
        </w:rPr>
        <w:t> </w:t>
      </w:r>
      <w:r>
        <w:rPr/>
        <w:t>pasos atrás con respecto a la referida en el capítulo anterior, esto se debe a que los municipios</w:t>
      </w:r>
      <w:r>
        <w:rPr>
          <w:spacing w:val="-12"/>
        </w:rPr>
        <w:t> </w:t>
      </w:r>
      <w:r>
        <w:rPr/>
        <w:t>son</w:t>
      </w:r>
      <w:r>
        <w:rPr>
          <w:spacing w:val="-11"/>
        </w:rPr>
        <w:t> </w:t>
      </w:r>
      <w:r>
        <w:rPr/>
        <w:t>considerados</w:t>
      </w:r>
      <w:r>
        <w:rPr>
          <w:spacing w:val="-12"/>
        </w:rPr>
        <w:t> </w:t>
      </w:r>
      <w:r>
        <w:rPr/>
        <w:t>constitucionalmente</w:t>
      </w:r>
      <w:r>
        <w:rPr>
          <w:spacing w:val="-13"/>
        </w:rPr>
        <w:t> </w:t>
      </w:r>
      <w:r>
        <w:rPr/>
        <w:t>como</w:t>
      </w:r>
      <w:r>
        <w:rPr>
          <w:spacing w:val="-12"/>
        </w:rPr>
        <w:t> </w:t>
      </w:r>
      <w:r>
        <w:rPr/>
        <w:t>parte</w:t>
      </w:r>
      <w:r>
        <w:rPr>
          <w:spacing w:val="-11"/>
        </w:rPr>
        <w:t> </w:t>
      </w:r>
      <w:r>
        <w:rPr/>
        <w:t>de</w:t>
      </w:r>
      <w:r>
        <w:rPr>
          <w:spacing w:val="-12"/>
        </w:rPr>
        <w:t> </w:t>
      </w:r>
      <w:r>
        <w:rPr/>
        <w:t>las</w:t>
      </w:r>
      <w:r>
        <w:rPr>
          <w:spacing w:val="-12"/>
        </w:rPr>
        <w:t> </w:t>
      </w:r>
      <w:r>
        <w:rPr/>
        <w:t>entidades federativas con funciones descentralizadas, por lo que no son reconocidos formalmente como integrantes del Sistema Nacional de Coordinación Fiscal. Sin embargo, en el supuesto de que los preceptos de la coordinación fiscal federal pueden replicarse en la interacción de estados y municipios, las leyes estatales de coordinación fiscal coinciden en tres propósitos: 1) en crear sistemas</w:t>
      </w:r>
      <w:r>
        <w:rPr>
          <w:spacing w:val="-10"/>
        </w:rPr>
        <w:t> </w:t>
      </w:r>
      <w:r>
        <w:rPr/>
        <w:t>estatales</w:t>
      </w:r>
      <w:r>
        <w:rPr>
          <w:spacing w:val="-10"/>
        </w:rPr>
        <w:t> </w:t>
      </w:r>
      <w:r>
        <w:rPr/>
        <w:t>de</w:t>
      </w:r>
      <w:r>
        <w:rPr>
          <w:spacing w:val="-10"/>
        </w:rPr>
        <w:t> </w:t>
      </w:r>
      <w:r>
        <w:rPr/>
        <w:t>coordinación</w:t>
      </w:r>
      <w:r>
        <w:rPr>
          <w:spacing w:val="-10"/>
        </w:rPr>
        <w:t> </w:t>
      </w:r>
      <w:r>
        <w:rPr/>
        <w:t>fiscal,</w:t>
      </w:r>
      <w:r>
        <w:rPr>
          <w:spacing w:val="-10"/>
        </w:rPr>
        <w:t> </w:t>
      </w:r>
      <w:r>
        <w:rPr/>
        <w:t>2)</w:t>
      </w:r>
      <w:r>
        <w:rPr>
          <w:spacing w:val="-9"/>
        </w:rPr>
        <w:t> </w:t>
      </w:r>
      <w:r>
        <w:rPr/>
        <w:t>en</w:t>
      </w:r>
      <w:r>
        <w:rPr>
          <w:spacing w:val="-10"/>
        </w:rPr>
        <w:t> </w:t>
      </w:r>
      <w:r>
        <w:rPr/>
        <w:t>fijar</w:t>
      </w:r>
      <w:r>
        <w:rPr>
          <w:spacing w:val="-10"/>
        </w:rPr>
        <w:t> </w:t>
      </w:r>
      <w:r>
        <w:rPr/>
        <w:t>las</w:t>
      </w:r>
      <w:r>
        <w:rPr>
          <w:spacing w:val="-10"/>
        </w:rPr>
        <w:t> </w:t>
      </w:r>
      <w:r>
        <w:rPr/>
        <w:t>reglas</w:t>
      </w:r>
      <w:r>
        <w:rPr>
          <w:spacing w:val="-10"/>
        </w:rPr>
        <w:t> </w:t>
      </w:r>
      <w:r>
        <w:rPr/>
        <w:t>de</w:t>
      </w:r>
      <w:r>
        <w:rPr>
          <w:spacing w:val="-10"/>
        </w:rPr>
        <w:t> </w:t>
      </w:r>
      <w:r>
        <w:rPr/>
        <w:t>coordinación entre el estado y los municipios, y 3) en definir las fórmulas de distribución de rendimientos federales a los municipios debido a la necesidad de financiamiento de sus funciones descentralizadas. En la práctica, el último</w:t>
      </w:r>
      <w:r>
        <w:rPr>
          <w:spacing w:val="-32"/>
        </w:rPr>
        <w:t> </w:t>
      </w:r>
      <w:r>
        <w:rPr/>
        <w:t>de los</w:t>
      </w:r>
      <w:r>
        <w:rPr>
          <w:spacing w:val="-14"/>
        </w:rPr>
        <w:t> </w:t>
      </w:r>
      <w:r>
        <w:rPr/>
        <w:t>tres</w:t>
      </w:r>
      <w:r>
        <w:rPr>
          <w:spacing w:val="-14"/>
        </w:rPr>
        <w:t> </w:t>
      </w:r>
      <w:r>
        <w:rPr/>
        <w:t>propósitos</w:t>
      </w:r>
      <w:r>
        <w:rPr>
          <w:spacing w:val="-14"/>
        </w:rPr>
        <w:t> </w:t>
      </w:r>
      <w:r>
        <w:rPr/>
        <w:t>señalados</w:t>
      </w:r>
      <w:r>
        <w:rPr>
          <w:spacing w:val="-14"/>
        </w:rPr>
        <w:t> </w:t>
      </w:r>
      <w:r>
        <w:rPr/>
        <w:t>predomina</w:t>
      </w:r>
      <w:r>
        <w:rPr>
          <w:spacing w:val="-14"/>
        </w:rPr>
        <w:t> </w:t>
      </w:r>
      <w:r>
        <w:rPr/>
        <w:t>ampliamente</w:t>
      </w:r>
      <w:r>
        <w:rPr>
          <w:spacing w:val="-15"/>
        </w:rPr>
        <w:t> </w:t>
      </w:r>
      <w:r>
        <w:rPr/>
        <w:t>sobre</w:t>
      </w:r>
      <w:r>
        <w:rPr>
          <w:spacing w:val="-14"/>
        </w:rPr>
        <w:t> </w:t>
      </w:r>
      <w:r>
        <w:rPr/>
        <w:t>los</w:t>
      </w:r>
      <w:r>
        <w:rPr>
          <w:spacing w:val="-14"/>
        </w:rPr>
        <w:t> </w:t>
      </w:r>
      <w:r>
        <w:rPr/>
        <w:t>dos</w:t>
      </w:r>
      <w:r>
        <w:rPr>
          <w:spacing w:val="-14"/>
        </w:rPr>
        <w:t> </w:t>
      </w:r>
      <w:r>
        <w:rPr/>
        <w:t>anteriores, afectando así la trascendencia asociativa y la coordinación estratégica entre estados y</w:t>
      </w:r>
      <w:r>
        <w:rPr>
          <w:spacing w:val="-1"/>
        </w:rPr>
        <w:t> </w:t>
      </w:r>
      <w:r>
        <w:rPr/>
        <w:t>municipios.</w:t>
      </w:r>
    </w:p>
    <w:p>
      <w:pPr>
        <w:pStyle w:val="BodyText"/>
        <w:spacing w:before="4"/>
        <w:rPr>
          <w:sz w:val="17"/>
        </w:rPr>
      </w:pPr>
    </w:p>
    <w:p>
      <w:pPr>
        <w:pStyle w:val="BodyText"/>
        <w:spacing w:line="250" w:lineRule="exact"/>
        <w:ind w:left="117" w:right="108"/>
        <w:jc w:val="both"/>
      </w:pPr>
      <w:r>
        <w:rPr/>
        <w:t>Con base en lo expuesto, la escala de evaluación referente a las relaciones estados-municipios en la función recaudatoria comprende en sus niveles superiores –para constituir una analogía en relación a la escala del capítulo anterior–</w:t>
      </w:r>
      <w:r>
        <w:rPr>
          <w:spacing w:val="-19"/>
        </w:rPr>
        <w:t> </w:t>
      </w:r>
      <w:r>
        <w:rPr/>
        <w:t>concurrencias</w:t>
      </w:r>
      <w:r>
        <w:rPr>
          <w:spacing w:val="-20"/>
        </w:rPr>
        <w:t> </w:t>
      </w:r>
      <w:r>
        <w:rPr/>
        <w:t>intergubernamentales</w:t>
      </w:r>
      <w:r>
        <w:rPr>
          <w:spacing w:val="-19"/>
        </w:rPr>
        <w:t> </w:t>
      </w:r>
      <w:r>
        <w:rPr/>
        <w:t>o</w:t>
      </w:r>
      <w:r>
        <w:rPr>
          <w:spacing w:val="-19"/>
        </w:rPr>
        <w:t> </w:t>
      </w:r>
      <w:r>
        <w:rPr/>
        <w:t>desconcentradas</w:t>
      </w:r>
      <w:r>
        <w:rPr>
          <w:spacing w:val="-19"/>
        </w:rPr>
        <w:t> </w:t>
      </w:r>
      <w:r>
        <w:rPr/>
        <w:t>en</w:t>
      </w:r>
      <w:r>
        <w:rPr>
          <w:spacing w:val="-19"/>
        </w:rPr>
        <w:t> </w:t>
      </w:r>
      <w:r>
        <w:rPr/>
        <w:t>torno</w:t>
      </w:r>
      <w:r>
        <w:rPr>
          <w:spacing w:val="-19"/>
        </w:rPr>
        <w:t> </w:t>
      </w:r>
      <w:r>
        <w:rPr/>
        <w:t>a</w:t>
      </w:r>
      <w:r>
        <w:rPr>
          <w:spacing w:val="-19"/>
        </w:rPr>
        <w:t> </w:t>
      </w:r>
      <w:r>
        <w:rPr/>
        <w:t>las partidas</w:t>
      </w:r>
      <w:r>
        <w:rPr>
          <w:spacing w:val="-24"/>
        </w:rPr>
        <w:t> </w:t>
      </w:r>
      <w:r>
        <w:rPr/>
        <w:t>estatales</w:t>
      </w:r>
      <w:r>
        <w:rPr>
          <w:spacing w:val="-24"/>
        </w:rPr>
        <w:t> </w:t>
      </w:r>
      <w:r>
        <w:rPr/>
        <w:t>de</w:t>
      </w:r>
      <w:r>
        <w:rPr>
          <w:spacing w:val="-24"/>
        </w:rPr>
        <w:t> </w:t>
      </w:r>
      <w:r>
        <w:rPr/>
        <w:t>ingreso.</w:t>
      </w:r>
      <w:r>
        <w:rPr>
          <w:spacing w:val="-37"/>
        </w:rPr>
        <w:t> </w:t>
      </w:r>
      <w:r>
        <w:rPr/>
        <w:t>A</w:t>
      </w:r>
      <w:r>
        <w:rPr>
          <w:spacing w:val="-36"/>
        </w:rPr>
        <w:t> </w:t>
      </w:r>
      <w:r>
        <w:rPr/>
        <w:t>su</w:t>
      </w:r>
      <w:r>
        <w:rPr>
          <w:spacing w:val="-24"/>
        </w:rPr>
        <w:t> </w:t>
      </w:r>
      <w:r>
        <w:rPr/>
        <w:t>vez,</w:t>
      </w:r>
      <w:r>
        <w:rPr>
          <w:spacing w:val="-24"/>
        </w:rPr>
        <w:t> </w:t>
      </w:r>
      <w:r>
        <w:rPr/>
        <w:t>en</w:t>
      </w:r>
      <w:r>
        <w:rPr>
          <w:spacing w:val="-24"/>
        </w:rPr>
        <w:t> </w:t>
      </w:r>
      <w:r>
        <w:rPr/>
        <w:t>los</w:t>
      </w:r>
      <w:r>
        <w:rPr>
          <w:spacing w:val="-24"/>
        </w:rPr>
        <w:t> </w:t>
      </w:r>
      <w:r>
        <w:rPr/>
        <w:t>niveles</w:t>
      </w:r>
      <w:r>
        <w:rPr>
          <w:spacing w:val="-24"/>
        </w:rPr>
        <w:t> </w:t>
      </w:r>
      <w:r>
        <w:rPr/>
        <w:t>inferiores,</w:t>
      </w:r>
      <w:r>
        <w:rPr>
          <w:spacing w:val="-24"/>
        </w:rPr>
        <w:t> </w:t>
      </w:r>
      <w:r>
        <w:rPr/>
        <w:t>–reproduciendo a</w:t>
      </w:r>
      <w:r>
        <w:rPr>
          <w:spacing w:val="-16"/>
        </w:rPr>
        <w:t> </w:t>
      </w:r>
      <w:r>
        <w:rPr/>
        <w:t>nivel</w:t>
      </w:r>
      <w:r>
        <w:rPr>
          <w:spacing w:val="-16"/>
        </w:rPr>
        <w:t> </w:t>
      </w:r>
      <w:r>
        <w:rPr/>
        <w:t>estatal</w:t>
      </w:r>
      <w:r>
        <w:rPr>
          <w:spacing w:val="-16"/>
        </w:rPr>
        <w:t> </w:t>
      </w:r>
      <w:r>
        <w:rPr/>
        <w:t>la</w:t>
      </w:r>
      <w:r>
        <w:rPr>
          <w:spacing w:val="-16"/>
        </w:rPr>
        <w:t> </w:t>
      </w:r>
      <w:r>
        <w:rPr/>
        <w:t>centralización</w:t>
      </w:r>
      <w:r>
        <w:rPr>
          <w:spacing w:val="-15"/>
        </w:rPr>
        <w:t> </w:t>
      </w:r>
      <w:r>
        <w:rPr/>
        <w:t>del</w:t>
      </w:r>
      <w:r>
        <w:rPr>
          <w:spacing w:val="-16"/>
        </w:rPr>
        <w:t> </w:t>
      </w:r>
      <w:r>
        <w:rPr/>
        <w:t>federalismo</w:t>
      </w:r>
      <w:r>
        <w:rPr>
          <w:spacing w:val="-16"/>
        </w:rPr>
        <w:t> </w:t>
      </w:r>
      <w:r>
        <w:rPr/>
        <w:t>fiscal</w:t>
      </w:r>
      <w:r>
        <w:rPr>
          <w:spacing w:val="-16"/>
        </w:rPr>
        <w:t> </w:t>
      </w:r>
      <w:r>
        <w:rPr/>
        <w:t>mexicano–</w:t>
      </w:r>
      <w:r>
        <w:rPr>
          <w:spacing w:val="-16"/>
        </w:rPr>
        <w:t> </w:t>
      </w:r>
      <w:r>
        <w:rPr/>
        <w:t>se</w:t>
      </w:r>
      <w:r>
        <w:rPr>
          <w:spacing w:val="-15"/>
        </w:rPr>
        <w:t> </w:t>
      </w:r>
      <w:r>
        <w:rPr/>
        <w:t>incluyeron los diversos niveles que existen sobre la descentralización de las funciones fiscales</w:t>
      </w:r>
      <w:r>
        <w:rPr>
          <w:spacing w:val="-13"/>
        </w:rPr>
        <w:t> </w:t>
      </w:r>
      <w:r>
        <w:rPr/>
        <w:t>coordinadas.</w:t>
      </w:r>
    </w:p>
    <w:p>
      <w:pPr>
        <w:spacing w:line="260" w:lineRule="exact" w:before="172"/>
        <w:ind w:left="1427" w:right="1419" w:firstLine="396"/>
        <w:jc w:val="left"/>
        <w:rPr>
          <w:b/>
          <w:i/>
          <w:sz w:val="23"/>
        </w:rPr>
      </w:pPr>
      <w:r>
        <w:rPr>
          <w:b/>
          <w:sz w:val="23"/>
        </w:rPr>
        <w:t>Escala de evaluación de </w:t>
      </w:r>
      <w:r>
        <w:rPr>
          <w:b/>
          <w:i/>
          <w:sz w:val="23"/>
        </w:rPr>
        <w:t>las relaciones </w:t>
      </w:r>
      <w:r>
        <w:rPr>
          <w:b/>
          <w:i/>
          <w:sz w:val="23"/>
        </w:rPr>
        <w:t>estados-municipios en la función recaudatoria.</w:t>
      </w:r>
    </w:p>
    <w:p>
      <w:pPr>
        <w:pStyle w:val="BodyText"/>
        <w:spacing w:before="3"/>
        <w:rPr>
          <w:b/>
          <w:i/>
          <w:sz w:val="1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0"/>
        <w:gridCol w:w="1573"/>
        <w:gridCol w:w="1644"/>
        <w:gridCol w:w="1594"/>
      </w:tblGrid>
      <w:tr>
        <w:trPr>
          <w:trHeight w:val="436" w:hRule="exact"/>
        </w:trPr>
        <w:tc>
          <w:tcPr>
            <w:tcW w:w="460" w:type="dxa"/>
            <w:shd w:val="clear" w:color="auto" w:fill="D1D3D4"/>
          </w:tcPr>
          <w:p>
            <w:pPr/>
          </w:p>
        </w:tc>
        <w:tc>
          <w:tcPr>
            <w:tcW w:w="1800" w:type="dxa"/>
            <w:shd w:val="clear" w:color="auto" w:fill="D1D3D4"/>
          </w:tcPr>
          <w:p>
            <w:pPr>
              <w:pStyle w:val="TableParagraph"/>
              <w:spacing w:line="200" w:lineRule="exact" w:before="14"/>
              <w:ind w:left="477" w:right="348" w:hanging="111"/>
              <w:rPr>
                <w:b/>
                <w:sz w:val="18"/>
              </w:rPr>
            </w:pPr>
            <w:r>
              <w:rPr>
                <w:b/>
                <w:sz w:val="18"/>
              </w:rPr>
              <w:t>Capacidad de asociación.</w:t>
            </w:r>
          </w:p>
        </w:tc>
        <w:tc>
          <w:tcPr>
            <w:tcW w:w="1573" w:type="dxa"/>
            <w:shd w:val="clear" w:color="auto" w:fill="D1D3D4"/>
          </w:tcPr>
          <w:p>
            <w:pPr>
              <w:pStyle w:val="TableParagraph"/>
              <w:spacing w:line="200" w:lineRule="exact" w:before="14"/>
              <w:ind w:left="254" w:right="234" w:firstLine="92"/>
              <w:rPr>
                <w:b/>
                <w:sz w:val="18"/>
              </w:rPr>
            </w:pPr>
            <w:r>
              <w:rPr>
                <w:b/>
                <w:sz w:val="18"/>
              </w:rPr>
              <w:t>Restricción competencial.</w:t>
            </w:r>
          </w:p>
        </w:tc>
        <w:tc>
          <w:tcPr>
            <w:tcW w:w="1644" w:type="dxa"/>
            <w:shd w:val="clear" w:color="auto" w:fill="D1D3D4"/>
          </w:tcPr>
          <w:p>
            <w:pPr>
              <w:pStyle w:val="TableParagraph"/>
              <w:spacing w:line="200" w:lineRule="exact" w:before="14"/>
              <w:ind w:left="369" w:right="349" w:firstLine="17"/>
              <w:rPr>
                <w:b/>
                <w:sz w:val="18"/>
              </w:rPr>
            </w:pPr>
            <w:r>
              <w:rPr>
                <w:b/>
                <w:sz w:val="18"/>
              </w:rPr>
              <w:t>Evaluación subsidiaria.</w:t>
            </w:r>
          </w:p>
        </w:tc>
        <w:tc>
          <w:tcPr>
            <w:tcW w:w="1594" w:type="dxa"/>
            <w:shd w:val="clear" w:color="auto" w:fill="D1D3D4"/>
          </w:tcPr>
          <w:p>
            <w:pPr>
              <w:pStyle w:val="TableParagraph"/>
              <w:spacing w:line="200" w:lineRule="exact" w:before="14"/>
              <w:ind w:left="264" w:right="245" w:firstLine="249"/>
              <w:rPr>
                <w:b/>
                <w:sz w:val="18"/>
              </w:rPr>
            </w:pPr>
            <w:r>
              <w:rPr>
                <w:b/>
                <w:sz w:val="18"/>
              </w:rPr>
              <w:t>Avance competencial.</w:t>
            </w:r>
          </w:p>
        </w:tc>
      </w:tr>
      <w:tr>
        <w:trPr>
          <w:trHeight w:val="1569" w:hRule="exact"/>
        </w:trPr>
        <w:tc>
          <w:tcPr>
            <w:tcW w:w="460" w:type="dxa"/>
          </w:tcPr>
          <w:p>
            <w:pPr>
              <w:pStyle w:val="TableParagraph"/>
              <w:spacing w:before="6"/>
              <w:jc w:val="center"/>
              <w:rPr>
                <w:b/>
                <w:sz w:val="18"/>
              </w:rPr>
            </w:pPr>
            <w:r>
              <w:rPr>
                <w:b/>
                <w:sz w:val="18"/>
              </w:rPr>
              <w:t>8</w:t>
            </w:r>
          </w:p>
        </w:tc>
        <w:tc>
          <w:tcPr>
            <w:tcW w:w="1800" w:type="dxa"/>
          </w:tcPr>
          <w:p>
            <w:pPr>
              <w:pStyle w:val="TableParagraph"/>
              <w:spacing w:line="190" w:lineRule="exact" w:before="25"/>
              <w:ind w:left="102" w:right="101"/>
              <w:jc w:val="both"/>
              <w:rPr>
                <w:sz w:val="18"/>
              </w:rPr>
            </w:pPr>
            <w:r>
              <w:rPr>
                <w:sz w:val="18"/>
              </w:rPr>
              <w:t>Los SECF promue- ven la mayor partici- pación de los muni- cipios en la eficiencia de las recaudaciones estatales.</w:t>
            </w:r>
          </w:p>
        </w:tc>
        <w:tc>
          <w:tcPr>
            <w:tcW w:w="1573" w:type="dxa"/>
          </w:tcPr>
          <w:p>
            <w:pPr>
              <w:pStyle w:val="TableParagraph"/>
              <w:spacing w:line="190" w:lineRule="exact" w:before="25"/>
              <w:ind w:left="102" w:right="101"/>
              <w:jc w:val="both"/>
              <w:rPr>
                <w:sz w:val="18"/>
              </w:rPr>
            </w:pPr>
            <w:r>
              <w:rPr>
                <w:sz w:val="18"/>
              </w:rPr>
              <w:t>Existencia de le- gislación para la descentralización hacia los munici- pios de las princi- pales partidas de ingreso estatal.</w:t>
            </w:r>
          </w:p>
        </w:tc>
        <w:tc>
          <w:tcPr>
            <w:tcW w:w="1644" w:type="dxa"/>
          </w:tcPr>
          <w:p>
            <w:pPr>
              <w:pStyle w:val="TableParagraph"/>
              <w:spacing w:line="190" w:lineRule="exact" w:before="25"/>
              <w:ind w:left="102" w:right="101"/>
              <w:jc w:val="both"/>
              <w:rPr>
                <w:sz w:val="18"/>
              </w:rPr>
            </w:pPr>
            <w:r>
              <w:rPr>
                <w:sz w:val="18"/>
              </w:rPr>
              <w:t>Evaluación conti- nua e integral del desempeño intergu- bernamental en las principales partidas de ingreso estatal.</w:t>
            </w:r>
          </w:p>
        </w:tc>
        <w:tc>
          <w:tcPr>
            <w:tcW w:w="1594" w:type="dxa"/>
          </w:tcPr>
          <w:p>
            <w:pPr>
              <w:pStyle w:val="TableParagraph"/>
              <w:spacing w:line="190" w:lineRule="exact" w:before="26"/>
              <w:ind w:left="102" w:right="100"/>
              <w:jc w:val="both"/>
              <w:rPr>
                <w:sz w:val="18"/>
              </w:rPr>
            </w:pPr>
            <w:r>
              <w:rPr>
                <w:sz w:val="18"/>
              </w:rPr>
              <w:t>Participación mu- nicipal en la efi- ciencia hacendaria estatal mediante la concurrencia re- caudatoria de las principales parti- das estatales.</w:t>
            </w:r>
          </w:p>
        </w:tc>
      </w:tr>
    </w:tbl>
    <w:p>
      <w:pPr>
        <w:spacing w:after="0" w:line="190" w:lineRule="exact"/>
        <w:jc w:val="both"/>
        <w:rPr>
          <w:sz w:val="18"/>
        </w:rPr>
        <w:sectPr>
          <w:headerReference w:type="default" r:id="rId128"/>
          <w:footerReference w:type="default" r:id="rId129"/>
          <w:footerReference w:type="even" r:id="rId130"/>
          <w:pgSz w:w="9360" w:h="13040"/>
          <w:pgMar w:header="0" w:footer="513" w:top="1200" w:bottom="700" w:left="1300" w:right="740"/>
          <w:pgNumType w:start="53"/>
        </w:sectPr>
      </w:pPr>
    </w:p>
    <w:p>
      <w:pPr>
        <w:pStyle w:val="BodyText"/>
        <w:rPr>
          <w:sz w:val="20"/>
        </w:rPr>
      </w:pPr>
    </w:p>
    <w:p>
      <w:pPr>
        <w:pStyle w:val="BodyText"/>
        <w:rPr>
          <w:sz w:val="20"/>
        </w:rPr>
      </w:pPr>
    </w:p>
    <w:p>
      <w:pPr>
        <w:pStyle w:val="BodyText"/>
        <w:spacing w:before="4"/>
        <w:rPr>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0"/>
        <w:gridCol w:w="1573"/>
        <w:gridCol w:w="1644"/>
        <w:gridCol w:w="1594"/>
      </w:tblGrid>
      <w:tr>
        <w:trPr>
          <w:trHeight w:val="1839" w:hRule="exact"/>
        </w:trPr>
        <w:tc>
          <w:tcPr>
            <w:tcW w:w="460" w:type="dxa"/>
            <w:shd w:val="clear" w:color="auto" w:fill="D1D3D4"/>
          </w:tcPr>
          <w:p>
            <w:pPr>
              <w:pStyle w:val="TableParagraph"/>
              <w:spacing w:before="6"/>
              <w:jc w:val="center"/>
              <w:rPr>
                <w:b/>
                <w:sz w:val="18"/>
              </w:rPr>
            </w:pPr>
            <w:r>
              <w:rPr>
                <w:b/>
                <w:sz w:val="18"/>
              </w:rPr>
              <w:t>7</w:t>
            </w:r>
          </w:p>
        </w:tc>
        <w:tc>
          <w:tcPr>
            <w:tcW w:w="1800" w:type="dxa"/>
            <w:shd w:val="clear" w:color="auto" w:fill="D1D3D4"/>
          </w:tcPr>
          <w:p>
            <w:pPr>
              <w:pStyle w:val="TableParagraph"/>
              <w:spacing w:line="200" w:lineRule="exact" w:before="16"/>
              <w:ind w:left="102" w:right="100"/>
              <w:jc w:val="both"/>
              <w:rPr>
                <w:sz w:val="18"/>
              </w:rPr>
            </w:pPr>
            <w:r>
              <w:rPr>
                <w:sz w:val="18"/>
              </w:rPr>
              <w:t>Los SECF</w:t>
            </w:r>
            <w:r>
              <w:rPr>
                <w:spacing w:val="-20"/>
                <w:sz w:val="18"/>
              </w:rPr>
              <w:t> </w:t>
            </w:r>
            <w:r>
              <w:rPr>
                <w:sz w:val="18"/>
              </w:rPr>
              <w:t>promueven una descentralización estandarizada y con- currente estado-mu- nicipios con relación a las recaudaciones estatales.</w:t>
            </w:r>
          </w:p>
        </w:tc>
        <w:tc>
          <w:tcPr>
            <w:tcW w:w="1573" w:type="dxa"/>
            <w:shd w:val="clear" w:color="auto" w:fill="D1D3D4"/>
          </w:tcPr>
          <w:p>
            <w:pPr>
              <w:pStyle w:val="TableParagraph"/>
              <w:spacing w:line="200" w:lineRule="exact" w:before="16"/>
              <w:ind w:left="102" w:right="94"/>
              <w:jc w:val="both"/>
              <w:rPr>
                <w:sz w:val="18"/>
              </w:rPr>
            </w:pPr>
            <w:r>
              <w:rPr>
                <w:sz w:val="18"/>
              </w:rPr>
              <w:t>Existencia de le- gislación para la descentralización estandarizada y concurrente esta- do-municipios con relación a faculta- des recaudatorias estatales.</w:t>
            </w:r>
          </w:p>
        </w:tc>
        <w:tc>
          <w:tcPr>
            <w:tcW w:w="1644" w:type="dxa"/>
            <w:shd w:val="clear" w:color="auto" w:fill="D1D3D4"/>
          </w:tcPr>
          <w:p>
            <w:pPr>
              <w:pStyle w:val="TableParagraph"/>
              <w:spacing w:line="200" w:lineRule="exact" w:before="16"/>
              <w:ind w:left="102" w:right="102"/>
              <w:jc w:val="both"/>
              <w:rPr>
                <w:sz w:val="18"/>
              </w:rPr>
            </w:pPr>
            <w:r>
              <w:rPr>
                <w:sz w:val="18"/>
              </w:rPr>
              <w:t>Evaluación conti- nua e integral del desempeño inter- gubernamental en las recaudaciones estatales descentra- lizadas.</w:t>
            </w:r>
          </w:p>
        </w:tc>
        <w:tc>
          <w:tcPr>
            <w:tcW w:w="1594" w:type="dxa"/>
            <w:shd w:val="clear" w:color="auto" w:fill="D1D3D4"/>
          </w:tcPr>
          <w:p>
            <w:pPr>
              <w:pStyle w:val="TableParagraph"/>
              <w:spacing w:line="200" w:lineRule="exact" w:before="16"/>
              <w:ind w:left="102" w:right="66"/>
              <w:jc w:val="both"/>
              <w:rPr>
                <w:sz w:val="18"/>
              </w:rPr>
            </w:pPr>
            <w:r>
              <w:rPr>
                <w:sz w:val="18"/>
              </w:rPr>
              <w:t>Participación municipal en la descentralización estandarizada y concurrente de fa- cultades recauda- torias estatales.</w:t>
            </w:r>
          </w:p>
        </w:tc>
      </w:tr>
      <w:tr>
        <w:trPr>
          <w:trHeight w:val="1439" w:hRule="exact"/>
        </w:trPr>
        <w:tc>
          <w:tcPr>
            <w:tcW w:w="460" w:type="dxa"/>
          </w:tcPr>
          <w:p>
            <w:pPr>
              <w:pStyle w:val="TableParagraph"/>
              <w:spacing w:before="5"/>
              <w:jc w:val="center"/>
              <w:rPr>
                <w:b/>
                <w:sz w:val="18"/>
              </w:rPr>
            </w:pPr>
            <w:r>
              <w:rPr>
                <w:b/>
                <w:sz w:val="18"/>
              </w:rPr>
              <w:t>6</w:t>
            </w:r>
          </w:p>
        </w:tc>
        <w:tc>
          <w:tcPr>
            <w:tcW w:w="1800" w:type="dxa"/>
          </w:tcPr>
          <w:p>
            <w:pPr>
              <w:pStyle w:val="TableParagraph"/>
              <w:spacing w:line="200" w:lineRule="exact" w:before="16"/>
              <w:ind w:left="102" w:right="100"/>
              <w:jc w:val="both"/>
              <w:rPr>
                <w:sz w:val="18"/>
              </w:rPr>
            </w:pPr>
            <w:r>
              <w:rPr>
                <w:sz w:val="18"/>
              </w:rPr>
              <w:t>Los SECF</w:t>
            </w:r>
            <w:r>
              <w:rPr>
                <w:spacing w:val="-20"/>
                <w:sz w:val="18"/>
              </w:rPr>
              <w:t> </w:t>
            </w:r>
            <w:r>
              <w:rPr>
                <w:sz w:val="18"/>
              </w:rPr>
              <w:t>promueven acuerdos indepen- dientes de descentra- lización estado-mu- nicipios con relación a las recaudaciones estatales.</w:t>
            </w:r>
          </w:p>
        </w:tc>
        <w:tc>
          <w:tcPr>
            <w:tcW w:w="1573" w:type="dxa"/>
          </w:tcPr>
          <w:p>
            <w:pPr>
              <w:pStyle w:val="TableParagraph"/>
              <w:spacing w:line="200" w:lineRule="exact" w:before="16"/>
              <w:ind w:left="102" w:right="94"/>
              <w:jc w:val="both"/>
              <w:rPr>
                <w:sz w:val="18"/>
              </w:rPr>
            </w:pPr>
            <w:r>
              <w:rPr>
                <w:sz w:val="18"/>
              </w:rPr>
              <w:t>Existencia de convenios inde- pendientes para la descentralización estado-municipios de algunas recau- daciones estatales.</w:t>
            </w:r>
          </w:p>
        </w:tc>
        <w:tc>
          <w:tcPr>
            <w:tcW w:w="1644" w:type="dxa"/>
          </w:tcPr>
          <w:p>
            <w:pPr>
              <w:pStyle w:val="TableParagraph"/>
              <w:spacing w:line="200" w:lineRule="exact" w:before="15"/>
              <w:ind w:left="102" w:right="100"/>
              <w:jc w:val="both"/>
              <w:rPr>
                <w:sz w:val="18"/>
              </w:rPr>
            </w:pPr>
            <w:r>
              <w:rPr>
                <w:sz w:val="18"/>
              </w:rPr>
              <w:t>Evaluación conti- nua e integral del desempeño muni- cipal en las recau- daciones estatales descentralizadas.</w:t>
            </w:r>
          </w:p>
        </w:tc>
        <w:tc>
          <w:tcPr>
            <w:tcW w:w="1594" w:type="dxa"/>
          </w:tcPr>
          <w:p>
            <w:pPr>
              <w:pStyle w:val="TableParagraph"/>
              <w:spacing w:line="200" w:lineRule="exact" w:before="15"/>
              <w:ind w:left="102" w:right="92"/>
              <w:jc w:val="both"/>
              <w:rPr>
                <w:sz w:val="18"/>
              </w:rPr>
            </w:pPr>
            <w:r>
              <w:rPr>
                <w:sz w:val="18"/>
              </w:rPr>
              <w:t>Participación mu- nicipal en acuerdos independientes de descentralización de recaudaciones estatales.</w:t>
            </w:r>
          </w:p>
        </w:tc>
      </w:tr>
      <w:tr>
        <w:trPr>
          <w:trHeight w:val="1639" w:hRule="exact"/>
        </w:trPr>
        <w:tc>
          <w:tcPr>
            <w:tcW w:w="460" w:type="dxa"/>
            <w:shd w:val="clear" w:color="auto" w:fill="D1D3D4"/>
          </w:tcPr>
          <w:p>
            <w:pPr>
              <w:pStyle w:val="TableParagraph"/>
              <w:spacing w:before="4"/>
              <w:jc w:val="center"/>
              <w:rPr>
                <w:b/>
                <w:sz w:val="18"/>
              </w:rPr>
            </w:pPr>
            <w:r>
              <w:rPr>
                <w:b/>
                <w:sz w:val="18"/>
              </w:rPr>
              <w:t>5</w:t>
            </w:r>
          </w:p>
        </w:tc>
        <w:tc>
          <w:tcPr>
            <w:tcW w:w="1800" w:type="dxa"/>
            <w:shd w:val="clear" w:color="auto" w:fill="D1D3D4"/>
          </w:tcPr>
          <w:p>
            <w:pPr>
              <w:pStyle w:val="TableParagraph"/>
              <w:spacing w:line="200" w:lineRule="exact" w:before="15"/>
              <w:ind w:left="102" w:right="83"/>
              <w:jc w:val="both"/>
              <w:rPr>
                <w:sz w:val="18"/>
              </w:rPr>
            </w:pPr>
            <w:r>
              <w:rPr>
                <w:sz w:val="18"/>
              </w:rPr>
              <w:t>Los SECF promueven acuerdos jerárquicos de descentralización estado-municipios con relación a mate- rias administrativas reguladas y reditua- bles.</w:t>
            </w:r>
          </w:p>
        </w:tc>
        <w:tc>
          <w:tcPr>
            <w:tcW w:w="1573" w:type="dxa"/>
            <w:shd w:val="clear" w:color="auto" w:fill="D1D3D4"/>
          </w:tcPr>
          <w:p>
            <w:pPr>
              <w:pStyle w:val="TableParagraph"/>
              <w:spacing w:line="200" w:lineRule="exact" w:before="15"/>
              <w:ind w:left="102" w:right="100"/>
              <w:jc w:val="both"/>
              <w:rPr>
                <w:sz w:val="18"/>
              </w:rPr>
            </w:pPr>
            <w:r>
              <w:rPr>
                <w:sz w:val="18"/>
              </w:rPr>
              <w:t>Existencia de con- venios jerárquicos para la descentra- lización estado- municipios de materias adminis- trativas  reguladas y redituables.</w:t>
            </w:r>
          </w:p>
        </w:tc>
        <w:tc>
          <w:tcPr>
            <w:tcW w:w="1644" w:type="dxa"/>
            <w:shd w:val="clear" w:color="auto" w:fill="D1D3D4"/>
          </w:tcPr>
          <w:p>
            <w:pPr>
              <w:pStyle w:val="TableParagraph"/>
              <w:spacing w:line="200" w:lineRule="exact" w:before="15"/>
              <w:ind w:left="102" w:right="100"/>
              <w:jc w:val="both"/>
              <w:rPr>
                <w:sz w:val="18"/>
              </w:rPr>
            </w:pPr>
            <w:r>
              <w:rPr>
                <w:sz w:val="18"/>
              </w:rPr>
              <w:t>Evaluación conti- nua del desempeño municipal en las materias estatales reguladas y redi- tuables que fueron descentralizadas.</w:t>
            </w:r>
          </w:p>
        </w:tc>
        <w:tc>
          <w:tcPr>
            <w:tcW w:w="1594" w:type="dxa"/>
            <w:shd w:val="clear" w:color="auto" w:fill="D1D3D4"/>
          </w:tcPr>
          <w:p>
            <w:pPr>
              <w:pStyle w:val="TableParagraph"/>
              <w:spacing w:line="200" w:lineRule="exact" w:before="15"/>
              <w:ind w:left="102" w:right="100"/>
              <w:jc w:val="both"/>
              <w:rPr>
                <w:sz w:val="18"/>
              </w:rPr>
            </w:pPr>
            <w:r>
              <w:rPr>
                <w:sz w:val="18"/>
              </w:rPr>
              <w:t>Participación mu- nicipal en</w:t>
            </w:r>
            <w:r>
              <w:rPr>
                <w:spacing w:val="-12"/>
                <w:sz w:val="18"/>
              </w:rPr>
              <w:t> </w:t>
            </w:r>
            <w:r>
              <w:rPr>
                <w:sz w:val="18"/>
              </w:rPr>
              <w:t>acuerdos jerárquicos de des- centralización de materias estatales reguladas y redi- tuables.</w:t>
            </w:r>
          </w:p>
        </w:tc>
      </w:tr>
      <w:tr>
        <w:trPr>
          <w:trHeight w:val="1639" w:hRule="exact"/>
        </w:trPr>
        <w:tc>
          <w:tcPr>
            <w:tcW w:w="460" w:type="dxa"/>
          </w:tcPr>
          <w:p>
            <w:pPr>
              <w:pStyle w:val="TableParagraph"/>
              <w:spacing w:before="4"/>
              <w:jc w:val="center"/>
              <w:rPr>
                <w:b/>
                <w:sz w:val="18"/>
              </w:rPr>
            </w:pPr>
            <w:r>
              <w:rPr>
                <w:b/>
                <w:sz w:val="18"/>
              </w:rPr>
              <w:t>4</w:t>
            </w:r>
          </w:p>
        </w:tc>
        <w:tc>
          <w:tcPr>
            <w:tcW w:w="1800" w:type="dxa"/>
          </w:tcPr>
          <w:p>
            <w:pPr>
              <w:pStyle w:val="TableParagraph"/>
              <w:spacing w:line="200" w:lineRule="exact" w:before="15"/>
              <w:ind w:left="102" w:right="100"/>
              <w:jc w:val="both"/>
              <w:rPr>
                <w:sz w:val="18"/>
              </w:rPr>
            </w:pPr>
            <w:r>
              <w:rPr>
                <w:sz w:val="18"/>
              </w:rPr>
              <w:t>Los SNCF  someten  a consenso la dele- gación de funciones recaudatorias federa- les coordinadas, pro- moviendo además el trabajo en</w:t>
            </w:r>
            <w:r>
              <w:rPr>
                <w:spacing w:val="-2"/>
                <w:sz w:val="18"/>
              </w:rPr>
              <w:t> </w:t>
            </w:r>
            <w:r>
              <w:rPr>
                <w:sz w:val="18"/>
              </w:rPr>
              <w:t>grupos.</w:t>
            </w:r>
          </w:p>
        </w:tc>
        <w:tc>
          <w:tcPr>
            <w:tcW w:w="1573" w:type="dxa"/>
          </w:tcPr>
          <w:p>
            <w:pPr>
              <w:pStyle w:val="TableParagraph"/>
              <w:spacing w:line="200" w:lineRule="exact" w:before="14"/>
              <w:ind w:left="102" w:right="100"/>
              <w:jc w:val="both"/>
              <w:rPr>
                <w:sz w:val="18"/>
              </w:rPr>
            </w:pPr>
            <w:r>
              <w:rPr>
                <w:sz w:val="18"/>
              </w:rPr>
              <w:t>Existencia de con- venios jerárquicos para la descentra- lización estado- municipios de materias adminis- trativas reguladas no redituables.</w:t>
            </w:r>
          </w:p>
        </w:tc>
        <w:tc>
          <w:tcPr>
            <w:tcW w:w="1644" w:type="dxa"/>
          </w:tcPr>
          <w:p>
            <w:pPr>
              <w:pStyle w:val="TableParagraph"/>
              <w:spacing w:line="200" w:lineRule="exact" w:before="14"/>
              <w:ind w:left="102" w:right="100"/>
              <w:jc w:val="both"/>
              <w:rPr>
                <w:sz w:val="18"/>
              </w:rPr>
            </w:pPr>
            <w:r>
              <w:rPr>
                <w:sz w:val="18"/>
              </w:rPr>
              <w:t>Evaluación conti- nua del desempeño municipal en las materias estatales reguladas no redi- tuables que fueron descentralizadas.</w:t>
            </w:r>
          </w:p>
        </w:tc>
        <w:tc>
          <w:tcPr>
            <w:tcW w:w="1594" w:type="dxa"/>
          </w:tcPr>
          <w:p>
            <w:pPr>
              <w:pStyle w:val="TableParagraph"/>
              <w:spacing w:line="200" w:lineRule="exact" w:before="14"/>
              <w:ind w:left="102" w:right="100"/>
              <w:jc w:val="both"/>
              <w:rPr>
                <w:sz w:val="18"/>
              </w:rPr>
            </w:pPr>
            <w:r>
              <w:rPr>
                <w:sz w:val="18"/>
              </w:rPr>
              <w:t>Participación mu- nicipal en</w:t>
            </w:r>
            <w:r>
              <w:rPr>
                <w:spacing w:val="-12"/>
                <w:sz w:val="18"/>
              </w:rPr>
              <w:t> </w:t>
            </w:r>
            <w:r>
              <w:rPr>
                <w:sz w:val="18"/>
              </w:rPr>
              <w:t>acuerdos jerárquicos de des- centralización de materias estatales reguladas no redi- tuables.</w:t>
            </w:r>
          </w:p>
        </w:tc>
      </w:tr>
      <w:tr>
        <w:trPr>
          <w:trHeight w:val="1839" w:hRule="exact"/>
        </w:trPr>
        <w:tc>
          <w:tcPr>
            <w:tcW w:w="460" w:type="dxa"/>
            <w:shd w:val="clear" w:color="auto" w:fill="D1D3D4"/>
          </w:tcPr>
          <w:p>
            <w:pPr>
              <w:pStyle w:val="TableParagraph"/>
              <w:spacing w:before="3"/>
              <w:jc w:val="center"/>
              <w:rPr>
                <w:b/>
                <w:sz w:val="18"/>
              </w:rPr>
            </w:pPr>
            <w:r>
              <w:rPr>
                <w:b/>
                <w:sz w:val="18"/>
              </w:rPr>
              <w:t>3</w:t>
            </w:r>
          </w:p>
        </w:tc>
        <w:tc>
          <w:tcPr>
            <w:tcW w:w="1800" w:type="dxa"/>
            <w:shd w:val="clear" w:color="auto" w:fill="D1D3D4"/>
          </w:tcPr>
          <w:p>
            <w:pPr>
              <w:pStyle w:val="TableParagraph"/>
              <w:spacing w:line="200" w:lineRule="exact" w:before="14"/>
              <w:ind w:left="102" w:right="100"/>
              <w:jc w:val="both"/>
              <w:rPr>
                <w:sz w:val="18"/>
              </w:rPr>
            </w:pPr>
            <w:r>
              <w:rPr>
                <w:sz w:val="18"/>
              </w:rPr>
              <w:t>Los SNCF informan en sus sesiones ple- narias sobre las re- formas en funciones recaudatorias coor- dinadas, y planean estrategias conjuntas estado-municipios.</w:t>
            </w:r>
          </w:p>
        </w:tc>
        <w:tc>
          <w:tcPr>
            <w:tcW w:w="1573" w:type="dxa"/>
            <w:shd w:val="clear" w:color="auto" w:fill="D1D3D4"/>
          </w:tcPr>
          <w:p>
            <w:pPr>
              <w:pStyle w:val="TableParagraph"/>
              <w:spacing w:line="200" w:lineRule="exact" w:before="14"/>
              <w:ind w:left="102" w:right="94"/>
              <w:jc w:val="both"/>
              <w:rPr>
                <w:sz w:val="18"/>
              </w:rPr>
            </w:pPr>
            <w:r>
              <w:rPr>
                <w:sz w:val="18"/>
              </w:rPr>
              <w:t>Existencia de convenios para la descentralización estado-municipios de funciones re- caudatorias estata- les comprometidas con el sector pri- vado.</w:t>
            </w:r>
          </w:p>
        </w:tc>
        <w:tc>
          <w:tcPr>
            <w:tcW w:w="1644" w:type="dxa"/>
            <w:shd w:val="clear" w:color="auto" w:fill="D1D3D4"/>
          </w:tcPr>
          <w:p>
            <w:pPr>
              <w:pStyle w:val="TableParagraph"/>
              <w:spacing w:line="200" w:lineRule="exact" w:before="14"/>
              <w:ind w:left="102" w:right="100"/>
              <w:jc w:val="both"/>
              <w:rPr>
                <w:sz w:val="18"/>
              </w:rPr>
            </w:pPr>
            <w:r>
              <w:rPr>
                <w:sz w:val="18"/>
              </w:rPr>
              <w:t>Evaluación conti- nua del desempeño municipal en las funciones recau- datorias estatales comprometidas con el sector privado que fueron descen- tralizadas.</w:t>
            </w:r>
          </w:p>
        </w:tc>
        <w:tc>
          <w:tcPr>
            <w:tcW w:w="1594" w:type="dxa"/>
            <w:shd w:val="clear" w:color="auto" w:fill="D1D3D4"/>
          </w:tcPr>
          <w:p>
            <w:pPr>
              <w:pStyle w:val="TableParagraph"/>
              <w:spacing w:line="200" w:lineRule="exact" w:before="13"/>
              <w:ind w:left="102" w:right="100"/>
              <w:jc w:val="both"/>
              <w:rPr>
                <w:sz w:val="18"/>
              </w:rPr>
            </w:pPr>
            <w:r>
              <w:rPr>
                <w:sz w:val="18"/>
              </w:rPr>
              <w:t>Participación mu- nicipal en</w:t>
            </w:r>
            <w:r>
              <w:rPr>
                <w:spacing w:val="-12"/>
                <w:sz w:val="18"/>
              </w:rPr>
              <w:t> </w:t>
            </w:r>
            <w:r>
              <w:rPr>
                <w:sz w:val="18"/>
              </w:rPr>
              <w:t>acuerdos para la descentrali- zación de funcio- nes recaudatorias estatales compro- metidas con el sec- tor</w:t>
            </w:r>
            <w:r>
              <w:rPr>
                <w:spacing w:val="-1"/>
                <w:sz w:val="18"/>
              </w:rPr>
              <w:t> </w:t>
            </w:r>
            <w:r>
              <w:rPr>
                <w:sz w:val="18"/>
              </w:rPr>
              <w:t>privado.</w:t>
            </w:r>
          </w:p>
        </w:tc>
      </w:tr>
      <w:tr>
        <w:trPr>
          <w:trHeight w:val="1439" w:hRule="exact"/>
        </w:trPr>
        <w:tc>
          <w:tcPr>
            <w:tcW w:w="460" w:type="dxa"/>
          </w:tcPr>
          <w:p>
            <w:pPr>
              <w:pStyle w:val="TableParagraph"/>
              <w:spacing w:before="2"/>
              <w:jc w:val="center"/>
              <w:rPr>
                <w:b/>
                <w:sz w:val="18"/>
              </w:rPr>
            </w:pPr>
            <w:r>
              <w:rPr>
                <w:b/>
                <w:sz w:val="18"/>
              </w:rPr>
              <w:t>2</w:t>
            </w:r>
          </w:p>
        </w:tc>
        <w:tc>
          <w:tcPr>
            <w:tcW w:w="1800" w:type="dxa"/>
          </w:tcPr>
          <w:p>
            <w:pPr>
              <w:pStyle w:val="TableParagraph"/>
              <w:spacing w:line="200" w:lineRule="exact" w:before="13"/>
              <w:ind w:left="102" w:right="100"/>
              <w:jc w:val="both"/>
              <w:rPr>
                <w:sz w:val="18"/>
              </w:rPr>
            </w:pPr>
            <w:r>
              <w:rPr>
                <w:sz w:val="18"/>
              </w:rPr>
              <w:t>Los SNCF informan en sus sesiones ple- narias sobre las re- formas en funciones recaudatorias coor- dinadas, sin acciones consecuentes.</w:t>
            </w:r>
          </w:p>
        </w:tc>
        <w:tc>
          <w:tcPr>
            <w:tcW w:w="1573" w:type="dxa"/>
          </w:tcPr>
          <w:p>
            <w:pPr>
              <w:pStyle w:val="TableParagraph"/>
              <w:spacing w:line="200" w:lineRule="exact" w:before="13"/>
              <w:ind w:left="102" w:right="94"/>
              <w:jc w:val="both"/>
              <w:rPr>
                <w:sz w:val="18"/>
              </w:rPr>
            </w:pPr>
            <w:r>
              <w:rPr>
                <w:sz w:val="18"/>
              </w:rPr>
              <w:t>Existencia de convenios para la descentralización estado-municipios de funciones re- caudatorias fede- rales coordinadas.</w:t>
            </w:r>
          </w:p>
        </w:tc>
        <w:tc>
          <w:tcPr>
            <w:tcW w:w="1644" w:type="dxa"/>
          </w:tcPr>
          <w:p>
            <w:pPr>
              <w:pStyle w:val="TableParagraph"/>
              <w:spacing w:line="200" w:lineRule="exact" w:before="13"/>
              <w:ind w:left="102" w:right="100"/>
              <w:jc w:val="both"/>
              <w:rPr>
                <w:sz w:val="18"/>
              </w:rPr>
            </w:pPr>
            <w:r>
              <w:rPr>
                <w:sz w:val="18"/>
              </w:rPr>
              <w:t>Evaluación conti- nua del desempeño municipal en las funciones recauda- torias federales que fueron descentrali- zadas.</w:t>
            </w:r>
          </w:p>
        </w:tc>
        <w:tc>
          <w:tcPr>
            <w:tcW w:w="1594" w:type="dxa"/>
          </w:tcPr>
          <w:p>
            <w:pPr>
              <w:pStyle w:val="TableParagraph"/>
              <w:spacing w:line="200" w:lineRule="exact" w:before="13"/>
              <w:ind w:left="102" w:right="100"/>
              <w:jc w:val="both"/>
              <w:rPr>
                <w:sz w:val="18"/>
              </w:rPr>
            </w:pPr>
            <w:r>
              <w:rPr>
                <w:sz w:val="18"/>
              </w:rPr>
              <w:t>Participación mu- nicipal en</w:t>
            </w:r>
            <w:r>
              <w:rPr>
                <w:spacing w:val="-12"/>
                <w:sz w:val="18"/>
              </w:rPr>
              <w:t> </w:t>
            </w:r>
            <w:r>
              <w:rPr>
                <w:sz w:val="18"/>
              </w:rPr>
              <w:t>acuerdos para la descentrali- zación de funcio- nes recaudatorias federales coordi- nadas.</w:t>
            </w:r>
          </w:p>
        </w:tc>
      </w:tr>
    </w:tbl>
    <w:p>
      <w:pPr>
        <w:spacing w:after="0" w:line="200" w:lineRule="exact"/>
        <w:jc w:val="both"/>
        <w:rPr>
          <w:sz w:val="18"/>
        </w:rPr>
        <w:sectPr>
          <w:headerReference w:type="default" r:id="rId131"/>
          <w:headerReference w:type="even" r:id="rId132"/>
          <w:pgSz w:w="9360" w:h="13040"/>
          <w:pgMar w:header="523" w:footer="513" w:top="720" w:bottom="700" w:left="740" w:right="1300"/>
        </w:sectPr>
      </w:pPr>
    </w:p>
    <w:p>
      <w:pPr>
        <w:pStyle w:val="BodyText"/>
        <w:rPr>
          <w:sz w:val="20"/>
        </w:rPr>
      </w:pPr>
    </w:p>
    <w:p>
      <w:pPr>
        <w:pStyle w:val="BodyText"/>
        <w:spacing w:before="10"/>
        <w:rPr>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60"/>
        <w:gridCol w:w="1800"/>
        <w:gridCol w:w="1573"/>
        <w:gridCol w:w="1644"/>
        <w:gridCol w:w="1594"/>
      </w:tblGrid>
      <w:tr>
        <w:trPr>
          <w:trHeight w:val="1439" w:hRule="exact"/>
        </w:trPr>
        <w:tc>
          <w:tcPr>
            <w:tcW w:w="460" w:type="dxa"/>
            <w:shd w:val="clear" w:color="auto" w:fill="D1D3D4"/>
          </w:tcPr>
          <w:p>
            <w:pPr>
              <w:pStyle w:val="TableParagraph"/>
              <w:spacing w:before="6"/>
              <w:ind w:left="180"/>
              <w:rPr>
                <w:b/>
                <w:sz w:val="18"/>
              </w:rPr>
            </w:pPr>
            <w:r>
              <w:rPr>
                <w:b/>
                <w:sz w:val="18"/>
              </w:rPr>
              <w:t>1</w:t>
            </w:r>
          </w:p>
        </w:tc>
        <w:tc>
          <w:tcPr>
            <w:tcW w:w="1800" w:type="dxa"/>
            <w:shd w:val="clear" w:color="auto" w:fill="D1D3D4"/>
          </w:tcPr>
          <w:p>
            <w:pPr>
              <w:pStyle w:val="TableParagraph"/>
              <w:spacing w:line="200" w:lineRule="exact" w:before="16"/>
              <w:ind w:left="102" w:right="100"/>
              <w:jc w:val="both"/>
              <w:rPr>
                <w:sz w:val="18"/>
              </w:rPr>
            </w:pPr>
            <w:r>
              <w:rPr>
                <w:sz w:val="18"/>
              </w:rPr>
              <w:t>Los SNCF informan en sus sesiones ple- narias sobre las trans- ferencias federales y estatales, se excluyen las funciones recau- datorias.</w:t>
            </w:r>
          </w:p>
        </w:tc>
        <w:tc>
          <w:tcPr>
            <w:tcW w:w="1573" w:type="dxa"/>
            <w:shd w:val="clear" w:color="auto" w:fill="D1D3D4"/>
          </w:tcPr>
          <w:p>
            <w:pPr>
              <w:pStyle w:val="TableParagraph"/>
              <w:spacing w:line="200" w:lineRule="exact" w:before="16"/>
              <w:ind w:left="102" w:right="94"/>
              <w:jc w:val="both"/>
              <w:rPr>
                <w:sz w:val="18"/>
              </w:rPr>
            </w:pPr>
            <w:r>
              <w:rPr>
                <w:sz w:val="18"/>
              </w:rPr>
              <w:t>Existencia de convenios para la descentralización estado-municipios de aprovecha- mientos federales coordinados.</w:t>
            </w:r>
          </w:p>
        </w:tc>
        <w:tc>
          <w:tcPr>
            <w:tcW w:w="1644" w:type="dxa"/>
            <w:shd w:val="clear" w:color="auto" w:fill="D1D3D4"/>
          </w:tcPr>
          <w:p>
            <w:pPr>
              <w:pStyle w:val="TableParagraph"/>
              <w:spacing w:line="200" w:lineRule="exact" w:before="16"/>
              <w:ind w:left="102" w:right="92"/>
              <w:jc w:val="both"/>
              <w:rPr>
                <w:sz w:val="18"/>
              </w:rPr>
            </w:pPr>
            <w:r>
              <w:rPr>
                <w:sz w:val="18"/>
              </w:rPr>
              <w:t>Evaluación conti- nua del desempeño municipal en las aprovechamientos federales que fue- ron descentraliza- dos.</w:t>
            </w:r>
          </w:p>
        </w:tc>
        <w:tc>
          <w:tcPr>
            <w:tcW w:w="1594" w:type="dxa"/>
            <w:shd w:val="clear" w:color="auto" w:fill="D1D3D4"/>
          </w:tcPr>
          <w:p>
            <w:pPr>
              <w:pStyle w:val="TableParagraph"/>
              <w:spacing w:line="200" w:lineRule="exact" w:before="16"/>
              <w:ind w:left="102" w:right="100"/>
              <w:jc w:val="both"/>
              <w:rPr>
                <w:sz w:val="18"/>
              </w:rPr>
            </w:pPr>
            <w:r>
              <w:rPr>
                <w:sz w:val="18"/>
              </w:rPr>
              <w:t>Participación mu- nicipal en</w:t>
            </w:r>
            <w:r>
              <w:rPr>
                <w:spacing w:val="-12"/>
                <w:sz w:val="18"/>
              </w:rPr>
              <w:t> </w:t>
            </w:r>
            <w:r>
              <w:rPr>
                <w:sz w:val="18"/>
              </w:rPr>
              <w:t>acuerdos para la descentrali- zación de aprove- chamientos federa- les</w:t>
            </w:r>
            <w:r>
              <w:rPr>
                <w:spacing w:val="-1"/>
                <w:sz w:val="18"/>
              </w:rPr>
              <w:t> </w:t>
            </w:r>
            <w:r>
              <w:rPr>
                <w:sz w:val="18"/>
              </w:rPr>
              <w:t>coordinados.</w:t>
            </w:r>
          </w:p>
        </w:tc>
      </w:tr>
      <w:tr>
        <w:trPr>
          <w:trHeight w:val="1039" w:hRule="exact"/>
        </w:trPr>
        <w:tc>
          <w:tcPr>
            <w:tcW w:w="460" w:type="dxa"/>
          </w:tcPr>
          <w:p>
            <w:pPr>
              <w:pStyle w:val="TableParagraph"/>
              <w:spacing w:before="5"/>
              <w:ind w:left="180"/>
              <w:rPr>
                <w:b/>
                <w:sz w:val="18"/>
              </w:rPr>
            </w:pPr>
            <w:r>
              <w:rPr>
                <w:b/>
                <w:sz w:val="18"/>
              </w:rPr>
              <w:t>0</w:t>
            </w:r>
          </w:p>
        </w:tc>
        <w:tc>
          <w:tcPr>
            <w:tcW w:w="1800" w:type="dxa"/>
          </w:tcPr>
          <w:p>
            <w:pPr>
              <w:pStyle w:val="TableParagraph"/>
              <w:spacing w:before="8"/>
              <w:ind w:left="102"/>
              <w:rPr>
                <w:sz w:val="18"/>
              </w:rPr>
            </w:pPr>
            <w:r>
              <w:rPr>
                <w:sz w:val="18"/>
              </w:rPr>
              <w:t>Los SECF no existen.</w:t>
            </w:r>
          </w:p>
        </w:tc>
        <w:tc>
          <w:tcPr>
            <w:tcW w:w="1573" w:type="dxa"/>
          </w:tcPr>
          <w:p>
            <w:pPr>
              <w:pStyle w:val="TableParagraph"/>
              <w:spacing w:line="200" w:lineRule="exact" w:before="16"/>
              <w:ind w:left="102" w:right="100"/>
              <w:jc w:val="both"/>
              <w:rPr>
                <w:sz w:val="18"/>
              </w:rPr>
            </w:pPr>
            <w:r>
              <w:rPr>
                <w:sz w:val="18"/>
              </w:rPr>
              <w:t>Ausencia jurídica para la descentra- lización fiscal mu- nicipal.</w:t>
            </w:r>
          </w:p>
        </w:tc>
        <w:tc>
          <w:tcPr>
            <w:tcW w:w="1644" w:type="dxa"/>
          </w:tcPr>
          <w:p>
            <w:pPr>
              <w:pStyle w:val="TableParagraph"/>
              <w:spacing w:line="200" w:lineRule="exact" w:before="16"/>
              <w:ind w:left="102" w:right="101"/>
              <w:jc w:val="both"/>
              <w:rPr>
                <w:sz w:val="18"/>
              </w:rPr>
            </w:pPr>
            <w:r>
              <w:rPr>
                <w:sz w:val="18"/>
              </w:rPr>
              <w:t>La evaluación mu- nicipal no es factor para incluir al mu- nicipio en funcio- nes fiscales.</w:t>
            </w:r>
          </w:p>
        </w:tc>
        <w:tc>
          <w:tcPr>
            <w:tcW w:w="1594" w:type="dxa"/>
          </w:tcPr>
          <w:p>
            <w:pPr>
              <w:pStyle w:val="TableParagraph"/>
              <w:spacing w:line="200" w:lineRule="exact" w:before="16"/>
              <w:ind w:left="102" w:right="92"/>
              <w:jc w:val="both"/>
              <w:rPr>
                <w:sz w:val="18"/>
              </w:rPr>
            </w:pPr>
            <w:r>
              <w:rPr>
                <w:sz w:val="18"/>
              </w:rPr>
              <w:t>Ausencia munici- pal del  ejercicio  de procesos de </w:t>
            </w:r>
            <w:r>
              <w:rPr>
                <w:spacing w:val="7"/>
                <w:sz w:val="18"/>
              </w:rPr>
              <w:t>descentralización </w:t>
            </w:r>
            <w:r>
              <w:rPr>
                <w:sz w:val="18"/>
              </w:rPr>
              <w:t>fiscal.</w:t>
            </w:r>
          </w:p>
        </w:tc>
      </w:tr>
    </w:tbl>
    <w:p>
      <w:pPr>
        <w:pStyle w:val="BodyText"/>
        <w:rPr>
          <w:sz w:val="20"/>
        </w:rPr>
      </w:pPr>
    </w:p>
    <w:p>
      <w:pPr>
        <w:pStyle w:val="BodyText"/>
        <w:rPr>
          <w:sz w:val="16"/>
        </w:rPr>
      </w:pPr>
    </w:p>
    <w:p>
      <w:pPr>
        <w:pStyle w:val="BodyText"/>
        <w:spacing w:line="235" w:lineRule="auto" w:before="75"/>
        <w:ind w:left="117" w:right="107"/>
        <w:jc w:val="both"/>
      </w:pPr>
      <w:r>
        <w:rPr/>
        <w:t>Bajo tal patrón, el análisis antecedente de seis gobiernos estatales (Aguascalientes, Baja California, Guanajuato, Jalisco, Morelos y Querétaro) en cuanto a la coordinación recaudatoria entre sus gobiernos estatales y municipales arroja el siguiente balance</w:t>
      </w:r>
      <w:r>
        <w:rPr>
          <w:position w:val="8"/>
          <w:sz w:val="13"/>
        </w:rPr>
        <w:t>44</w:t>
      </w:r>
      <w:r>
        <w:rPr/>
        <w:t>:</w:t>
      </w:r>
    </w:p>
    <w:p>
      <w:pPr>
        <w:pStyle w:val="BodyText"/>
        <w:spacing w:before="10"/>
        <w:rPr>
          <w:sz w:val="22"/>
        </w:rPr>
      </w:pPr>
    </w:p>
    <w:p>
      <w:pPr>
        <w:pStyle w:val="ListParagraph"/>
        <w:numPr>
          <w:ilvl w:val="4"/>
          <w:numId w:val="4"/>
        </w:numPr>
        <w:tabs>
          <w:tab w:pos="685" w:val="left" w:leader="none"/>
        </w:tabs>
        <w:spacing w:line="260" w:lineRule="exact" w:before="0" w:after="0"/>
        <w:ind w:left="684" w:right="107" w:hanging="284"/>
        <w:jc w:val="both"/>
        <w:rPr>
          <w:sz w:val="23"/>
        </w:rPr>
      </w:pPr>
      <w:r>
        <w:rPr>
          <w:sz w:val="23"/>
        </w:rPr>
        <w:t>Según la </w:t>
      </w:r>
      <w:r>
        <w:rPr>
          <w:i/>
          <w:sz w:val="23"/>
        </w:rPr>
        <w:t>capacidad intergubernamental  de  asociación  estratégica. </w:t>
      </w:r>
      <w:r>
        <w:rPr>
          <w:sz w:val="23"/>
        </w:rPr>
        <w:t>Se deberá establecer una interacción  hacendaria  sistemática  entre  las autoridades fiscales estatal y municipales </w:t>
      </w:r>
      <w:r>
        <w:rPr>
          <w:spacing w:val="-8"/>
          <w:sz w:val="23"/>
        </w:rPr>
        <w:t>y, </w:t>
      </w:r>
      <w:r>
        <w:rPr>
          <w:sz w:val="23"/>
        </w:rPr>
        <w:t>en la medida de lo posible, reforzar preferentemente las funciones recaudatorias de los municipios dado que constituyen la instancia de gobierno más cercana al contribuyente, promoviendo así en forma integral el bien común regional y el local. En contradicción de lo anterior, se afirma que ninguno de los seis sistemas estatales de coordinación fiscal (SECF) analizados dan muestras mínimas de desarrollar una asociación en   pro de la eficiencia recaudatoria conjunta entre la autoridad estatal y las municipales. El mejor intento es el que corresponde al estado de Guanajuato, en donde la Reunión Estatal de Funcionarios Fiscales (REFF) regularmente somete a consenso la delegación de funciones federales coordinadas y contempla el trabajo en grupos, aunque sólo en aspectos técnicos. La realidad es que los conceptos coordinados entre la federación y los estados resultan avasallantes y su magnitud satura las agendas de los </w:t>
      </w:r>
      <w:r>
        <w:rPr>
          <w:spacing w:val="-5"/>
          <w:sz w:val="23"/>
        </w:rPr>
        <w:t>SECF,  </w:t>
      </w:r>
      <w:r>
        <w:rPr>
          <w:sz w:val="23"/>
        </w:rPr>
        <w:t>un segundo factor es la prevalecía    de una visión subordinada de la instancia municipal. Por ello, más   allá de las prácticas guanajuatenses, el resto de los estados revisados definen</w:t>
      </w:r>
      <w:r>
        <w:rPr>
          <w:spacing w:val="-9"/>
          <w:sz w:val="23"/>
        </w:rPr>
        <w:t> </w:t>
      </w:r>
      <w:r>
        <w:rPr>
          <w:sz w:val="23"/>
        </w:rPr>
        <w:t>diversas</w:t>
      </w:r>
      <w:r>
        <w:rPr>
          <w:spacing w:val="-9"/>
          <w:sz w:val="23"/>
        </w:rPr>
        <w:t> </w:t>
      </w:r>
      <w:r>
        <w:rPr>
          <w:sz w:val="23"/>
        </w:rPr>
        <w:t>graduaciones</w:t>
      </w:r>
      <w:r>
        <w:rPr>
          <w:spacing w:val="-9"/>
          <w:sz w:val="23"/>
        </w:rPr>
        <w:t> </w:t>
      </w:r>
      <w:r>
        <w:rPr>
          <w:sz w:val="23"/>
        </w:rPr>
        <w:t>en</w:t>
      </w:r>
      <w:r>
        <w:rPr>
          <w:spacing w:val="-9"/>
          <w:sz w:val="23"/>
        </w:rPr>
        <w:t> </w:t>
      </w:r>
      <w:r>
        <w:rPr>
          <w:sz w:val="23"/>
        </w:rPr>
        <w:t>una</w:t>
      </w:r>
      <w:r>
        <w:rPr>
          <w:spacing w:val="-9"/>
          <w:sz w:val="23"/>
        </w:rPr>
        <w:t> </w:t>
      </w:r>
      <w:r>
        <w:rPr>
          <w:sz w:val="23"/>
        </w:rPr>
        <w:t>escala</w:t>
      </w:r>
      <w:r>
        <w:rPr>
          <w:spacing w:val="-9"/>
          <w:sz w:val="23"/>
        </w:rPr>
        <w:t> </w:t>
      </w:r>
      <w:r>
        <w:rPr>
          <w:sz w:val="23"/>
        </w:rPr>
        <w:t>de</w:t>
      </w:r>
      <w:r>
        <w:rPr>
          <w:spacing w:val="-9"/>
          <w:sz w:val="23"/>
        </w:rPr>
        <w:t> </w:t>
      </w:r>
      <w:r>
        <w:rPr>
          <w:sz w:val="23"/>
        </w:rPr>
        <w:t>contradicción</w:t>
      </w:r>
      <w:r>
        <w:rPr>
          <w:spacing w:val="-9"/>
          <w:sz w:val="23"/>
        </w:rPr>
        <w:t> </w:t>
      </w:r>
      <w:r>
        <w:rPr>
          <w:sz w:val="23"/>
        </w:rPr>
        <w:t>creciente,</w:t>
      </w:r>
    </w:p>
    <w:p>
      <w:pPr>
        <w:pStyle w:val="BodyText"/>
        <w:spacing w:line="258" w:lineRule="exact"/>
        <w:ind w:left="117"/>
        <w:jc w:val="both"/>
      </w:pPr>
      <w:r>
        <w:rPr>
          <w:u w:val="single"/>
        </w:rPr>
        <w:t>          hasta  lleg</w:t>
      </w:r>
      <w:r>
        <w:rPr/>
        <w:t>ar al  caso extremo del  estado de  Morelos  cuya  Asamblea</w:t>
      </w:r>
    </w:p>
    <w:p>
      <w:pPr>
        <w:spacing w:line="249" w:lineRule="auto" w:before="80"/>
        <w:ind w:left="344" w:right="0" w:hanging="227"/>
        <w:jc w:val="left"/>
        <w:rPr>
          <w:sz w:val="18"/>
        </w:rPr>
      </w:pPr>
      <w:r>
        <w:rPr>
          <w:position w:val="7"/>
          <w:sz w:val="11"/>
        </w:rPr>
        <w:t>44 </w:t>
      </w:r>
      <w:r>
        <w:rPr>
          <w:sz w:val="18"/>
        </w:rPr>
        <w:t>Los resultados de la investigación anterior pueden consultarse en: Mendoza Ruiz, Joel; </w:t>
      </w:r>
      <w:r>
        <w:rPr>
          <w:i/>
          <w:sz w:val="18"/>
        </w:rPr>
        <w:t>Op. Cit.</w:t>
      </w:r>
      <w:r>
        <w:rPr>
          <w:sz w:val="18"/>
        </w:rPr>
        <w:t>, pp. 94-96.</w:t>
      </w:r>
    </w:p>
    <w:p>
      <w:pPr>
        <w:spacing w:after="0" w:line="249" w:lineRule="auto"/>
        <w:jc w:val="left"/>
        <w:rPr>
          <w:sz w:val="18"/>
        </w:rPr>
        <w:sectPr>
          <w:pgSz w:w="9360" w:h="13040"/>
          <w:pgMar w:header="547" w:footer="518" w:top="940" w:bottom="700" w:left="1300" w:right="740"/>
        </w:sectPr>
      </w:pPr>
    </w:p>
    <w:p>
      <w:pPr>
        <w:pStyle w:val="BodyText"/>
        <w:rPr>
          <w:sz w:val="20"/>
        </w:rPr>
      </w:pPr>
    </w:p>
    <w:p>
      <w:pPr>
        <w:pStyle w:val="BodyText"/>
        <w:spacing w:before="1"/>
        <w:rPr>
          <w:sz w:val="29"/>
        </w:rPr>
      </w:pPr>
    </w:p>
    <w:p>
      <w:pPr>
        <w:pStyle w:val="BodyText"/>
        <w:spacing w:line="260" w:lineRule="exact" w:before="77"/>
        <w:ind w:left="677"/>
      </w:pPr>
      <w:r>
        <w:rPr/>
        <w:t>Estatal de Funcionarios Hacendarios (AEFH) no ha logrado iniciar su funcionamiento.</w:t>
      </w:r>
    </w:p>
    <w:p>
      <w:pPr>
        <w:pStyle w:val="BodyText"/>
        <w:spacing w:before="7"/>
        <w:rPr>
          <w:sz w:val="22"/>
        </w:rPr>
      </w:pPr>
    </w:p>
    <w:p>
      <w:pPr>
        <w:pStyle w:val="ListParagraph"/>
        <w:numPr>
          <w:ilvl w:val="4"/>
          <w:numId w:val="4"/>
        </w:numPr>
        <w:tabs>
          <w:tab w:pos="678" w:val="left" w:leader="none"/>
        </w:tabs>
        <w:spacing w:line="260" w:lineRule="exact" w:before="0" w:after="0"/>
        <w:ind w:left="677" w:right="114" w:hanging="284"/>
        <w:jc w:val="both"/>
        <w:rPr>
          <w:sz w:val="23"/>
        </w:rPr>
      </w:pPr>
      <w:r>
        <w:rPr>
          <w:sz w:val="23"/>
        </w:rPr>
        <w:t>Con relación a la </w:t>
      </w:r>
      <w:r>
        <w:rPr>
          <w:i/>
          <w:sz w:val="23"/>
        </w:rPr>
        <w:t>restricción competencial de las formaciones sociales </w:t>
      </w:r>
      <w:r>
        <w:rPr>
          <w:i/>
          <w:sz w:val="23"/>
        </w:rPr>
        <w:t>más complejas</w:t>
      </w:r>
      <w:r>
        <w:rPr>
          <w:sz w:val="23"/>
        </w:rPr>
        <w:t>. Se deberá evitar que los estados asuman un ejercicio exclusivo de las atribuciones recaudatorias estatales, considerando individualmente</w:t>
      </w:r>
      <w:r>
        <w:rPr>
          <w:spacing w:val="-11"/>
          <w:sz w:val="23"/>
        </w:rPr>
        <w:t> </w:t>
      </w:r>
      <w:r>
        <w:rPr>
          <w:sz w:val="23"/>
        </w:rPr>
        <w:t>las</w:t>
      </w:r>
      <w:r>
        <w:rPr>
          <w:spacing w:val="-10"/>
          <w:sz w:val="23"/>
        </w:rPr>
        <w:t> </w:t>
      </w:r>
      <w:r>
        <w:rPr>
          <w:sz w:val="23"/>
        </w:rPr>
        <w:t>ventajas</w:t>
      </w:r>
      <w:r>
        <w:rPr>
          <w:spacing w:val="-10"/>
          <w:sz w:val="23"/>
        </w:rPr>
        <w:t> </w:t>
      </w:r>
      <w:r>
        <w:rPr>
          <w:sz w:val="23"/>
        </w:rPr>
        <w:t>de</w:t>
      </w:r>
      <w:r>
        <w:rPr>
          <w:spacing w:val="-10"/>
          <w:sz w:val="23"/>
        </w:rPr>
        <w:t> </w:t>
      </w:r>
      <w:r>
        <w:rPr>
          <w:sz w:val="23"/>
        </w:rPr>
        <w:t>desconcentrar</w:t>
      </w:r>
      <w:r>
        <w:rPr>
          <w:spacing w:val="-10"/>
          <w:sz w:val="23"/>
        </w:rPr>
        <w:t> </w:t>
      </w:r>
      <w:r>
        <w:rPr>
          <w:sz w:val="23"/>
        </w:rPr>
        <w:t>los</w:t>
      </w:r>
      <w:r>
        <w:rPr>
          <w:spacing w:val="-10"/>
          <w:sz w:val="23"/>
        </w:rPr>
        <w:t> </w:t>
      </w:r>
      <w:r>
        <w:rPr>
          <w:sz w:val="23"/>
        </w:rPr>
        <w:t>siguientes</w:t>
      </w:r>
      <w:r>
        <w:rPr>
          <w:spacing w:val="-9"/>
          <w:sz w:val="23"/>
        </w:rPr>
        <w:t> </w:t>
      </w:r>
      <w:r>
        <w:rPr>
          <w:sz w:val="23"/>
        </w:rPr>
        <w:t>conceptos: nóminas,</w:t>
      </w:r>
      <w:r>
        <w:rPr>
          <w:spacing w:val="-11"/>
          <w:sz w:val="23"/>
        </w:rPr>
        <w:t> </w:t>
      </w:r>
      <w:r>
        <w:rPr>
          <w:sz w:val="23"/>
        </w:rPr>
        <w:t>hospedaje,</w:t>
      </w:r>
      <w:r>
        <w:rPr>
          <w:spacing w:val="-11"/>
          <w:sz w:val="23"/>
        </w:rPr>
        <w:t> </w:t>
      </w:r>
      <w:r>
        <w:rPr>
          <w:sz w:val="23"/>
        </w:rPr>
        <w:t>enajenación</w:t>
      </w:r>
      <w:r>
        <w:rPr>
          <w:spacing w:val="-12"/>
          <w:sz w:val="23"/>
        </w:rPr>
        <w:t> </w:t>
      </w:r>
      <w:r>
        <w:rPr>
          <w:sz w:val="23"/>
        </w:rPr>
        <w:t>de</w:t>
      </w:r>
      <w:r>
        <w:rPr>
          <w:spacing w:val="-11"/>
          <w:sz w:val="23"/>
        </w:rPr>
        <w:t> </w:t>
      </w:r>
      <w:r>
        <w:rPr>
          <w:sz w:val="23"/>
        </w:rPr>
        <w:t>bienes,</w:t>
      </w:r>
      <w:r>
        <w:rPr>
          <w:spacing w:val="-11"/>
          <w:sz w:val="23"/>
        </w:rPr>
        <w:t> </w:t>
      </w:r>
      <w:r>
        <w:rPr>
          <w:sz w:val="23"/>
        </w:rPr>
        <w:t>tenencia</w:t>
      </w:r>
      <w:r>
        <w:rPr>
          <w:spacing w:val="-12"/>
          <w:sz w:val="23"/>
        </w:rPr>
        <w:t> </w:t>
      </w:r>
      <w:r>
        <w:rPr>
          <w:sz w:val="23"/>
        </w:rPr>
        <w:t>local</w:t>
      </w:r>
      <w:r>
        <w:rPr>
          <w:spacing w:val="-11"/>
          <w:sz w:val="23"/>
        </w:rPr>
        <w:t> </w:t>
      </w:r>
      <w:r>
        <w:rPr>
          <w:sz w:val="23"/>
        </w:rPr>
        <w:t>de</w:t>
      </w:r>
      <w:r>
        <w:rPr>
          <w:spacing w:val="-11"/>
          <w:sz w:val="23"/>
        </w:rPr>
        <w:t> </w:t>
      </w:r>
      <w:r>
        <w:rPr>
          <w:sz w:val="23"/>
        </w:rPr>
        <w:t>vehículos, automóviles</w:t>
      </w:r>
      <w:r>
        <w:rPr>
          <w:spacing w:val="-17"/>
          <w:sz w:val="23"/>
        </w:rPr>
        <w:t> </w:t>
      </w:r>
      <w:r>
        <w:rPr>
          <w:sz w:val="23"/>
        </w:rPr>
        <w:t>nuevos,</w:t>
      </w:r>
      <w:r>
        <w:rPr>
          <w:spacing w:val="-17"/>
          <w:sz w:val="23"/>
        </w:rPr>
        <w:t> </w:t>
      </w:r>
      <w:r>
        <w:rPr>
          <w:sz w:val="23"/>
        </w:rPr>
        <w:t>servicios</w:t>
      </w:r>
      <w:r>
        <w:rPr>
          <w:spacing w:val="-17"/>
          <w:sz w:val="23"/>
        </w:rPr>
        <w:t> </w:t>
      </w:r>
      <w:r>
        <w:rPr>
          <w:sz w:val="23"/>
        </w:rPr>
        <w:t>profesionales,</w:t>
      </w:r>
      <w:r>
        <w:rPr>
          <w:spacing w:val="-17"/>
          <w:sz w:val="23"/>
        </w:rPr>
        <w:t> </w:t>
      </w:r>
      <w:r>
        <w:rPr>
          <w:sz w:val="23"/>
        </w:rPr>
        <w:t>operaciones</w:t>
      </w:r>
      <w:r>
        <w:rPr>
          <w:spacing w:val="-17"/>
          <w:sz w:val="23"/>
        </w:rPr>
        <w:t> </w:t>
      </w:r>
      <w:r>
        <w:rPr>
          <w:sz w:val="23"/>
        </w:rPr>
        <w:t>contractuales, impuestos cedulares, conceptos adicionales sobre contribuciones locales,</w:t>
      </w:r>
      <w:r>
        <w:rPr>
          <w:spacing w:val="-24"/>
          <w:sz w:val="23"/>
        </w:rPr>
        <w:t> </w:t>
      </w:r>
      <w:r>
        <w:rPr>
          <w:sz w:val="23"/>
        </w:rPr>
        <w:t>y</w:t>
      </w:r>
      <w:r>
        <w:rPr>
          <w:spacing w:val="-24"/>
          <w:sz w:val="23"/>
        </w:rPr>
        <w:t> </w:t>
      </w:r>
      <w:r>
        <w:rPr>
          <w:sz w:val="23"/>
        </w:rPr>
        <w:t>loterías</w:t>
      </w:r>
      <w:r>
        <w:rPr>
          <w:spacing w:val="-24"/>
          <w:sz w:val="23"/>
        </w:rPr>
        <w:t> </w:t>
      </w:r>
      <w:r>
        <w:rPr>
          <w:sz w:val="23"/>
        </w:rPr>
        <w:t>y</w:t>
      </w:r>
      <w:r>
        <w:rPr>
          <w:spacing w:val="-24"/>
          <w:sz w:val="23"/>
        </w:rPr>
        <w:t> </w:t>
      </w:r>
      <w:r>
        <w:rPr>
          <w:sz w:val="23"/>
        </w:rPr>
        <w:t>concursos.</w:t>
      </w:r>
      <w:r>
        <w:rPr>
          <w:spacing w:val="-24"/>
          <w:sz w:val="23"/>
        </w:rPr>
        <w:t> </w:t>
      </w:r>
      <w:r>
        <w:rPr>
          <w:sz w:val="23"/>
        </w:rPr>
        <w:t>Sin</w:t>
      </w:r>
      <w:r>
        <w:rPr>
          <w:spacing w:val="-24"/>
          <w:sz w:val="23"/>
        </w:rPr>
        <w:t> </w:t>
      </w:r>
      <w:r>
        <w:rPr>
          <w:sz w:val="23"/>
        </w:rPr>
        <w:t>embargo,</w:t>
      </w:r>
      <w:r>
        <w:rPr>
          <w:spacing w:val="-24"/>
          <w:sz w:val="23"/>
        </w:rPr>
        <w:t> </w:t>
      </w:r>
      <w:r>
        <w:rPr>
          <w:sz w:val="23"/>
        </w:rPr>
        <w:t>es</w:t>
      </w:r>
      <w:r>
        <w:rPr>
          <w:spacing w:val="-24"/>
          <w:sz w:val="23"/>
        </w:rPr>
        <w:t> </w:t>
      </w:r>
      <w:r>
        <w:rPr>
          <w:sz w:val="23"/>
        </w:rPr>
        <w:t>claro</w:t>
      </w:r>
      <w:r>
        <w:rPr>
          <w:spacing w:val="-24"/>
          <w:sz w:val="23"/>
        </w:rPr>
        <w:t> </w:t>
      </w:r>
      <w:r>
        <w:rPr>
          <w:sz w:val="23"/>
        </w:rPr>
        <w:t>que</w:t>
      </w:r>
      <w:r>
        <w:rPr>
          <w:spacing w:val="-24"/>
          <w:sz w:val="23"/>
        </w:rPr>
        <w:t> </w:t>
      </w:r>
      <w:r>
        <w:rPr>
          <w:sz w:val="23"/>
        </w:rPr>
        <w:t>estas</w:t>
      </w:r>
      <w:r>
        <w:rPr>
          <w:spacing w:val="-24"/>
          <w:sz w:val="23"/>
        </w:rPr>
        <w:t> </w:t>
      </w:r>
      <w:r>
        <w:rPr>
          <w:sz w:val="23"/>
        </w:rPr>
        <w:t>potestades estatales no son aprovechadas en su totalidad por los estados ni por lo municipios, siendo esto también un efecto de la saturación de agenda que provoca el sistema coordinado</w:t>
      </w:r>
      <w:r>
        <w:rPr>
          <w:spacing w:val="-7"/>
          <w:sz w:val="23"/>
        </w:rPr>
        <w:t> </w:t>
      </w:r>
      <w:r>
        <w:rPr>
          <w:sz w:val="23"/>
        </w:rPr>
        <w:t>federal.</w:t>
      </w:r>
    </w:p>
    <w:p>
      <w:pPr>
        <w:pStyle w:val="BodyText"/>
        <w:spacing w:before="7"/>
        <w:rPr>
          <w:sz w:val="22"/>
        </w:rPr>
      </w:pPr>
    </w:p>
    <w:p>
      <w:pPr>
        <w:pStyle w:val="ListParagraph"/>
        <w:numPr>
          <w:ilvl w:val="4"/>
          <w:numId w:val="4"/>
        </w:numPr>
        <w:tabs>
          <w:tab w:pos="678" w:val="left" w:leader="none"/>
        </w:tabs>
        <w:spacing w:line="260" w:lineRule="exact" w:before="0" w:after="0"/>
        <w:ind w:left="677" w:right="114" w:hanging="284"/>
        <w:jc w:val="both"/>
        <w:rPr>
          <w:sz w:val="23"/>
        </w:rPr>
      </w:pPr>
      <w:r>
        <w:rPr>
          <w:sz w:val="23"/>
        </w:rPr>
        <w:t>Por la </w:t>
      </w:r>
      <w:r>
        <w:rPr>
          <w:i/>
          <w:sz w:val="23"/>
        </w:rPr>
        <w:t>evaluación de las sociedades más simples para el ejercicio </w:t>
      </w:r>
      <w:r>
        <w:rPr>
          <w:i/>
          <w:sz w:val="23"/>
        </w:rPr>
        <w:t>subsidiario</w:t>
      </w:r>
      <w:r>
        <w:rPr>
          <w:sz w:val="23"/>
        </w:rPr>
        <w:t>. Se deberá valorar por su naturaleza y circunstancias la eficiencia recaudatoria de los municipios. No obstante, no existan tipologías municipales por estado en función de las capacidades recaudatorias locales.</w:t>
      </w:r>
    </w:p>
    <w:p>
      <w:pPr>
        <w:pStyle w:val="BodyText"/>
        <w:spacing w:before="7"/>
        <w:rPr>
          <w:sz w:val="22"/>
        </w:rPr>
      </w:pPr>
    </w:p>
    <w:p>
      <w:pPr>
        <w:pStyle w:val="ListParagraph"/>
        <w:numPr>
          <w:ilvl w:val="4"/>
          <w:numId w:val="4"/>
        </w:numPr>
        <w:tabs>
          <w:tab w:pos="678" w:val="left" w:leader="none"/>
        </w:tabs>
        <w:spacing w:line="260" w:lineRule="exact" w:before="0" w:after="0"/>
        <w:ind w:left="677" w:right="113" w:hanging="284"/>
        <w:jc w:val="both"/>
        <w:rPr>
          <w:sz w:val="23"/>
        </w:rPr>
      </w:pPr>
      <w:r>
        <w:rPr>
          <w:sz w:val="23"/>
        </w:rPr>
        <w:t>En atención al </w:t>
      </w:r>
      <w:r>
        <w:rPr>
          <w:i/>
          <w:sz w:val="23"/>
        </w:rPr>
        <w:t>avance competencial de las sociedades más simples</w:t>
      </w:r>
      <w:r>
        <w:rPr>
          <w:sz w:val="23"/>
        </w:rPr>
        <w:t>,</w:t>
      </w:r>
      <w:r>
        <w:rPr>
          <w:spacing w:val="-36"/>
          <w:sz w:val="23"/>
        </w:rPr>
        <w:t> </w:t>
      </w:r>
      <w:r>
        <w:rPr>
          <w:sz w:val="23"/>
        </w:rPr>
        <w:t>los municipios</w:t>
      </w:r>
      <w:r>
        <w:rPr>
          <w:spacing w:val="-18"/>
          <w:sz w:val="23"/>
        </w:rPr>
        <w:t> </w:t>
      </w:r>
      <w:r>
        <w:rPr>
          <w:sz w:val="23"/>
        </w:rPr>
        <w:t>deberán</w:t>
      </w:r>
      <w:r>
        <w:rPr>
          <w:spacing w:val="-17"/>
          <w:sz w:val="23"/>
        </w:rPr>
        <w:t> </w:t>
      </w:r>
      <w:r>
        <w:rPr>
          <w:sz w:val="23"/>
        </w:rPr>
        <w:t>procurar</w:t>
      </w:r>
      <w:r>
        <w:rPr>
          <w:spacing w:val="-18"/>
          <w:sz w:val="23"/>
        </w:rPr>
        <w:t> </w:t>
      </w:r>
      <w:r>
        <w:rPr>
          <w:sz w:val="23"/>
        </w:rPr>
        <w:t>la</w:t>
      </w:r>
      <w:r>
        <w:rPr>
          <w:spacing w:val="-18"/>
          <w:sz w:val="23"/>
        </w:rPr>
        <w:t> </w:t>
      </w:r>
      <w:r>
        <w:rPr>
          <w:sz w:val="23"/>
        </w:rPr>
        <w:t>asunción</w:t>
      </w:r>
      <w:r>
        <w:rPr>
          <w:spacing w:val="-18"/>
          <w:sz w:val="23"/>
        </w:rPr>
        <w:t> </w:t>
      </w:r>
      <w:r>
        <w:rPr>
          <w:sz w:val="23"/>
        </w:rPr>
        <w:t>intergubernamental</w:t>
      </w:r>
      <w:r>
        <w:rPr>
          <w:spacing w:val="-17"/>
          <w:sz w:val="23"/>
        </w:rPr>
        <w:t> </w:t>
      </w:r>
      <w:r>
        <w:rPr>
          <w:sz w:val="23"/>
        </w:rPr>
        <w:t>o</w:t>
      </w:r>
      <w:r>
        <w:rPr>
          <w:spacing w:val="-17"/>
          <w:sz w:val="23"/>
        </w:rPr>
        <w:t> </w:t>
      </w:r>
      <w:r>
        <w:rPr>
          <w:sz w:val="23"/>
        </w:rPr>
        <w:t>delegada de las facultades recaudatorias estatales cuya ejecución</w:t>
      </w:r>
      <w:r>
        <w:rPr>
          <w:spacing w:val="-31"/>
          <w:sz w:val="23"/>
        </w:rPr>
        <w:t> </w:t>
      </w:r>
      <w:r>
        <w:rPr>
          <w:sz w:val="23"/>
        </w:rPr>
        <w:t>desconcentrada presente ventajas con relación a la centralizada, y adicionalmente los estados podrán asumir funciones recaudatorias municipales sólo por tiempo y circunstancias determinadas. En general no se encontró un solo ejemplo en la materia que corresponda plenamente a la esencia subsidiaria,</w:t>
      </w:r>
      <w:r>
        <w:rPr>
          <w:spacing w:val="-26"/>
          <w:sz w:val="23"/>
        </w:rPr>
        <w:t> </w:t>
      </w:r>
      <w:r>
        <w:rPr>
          <w:sz w:val="23"/>
        </w:rPr>
        <w:t>por</w:t>
      </w:r>
      <w:r>
        <w:rPr>
          <w:spacing w:val="-27"/>
          <w:sz w:val="23"/>
        </w:rPr>
        <w:t> </w:t>
      </w:r>
      <w:r>
        <w:rPr>
          <w:sz w:val="23"/>
        </w:rPr>
        <w:t>el</w:t>
      </w:r>
      <w:r>
        <w:rPr>
          <w:spacing w:val="-27"/>
          <w:sz w:val="23"/>
        </w:rPr>
        <w:t> </w:t>
      </w:r>
      <w:r>
        <w:rPr>
          <w:sz w:val="23"/>
        </w:rPr>
        <w:t>contrario,</w:t>
      </w:r>
      <w:r>
        <w:rPr>
          <w:spacing w:val="-27"/>
          <w:sz w:val="23"/>
        </w:rPr>
        <w:t> </w:t>
      </w:r>
      <w:r>
        <w:rPr>
          <w:sz w:val="23"/>
        </w:rPr>
        <w:t>existen</w:t>
      </w:r>
      <w:r>
        <w:rPr>
          <w:spacing w:val="-27"/>
          <w:sz w:val="23"/>
        </w:rPr>
        <w:t> </w:t>
      </w:r>
      <w:r>
        <w:rPr>
          <w:sz w:val="23"/>
        </w:rPr>
        <w:t>algunas</w:t>
      </w:r>
      <w:r>
        <w:rPr>
          <w:spacing w:val="-27"/>
          <w:sz w:val="23"/>
        </w:rPr>
        <w:t> </w:t>
      </w:r>
      <w:r>
        <w:rPr>
          <w:sz w:val="23"/>
        </w:rPr>
        <w:t>experiencias</w:t>
      </w:r>
      <w:r>
        <w:rPr>
          <w:spacing w:val="-27"/>
          <w:sz w:val="23"/>
        </w:rPr>
        <w:t> </w:t>
      </w:r>
      <w:r>
        <w:rPr>
          <w:sz w:val="23"/>
        </w:rPr>
        <w:t>de</w:t>
      </w:r>
      <w:r>
        <w:rPr>
          <w:spacing w:val="-27"/>
          <w:sz w:val="23"/>
        </w:rPr>
        <w:t> </w:t>
      </w:r>
      <w:r>
        <w:rPr>
          <w:sz w:val="23"/>
        </w:rPr>
        <w:t>suplencia</w:t>
      </w:r>
      <w:r>
        <w:rPr>
          <w:spacing w:val="-26"/>
          <w:sz w:val="23"/>
        </w:rPr>
        <w:t> </w:t>
      </w:r>
      <w:r>
        <w:rPr>
          <w:sz w:val="23"/>
        </w:rPr>
        <w:t>en la</w:t>
      </w:r>
      <w:r>
        <w:rPr>
          <w:spacing w:val="-10"/>
          <w:sz w:val="23"/>
        </w:rPr>
        <w:t> </w:t>
      </w:r>
      <w:r>
        <w:rPr>
          <w:sz w:val="23"/>
        </w:rPr>
        <w:t>autorresponsabilidad</w:t>
      </w:r>
      <w:r>
        <w:rPr>
          <w:spacing w:val="-11"/>
          <w:sz w:val="23"/>
        </w:rPr>
        <w:t> </w:t>
      </w:r>
      <w:r>
        <w:rPr>
          <w:sz w:val="23"/>
        </w:rPr>
        <w:t>municipal;</w:t>
      </w:r>
      <w:r>
        <w:rPr>
          <w:spacing w:val="-10"/>
          <w:sz w:val="23"/>
        </w:rPr>
        <w:t> </w:t>
      </w:r>
      <w:r>
        <w:rPr>
          <w:sz w:val="23"/>
        </w:rPr>
        <w:t>en</w:t>
      </w:r>
      <w:r>
        <w:rPr>
          <w:spacing w:val="-10"/>
          <w:sz w:val="23"/>
        </w:rPr>
        <w:t> </w:t>
      </w:r>
      <w:r>
        <w:rPr>
          <w:sz w:val="23"/>
        </w:rPr>
        <w:t>Jalisco,</w:t>
      </w:r>
      <w:r>
        <w:rPr>
          <w:spacing w:val="-9"/>
          <w:sz w:val="23"/>
        </w:rPr>
        <w:t> </w:t>
      </w:r>
      <w:r>
        <w:rPr>
          <w:sz w:val="23"/>
        </w:rPr>
        <w:t>el</w:t>
      </w:r>
      <w:r>
        <w:rPr>
          <w:spacing w:val="-10"/>
          <w:sz w:val="23"/>
        </w:rPr>
        <w:t> </w:t>
      </w:r>
      <w:r>
        <w:rPr>
          <w:sz w:val="23"/>
        </w:rPr>
        <w:t>gobierno</w:t>
      </w:r>
      <w:r>
        <w:rPr>
          <w:spacing w:val="-10"/>
          <w:sz w:val="23"/>
        </w:rPr>
        <w:t> </w:t>
      </w:r>
      <w:r>
        <w:rPr>
          <w:sz w:val="23"/>
        </w:rPr>
        <w:t>estatal</w:t>
      </w:r>
      <w:r>
        <w:rPr>
          <w:spacing w:val="-10"/>
          <w:sz w:val="23"/>
        </w:rPr>
        <w:t> </w:t>
      </w:r>
      <w:r>
        <w:rPr>
          <w:sz w:val="23"/>
        </w:rPr>
        <w:t>asume por conveniencia administrativa y bajo consenso el cobro espontáneo  y coactivo de infracciones de tránsito y de multas por estacionómetros; en Morelos, por la autolimitación de algunos municipios, la estructura administrativa del estado continua administrando algunos padrones catastrales y los trámites de los</w:t>
      </w:r>
      <w:r>
        <w:rPr>
          <w:spacing w:val="-4"/>
          <w:sz w:val="23"/>
        </w:rPr>
        <w:t> </w:t>
      </w:r>
      <w:r>
        <w:rPr>
          <w:sz w:val="23"/>
        </w:rPr>
        <w:t>mismos.</w:t>
      </w:r>
    </w:p>
    <w:p>
      <w:pPr>
        <w:pStyle w:val="BodyText"/>
        <w:spacing w:before="7"/>
        <w:rPr>
          <w:sz w:val="22"/>
        </w:rPr>
      </w:pPr>
    </w:p>
    <w:p>
      <w:pPr>
        <w:pStyle w:val="BodyText"/>
        <w:spacing w:line="260" w:lineRule="exact"/>
        <w:ind w:left="110" w:right="114"/>
        <w:jc w:val="both"/>
      </w:pPr>
      <w:r>
        <w:rPr/>
        <w:t>Según la escala de evaluación definida en el presente capítulo, el promedio general</w:t>
      </w:r>
      <w:r>
        <w:rPr>
          <w:spacing w:val="-13"/>
        </w:rPr>
        <w:t> </w:t>
      </w:r>
      <w:r>
        <w:rPr/>
        <w:t>de</w:t>
      </w:r>
      <w:r>
        <w:rPr>
          <w:spacing w:val="-13"/>
        </w:rPr>
        <w:t> </w:t>
      </w:r>
      <w:r>
        <w:rPr/>
        <w:t>los</w:t>
      </w:r>
      <w:r>
        <w:rPr>
          <w:spacing w:val="-13"/>
        </w:rPr>
        <w:t> </w:t>
      </w:r>
      <w:r>
        <w:rPr/>
        <w:t>sistemas</w:t>
      </w:r>
      <w:r>
        <w:rPr>
          <w:spacing w:val="-13"/>
        </w:rPr>
        <w:t> </w:t>
      </w:r>
      <w:r>
        <w:rPr/>
        <w:t>estatales</w:t>
      </w:r>
      <w:r>
        <w:rPr>
          <w:spacing w:val="-13"/>
        </w:rPr>
        <w:t> </w:t>
      </w:r>
      <w:r>
        <w:rPr/>
        <w:t>de</w:t>
      </w:r>
      <w:r>
        <w:rPr>
          <w:spacing w:val="-13"/>
        </w:rPr>
        <w:t> </w:t>
      </w:r>
      <w:r>
        <w:rPr/>
        <w:t>coordinación</w:t>
      </w:r>
      <w:r>
        <w:rPr>
          <w:spacing w:val="-13"/>
        </w:rPr>
        <w:t> </w:t>
      </w:r>
      <w:r>
        <w:rPr/>
        <w:t>fiscal</w:t>
      </w:r>
      <w:r>
        <w:rPr>
          <w:spacing w:val="-13"/>
        </w:rPr>
        <w:t> </w:t>
      </w:r>
      <w:r>
        <w:rPr/>
        <w:t>revisados</w:t>
      </w:r>
      <w:r>
        <w:rPr>
          <w:spacing w:val="-13"/>
        </w:rPr>
        <w:t> </w:t>
      </w:r>
      <w:r>
        <w:rPr/>
        <w:t>en</w:t>
      </w:r>
      <w:r>
        <w:rPr>
          <w:spacing w:val="-13"/>
        </w:rPr>
        <w:t> </w:t>
      </w:r>
      <w:r>
        <w:rPr/>
        <w:t>el</w:t>
      </w:r>
      <w:r>
        <w:rPr>
          <w:spacing w:val="-13"/>
        </w:rPr>
        <w:t> </w:t>
      </w:r>
      <w:r>
        <w:rPr/>
        <w:t>análisis antecedente</w:t>
      </w:r>
      <w:r>
        <w:rPr>
          <w:spacing w:val="47"/>
        </w:rPr>
        <w:t> </w:t>
      </w:r>
      <w:r>
        <w:rPr/>
        <w:t>de</w:t>
      </w:r>
      <w:r>
        <w:rPr>
          <w:spacing w:val="48"/>
        </w:rPr>
        <w:t> </w:t>
      </w:r>
      <w:r>
        <w:rPr/>
        <w:t>seis</w:t>
      </w:r>
      <w:r>
        <w:rPr>
          <w:spacing w:val="48"/>
        </w:rPr>
        <w:t> </w:t>
      </w:r>
      <w:r>
        <w:rPr/>
        <w:t>gobiernos</w:t>
      </w:r>
      <w:r>
        <w:rPr>
          <w:spacing w:val="48"/>
        </w:rPr>
        <w:t> </w:t>
      </w:r>
      <w:r>
        <w:rPr/>
        <w:t>estatales</w:t>
      </w:r>
      <w:r>
        <w:rPr>
          <w:spacing w:val="47"/>
        </w:rPr>
        <w:t> </w:t>
      </w:r>
      <w:r>
        <w:rPr/>
        <w:t>fue</w:t>
      </w:r>
      <w:r>
        <w:rPr>
          <w:spacing w:val="48"/>
        </w:rPr>
        <w:t> </w:t>
      </w:r>
      <w:r>
        <w:rPr/>
        <w:t>de</w:t>
      </w:r>
      <w:r>
        <w:rPr>
          <w:spacing w:val="48"/>
        </w:rPr>
        <w:t> </w:t>
      </w:r>
      <w:r>
        <w:rPr/>
        <w:t>1.54</w:t>
      </w:r>
      <w:r>
        <w:rPr>
          <w:spacing w:val="48"/>
        </w:rPr>
        <w:t> </w:t>
      </w:r>
      <w:r>
        <w:rPr/>
        <w:t>para</w:t>
      </w:r>
      <w:r>
        <w:rPr>
          <w:spacing w:val="48"/>
        </w:rPr>
        <w:t> </w:t>
      </w:r>
      <w:r>
        <w:rPr/>
        <w:t>abordar</w:t>
      </w:r>
      <w:r>
        <w:rPr>
          <w:spacing w:val="47"/>
        </w:rPr>
        <w:t> </w:t>
      </w:r>
      <w:r>
        <w:rPr/>
        <w:t>el</w:t>
      </w:r>
      <w:r>
        <w:rPr>
          <w:spacing w:val="48"/>
        </w:rPr>
        <w:t> </w:t>
      </w:r>
      <w:r>
        <w:rPr/>
        <w:t>caso</w:t>
      </w:r>
    </w:p>
    <w:p>
      <w:pPr>
        <w:spacing w:after="0" w:line="260" w:lineRule="exact"/>
        <w:jc w:val="both"/>
        <w:sectPr>
          <w:pgSz w:w="9360" w:h="13040"/>
          <w:pgMar w:header="523" w:footer="513" w:top="720" w:bottom="700" w:left="740" w:right="1300"/>
        </w:sectPr>
      </w:pPr>
    </w:p>
    <w:p>
      <w:pPr>
        <w:pStyle w:val="BodyText"/>
        <w:spacing w:before="11"/>
        <w:rPr>
          <w:sz w:val="29"/>
        </w:rPr>
      </w:pPr>
    </w:p>
    <w:p>
      <w:pPr>
        <w:pStyle w:val="BodyText"/>
        <w:spacing w:line="262" w:lineRule="exact" w:before="70"/>
        <w:ind w:left="117"/>
        <w:jc w:val="both"/>
      </w:pPr>
      <w:r>
        <w:rPr/>
        <w:t>de la coordinación fiscal entre el gobierno del estado y los ayuntamientos</w:t>
      </w:r>
    </w:p>
    <w:p>
      <w:pPr>
        <w:pStyle w:val="BodyText"/>
        <w:spacing w:line="262" w:lineRule="exact"/>
        <w:ind w:left="117"/>
        <w:jc w:val="both"/>
      </w:pPr>
      <w:r>
        <w:rPr/>
        <w:t>hidalguenses, la siguiente sección presenta un breve análisis relativo.</w:t>
      </w:r>
    </w:p>
    <w:p>
      <w:pPr>
        <w:pStyle w:val="BodyText"/>
        <w:spacing w:before="9"/>
        <w:rPr>
          <w:sz w:val="22"/>
        </w:rPr>
      </w:pPr>
    </w:p>
    <w:p>
      <w:pPr>
        <w:pStyle w:val="Heading3"/>
        <w:spacing w:line="260" w:lineRule="exact"/>
        <w:ind w:right="108"/>
      </w:pPr>
      <w:r>
        <w:rPr/>
        <w:t>La letra muerta de la Ley de Coordinación Fiscal para el Estado de Hidalgo.</w:t>
      </w:r>
    </w:p>
    <w:p>
      <w:pPr>
        <w:pStyle w:val="BodyText"/>
        <w:spacing w:before="7"/>
        <w:rPr>
          <w:b/>
          <w:sz w:val="22"/>
        </w:rPr>
      </w:pPr>
    </w:p>
    <w:p>
      <w:pPr>
        <w:pStyle w:val="BodyText"/>
        <w:spacing w:line="260" w:lineRule="exact"/>
        <w:ind w:left="117" w:right="108"/>
        <w:jc w:val="both"/>
      </w:pPr>
      <w:r>
        <w:rPr/>
        <w:t>La</w:t>
      </w:r>
      <w:r>
        <w:rPr>
          <w:spacing w:val="-4"/>
        </w:rPr>
        <w:t> </w:t>
      </w:r>
      <w:r>
        <w:rPr/>
        <w:t>Ley</w:t>
      </w:r>
      <w:r>
        <w:rPr>
          <w:spacing w:val="-4"/>
        </w:rPr>
        <w:t> </w:t>
      </w:r>
      <w:r>
        <w:rPr/>
        <w:t>de</w:t>
      </w:r>
      <w:r>
        <w:rPr>
          <w:spacing w:val="-4"/>
        </w:rPr>
        <w:t> </w:t>
      </w:r>
      <w:r>
        <w:rPr/>
        <w:t>Coordinación</w:t>
      </w:r>
      <w:r>
        <w:rPr>
          <w:spacing w:val="-4"/>
        </w:rPr>
        <w:t> </w:t>
      </w:r>
      <w:r>
        <w:rPr/>
        <w:t>Fiscal</w:t>
      </w:r>
      <w:r>
        <w:rPr>
          <w:spacing w:val="-4"/>
        </w:rPr>
        <w:t> </w:t>
      </w:r>
      <w:r>
        <w:rPr/>
        <w:t>para</w:t>
      </w:r>
      <w:r>
        <w:rPr>
          <w:spacing w:val="-4"/>
        </w:rPr>
        <w:t> </w:t>
      </w:r>
      <w:r>
        <w:rPr/>
        <w:t>el</w:t>
      </w:r>
      <w:r>
        <w:rPr>
          <w:spacing w:val="-4"/>
        </w:rPr>
        <w:t> </w:t>
      </w:r>
      <w:r>
        <w:rPr/>
        <w:t>Estado</w:t>
      </w:r>
      <w:r>
        <w:rPr>
          <w:spacing w:val="-4"/>
        </w:rPr>
        <w:t> </w:t>
      </w:r>
      <w:r>
        <w:rPr/>
        <w:t>de</w:t>
      </w:r>
      <w:r>
        <w:rPr>
          <w:spacing w:val="-4"/>
        </w:rPr>
        <w:t> </w:t>
      </w:r>
      <w:r>
        <w:rPr/>
        <w:t>Hidalgo</w:t>
      </w:r>
      <w:r>
        <w:rPr>
          <w:spacing w:val="-4"/>
        </w:rPr>
        <w:t> </w:t>
      </w:r>
      <w:r>
        <w:rPr/>
        <w:t>define</w:t>
      </w:r>
      <w:r>
        <w:rPr>
          <w:spacing w:val="-4"/>
        </w:rPr>
        <w:t> </w:t>
      </w:r>
      <w:r>
        <w:rPr/>
        <w:t>que</w:t>
      </w:r>
      <w:r>
        <w:rPr>
          <w:spacing w:val="-4"/>
        </w:rPr>
        <w:t> </w:t>
      </w:r>
      <w:r>
        <w:rPr/>
        <w:t>el</w:t>
      </w:r>
      <w:r>
        <w:rPr>
          <w:spacing w:val="-4"/>
        </w:rPr>
        <w:t> </w:t>
      </w:r>
      <w:r>
        <w:rPr/>
        <w:t>SECF contará con una Comisión Permanente de Funcionarios Fiscales a manera de asamblea para el trabajo coordinado </w:t>
      </w:r>
      <w:r>
        <w:rPr>
          <w:spacing w:val="-4"/>
        </w:rPr>
        <w:t>(CPFF, </w:t>
      </w:r>
      <w:r>
        <w:rPr/>
        <w:t>artículo 16), integrada por un representante de la Secretaría de Finanzas del Estado, un representante del órgano</w:t>
      </w:r>
      <w:r>
        <w:rPr>
          <w:spacing w:val="-27"/>
        </w:rPr>
        <w:t> </w:t>
      </w:r>
      <w:r>
        <w:rPr/>
        <w:t>de</w:t>
      </w:r>
      <w:r>
        <w:rPr>
          <w:spacing w:val="-27"/>
        </w:rPr>
        <w:t> </w:t>
      </w:r>
      <w:r>
        <w:rPr/>
        <w:t>fiscalización</w:t>
      </w:r>
      <w:r>
        <w:rPr>
          <w:spacing w:val="-27"/>
        </w:rPr>
        <w:t> </w:t>
      </w:r>
      <w:r>
        <w:rPr/>
        <w:t>superior,</w:t>
      </w:r>
      <w:r>
        <w:rPr>
          <w:spacing w:val="-27"/>
        </w:rPr>
        <w:t> </w:t>
      </w:r>
      <w:r>
        <w:rPr/>
        <w:t>un</w:t>
      </w:r>
      <w:r>
        <w:rPr>
          <w:spacing w:val="-27"/>
        </w:rPr>
        <w:t> </w:t>
      </w:r>
      <w:r>
        <w:rPr/>
        <w:t>representante</w:t>
      </w:r>
      <w:r>
        <w:rPr>
          <w:spacing w:val="-27"/>
        </w:rPr>
        <w:t> </w:t>
      </w:r>
      <w:r>
        <w:rPr/>
        <w:t>de</w:t>
      </w:r>
      <w:r>
        <w:rPr>
          <w:spacing w:val="-27"/>
        </w:rPr>
        <w:t> </w:t>
      </w:r>
      <w:r>
        <w:rPr/>
        <w:t>la</w:t>
      </w:r>
      <w:r>
        <w:rPr>
          <w:spacing w:val="-27"/>
        </w:rPr>
        <w:t> </w:t>
      </w:r>
      <w:r>
        <w:rPr/>
        <w:t>Secretaría</w:t>
      </w:r>
      <w:r>
        <w:rPr>
          <w:spacing w:val="-27"/>
        </w:rPr>
        <w:t> </w:t>
      </w:r>
      <w:r>
        <w:rPr/>
        <w:t>de</w:t>
      </w:r>
      <w:r>
        <w:rPr>
          <w:spacing w:val="-27"/>
        </w:rPr>
        <w:t> </w:t>
      </w:r>
      <w:r>
        <w:rPr/>
        <w:t>Desarrollo Social y 7 representantes de los municipios, de los cuales se elegirán uno por cada</w:t>
      </w:r>
      <w:r>
        <w:rPr>
          <w:spacing w:val="-10"/>
        </w:rPr>
        <w:t> </w:t>
      </w:r>
      <w:r>
        <w:rPr/>
        <w:t>zona,</w:t>
      </w:r>
      <w:r>
        <w:rPr>
          <w:spacing w:val="-10"/>
        </w:rPr>
        <w:t> </w:t>
      </w:r>
      <w:r>
        <w:rPr/>
        <w:t>para</w:t>
      </w:r>
      <w:r>
        <w:rPr>
          <w:spacing w:val="-10"/>
        </w:rPr>
        <w:t> </w:t>
      </w:r>
      <w:r>
        <w:rPr/>
        <w:t>lo</w:t>
      </w:r>
      <w:r>
        <w:rPr>
          <w:spacing w:val="-10"/>
        </w:rPr>
        <w:t> </w:t>
      </w:r>
      <w:r>
        <w:rPr/>
        <w:t>cual</w:t>
      </w:r>
      <w:r>
        <w:rPr>
          <w:spacing w:val="-10"/>
        </w:rPr>
        <w:t> </w:t>
      </w:r>
      <w:r>
        <w:rPr/>
        <w:t>la</w:t>
      </w:r>
      <w:r>
        <w:rPr>
          <w:spacing w:val="-10"/>
        </w:rPr>
        <w:t> </w:t>
      </w:r>
      <w:r>
        <w:rPr/>
        <w:t>misma</w:t>
      </w:r>
      <w:r>
        <w:rPr>
          <w:spacing w:val="-10"/>
        </w:rPr>
        <w:t> </w:t>
      </w:r>
      <w:r>
        <w:rPr/>
        <w:t>ley</w:t>
      </w:r>
      <w:r>
        <w:rPr>
          <w:spacing w:val="-10"/>
        </w:rPr>
        <w:t> </w:t>
      </w:r>
      <w:r>
        <w:rPr/>
        <w:t>señala</w:t>
      </w:r>
      <w:r>
        <w:rPr>
          <w:spacing w:val="-9"/>
        </w:rPr>
        <w:t> </w:t>
      </w:r>
      <w:r>
        <w:rPr/>
        <w:t>una</w:t>
      </w:r>
      <w:r>
        <w:rPr>
          <w:spacing w:val="-10"/>
        </w:rPr>
        <w:t> </w:t>
      </w:r>
      <w:r>
        <w:rPr/>
        <w:t>regionalización</w:t>
      </w:r>
      <w:r>
        <w:rPr>
          <w:spacing w:val="-10"/>
        </w:rPr>
        <w:t> </w:t>
      </w:r>
      <w:r>
        <w:rPr/>
        <w:t>de</w:t>
      </w:r>
      <w:r>
        <w:rPr>
          <w:spacing w:val="-10"/>
        </w:rPr>
        <w:t> </w:t>
      </w:r>
      <w:r>
        <w:rPr/>
        <w:t>municipios en el</w:t>
      </w:r>
      <w:r>
        <w:rPr>
          <w:spacing w:val="-1"/>
        </w:rPr>
        <w:t> </w:t>
      </w:r>
      <w:r>
        <w:rPr/>
        <w:t>estado.</w:t>
      </w:r>
    </w:p>
    <w:p>
      <w:pPr>
        <w:pStyle w:val="BodyText"/>
        <w:spacing w:before="4"/>
        <w:rPr>
          <w:sz w:val="22"/>
        </w:rPr>
      </w:pPr>
    </w:p>
    <w:p>
      <w:pPr>
        <w:pStyle w:val="BodyText"/>
        <w:spacing w:line="235" w:lineRule="auto"/>
        <w:ind w:left="117" w:right="107"/>
        <w:jc w:val="both"/>
      </w:pPr>
      <w:r>
        <w:rPr/>
        <w:t>Pese a la existencia de esta base jurídica, la CPFF no se ha instalado nunca, por</w:t>
      </w:r>
      <w:r>
        <w:rPr>
          <w:spacing w:val="-7"/>
        </w:rPr>
        <w:t> </w:t>
      </w:r>
      <w:r>
        <w:rPr/>
        <w:t>lo</w:t>
      </w:r>
      <w:r>
        <w:rPr>
          <w:spacing w:val="-7"/>
        </w:rPr>
        <w:t> </w:t>
      </w:r>
      <w:r>
        <w:rPr/>
        <w:t>que</w:t>
      </w:r>
      <w:r>
        <w:rPr>
          <w:spacing w:val="-7"/>
        </w:rPr>
        <w:t> </w:t>
      </w:r>
      <w:r>
        <w:rPr/>
        <w:t>no</w:t>
      </w:r>
      <w:r>
        <w:rPr>
          <w:spacing w:val="-7"/>
        </w:rPr>
        <w:t> </w:t>
      </w:r>
      <w:r>
        <w:rPr/>
        <w:t>existe</w:t>
      </w:r>
      <w:r>
        <w:rPr>
          <w:spacing w:val="-7"/>
        </w:rPr>
        <w:t> </w:t>
      </w:r>
      <w:r>
        <w:rPr/>
        <w:t>un</w:t>
      </w:r>
      <w:r>
        <w:rPr>
          <w:spacing w:val="-7"/>
        </w:rPr>
        <w:t> </w:t>
      </w:r>
      <w:r>
        <w:rPr/>
        <w:t>SECF</w:t>
      </w:r>
      <w:r>
        <w:rPr>
          <w:spacing w:val="-7"/>
        </w:rPr>
        <w:t> </w:t>
      </w:r>
      <w:r>
        <w:rPr/>
        <w:t>que</w:t>
      </w:r>
      <w:r>
        <w:rPr>
          <w:spacing w:val="-7"/>
        </w:rPr>
        <w:t> </w:t>
      </w:r>
      <w:r>
        <w:rPr/>
        <w:t>opere</w:t>
      </w:r>
      <w:r>
        <w:rPr>
          <w:spacing w:val="-7"/>
        </w:rPr>
        <w:t> </w:t>
      </w:r>
      <w:r>
        <w:rPr/>
        <w:t>en</w:t>
      </w:r>
      <w:r>
        <w:rPr>
          <w:spacing w:val="-7"/>
        </w:rPr>
        <w:t> </w:t>
      </w:r>
      <w:r>
        <w:rPr/>
        <w:t>la</w:t>
      </w:r>
      <w:r>
        <w:rPr>
          <w:spacing w:val="-7"/>
        </w:rPr>
        <w:t> </w:t>
      </w:r>
      <w:r>
        <w:rPr/>
        <w:t>práctica.</w:t>
      </w:r>
      <w:r>
        <w:rPr>
          <w:spacing w:val="-7"/>
        </w:rPr>
        <w:t> </w:t>
      </w:r>
      <w:r>
        <w:rPr/>
        <w:t>El</w:t>
      </w:r>
      <w:r>
        <w:rPr>
          <w:spacing w:val="-7"/>
        </w:rPr>
        <w:t> </w:t>
      </w:r>
      <w:r>
        <w:rPr/>
        <w:t>gobierno</w:t>
      </w:r>
      <w:r>
        <w:rPr>
          <w:spacing w:val="-7"/>
        </w:rPr>
        <w:t> </w:t>
      </w:r>
      <w:r>
        <w:rPr/>
        <w:t>del</w:t>
      </w:r>
      <w:r>
        <w:rPr>
          <w:spacing w:val="-7"/>
        </w:rPr>
        <w:t> </w:t>
      </w:r>
      <w:r>
        <w:rPr/>
        <w:t>Estado de Hidalgo oficialmente lo expresó de la siguiente forma: </w:t>
      </w:r>
      <w:r>
        <w:rPr>
          <w:i/>
        </w:rPr>
        <w:t>no sean </w:t>
      </w:r>
      <w:r>
        <w:rPr/>
        <w:t>(sic) </w:t>
      </w:r>
      <w:r>
        <w:rPr>
          <w:i/>
        </w:rPr>
        <w:t>celebrado reuniones de la Comisión Permanente de Funcionarios Fiscales</w:t>
      </w:r>
      <w:r>
        <w:rPr>
          <w:i/>
          <w:position w:val="8"/>
          <w:sz w:val="13"/>
        </w:rPr>
        <w:t>45</w:t>
      </w:r>
      <w:r>
        <w:rPr/>
        <w:t>. Otra versión del gobierno estatal afirma que la Secretaría de Finanzas en funciones durante el año 2010 tenía la idea de crearlo siendo ella el eje</w:t>
      </w:r>
      <w:r>
        <w:rPr>
          <w:spacing w:val="-32"/>
        </w:rPr>
        <w:t> </w:t>
      </w:r>
      <w:r>
        <w:rPr/>
        <w:t>rector del</w:t>
      </w:r>
      <w:r>
        <w:rPr>
          <w:spacing w:val="-16"/>
        </w:rPr>
        <w:t> </w:t>
      </w:r>
      <w:r>
        <w:rPr/>
        <w:t>sistema,</w:t>
      </w:r>
      <w:r>
        <w:rPr>
          <w:spacing w:val="-16"/>
        </w:rPr>
        <w:t> </w:t>
      </w:r>
      <w:r>
        <w:rPr/>
        <w:t>sin</w:t>
      </w:r>
      <w:r>
        <w:rPr>
          <w:spacing w:val="-16"/>
        </w:rPr>
        <w:t> </w:t>
      </w:r>
      <w:r>
        <w:rPr/>
        <w:t>embargo,</w:t>
      </w:r>
      <w:r>
        <w:rPr>
          <w:spacing w:val="-16"/>
        </w:rPr>
        <w:t> </w:t>
      </w:r>
      <w:r>
        <w:rPr/>
        <w:t>lo</w:t>
      </w:r>
      <w:r>
        <w:rPr>
          <w:spacing w:val="-16"/>
        </w:rPr>
        <w:t> </w:t>
      </w:r>
      <w:r>
        <w:rPr/>
        <w:t>reducido</w:t>
      </w:r>
      <w:r>
        <w:rPr>
          <w:spacing w:val="-16"/>
        </w:rPr>
        <w:t> </w:t>
      </w:r>
      <w:r>
        <w:rPr/>
        <w:t>del</w:t>
      </w:r>
      <w:r>
        <w:rPr>
          <w:spacing w:val="-16"/>
        </w:rPr>
        <w:t> </w:t>
      </w:r>
      <w:r>
        <w:rPr/>
        <w:t>periodo</w:t>
      </w:r>
      <w:r>
        <w:rPr>
          <w:spacing w:val="-16"/>
        </w:rPr>
        <w:t> </w:t>
      </w:r>
      <w:r>
        <w:rPr/>
        <w:t>municipal</w:t>
      </w:r>
      <w:r>
        <w:rPr>
          <w:spacing w:val="-16"/>
        </w:rPr>
        <w:t> </w:t>
      </w:r>
      <w:r>
        <w:rPr/>
        <w:t>y</w:t>
      </w:r>
      <w:r>
        <w:rPr>
          <w:spacing w:val="-16"/>
        </w:rPr>
        <w:t> </w:t>
      </w:r>
      <w:r>
        <w:rPr/>
        <w:t>la</w:t>
      </w:r>
      <w:r>
        <w:rPr>
          <w:spacing w:val="-16"/>
        </w:rPr>
        <w:t> </w:t>
      </w:r>
      <w:r>
        <w:rPr/>
        <w:t>poca</w:t>
      </w:r>
      <w:r>
        <w:rPr>
          <w:spacing w:val="-16"/>
        </w:rPr>
        <w:t> </w:t>
      </w:r>
      <w:r>
        <w:rPr/>
        <w:t>voluntad de</w:t>
      </w:r>
      <w:r>
        <w:rPr>
          <w:spacing w:val="-12"/>
        </w:rPr>
        <w:t> </w:t>
      </w:r>
      <w:r>
        <w:rPr/>
        <w:t>los</w:t>
      </w:r>
      <w:r>
        <w:rPr>
          <w:spacing w:val="-12"/>
        </w:rPr>
        <w:t> </w:t>
      </w:r>
      <w:r>
        <w:rPr/>
        <w:t>munícipes</w:t>
      </w:r>
      <w:r>
        <w:rPr>
          <w:spacing w:val="-13"/>
        </w:rPr>
        <w:t> </w:t>
      </w:r>
      <w:r>
        <w:rPr/>
        <w:t>fueron</w:t>
      </w:r>
      <w:r>
        <w:rPr>
          <w:spacing w:val="-12"/>
        </w:rPr>
        <w:t> </w:t>
      </w:r>
      <w:r>
        <w:rPr/>
        <w:t>los</w:t>
      </w:r>
      <w:r>
        <w:rPr>
          <w:spacing w:val="-12"/>
        </w:rPr>
        <w:t> </w:t>
      </w:r>
      <w:r>
        <w:rPr/>
        <w:t>factores</w:t>
      </w:r>
      <w:r>
        <w:rPr>
          <w:spacing w:val="-12"/>
        </w:rPr>
        <w:t> </w:t>
      </w:r>
      <w:r>
        <w:rPr/>
        <w:t>que</w:t>
      </w:r>
      <w:r>
        <w:rPr>
          <w:spacing w:val="-12"/>
        </w:rPr>
        <w:t> </w:t>
      </w:r>
      <w:r>
        <w:rPr/>
        <w:t>obstaculizaron</w:t>
      </w:r>
      <w:r>
        <w:rPr>
          <w:spacing w:val="-12"/>
        </w:rPr>
        <w:t> </w:t>
      </w:r>
      <w:r>
        <w:rPr/>
        <w:t>el</w:t>
      </w:r>
      <w:r>
        <w:rPr>
          <w:spacing w:val="-12"/>
        </w:rPr>
        <w:t> </w:t>
      </w:r>
      <w:r>
        <w:rPr/>
        <w:t>proyecto</w:t>
      </w:r>
      <w:r>
        <w:rPr>
          <w:position w:val="8"/>
          <w:sz w:val="13"/>
        </w:rPr>
        <w:t>46</w:t>
      </w:r>
      <w:r>
        <w:rPr/>
        <w:t>.</w:t>
      </w:r>
      <w:r>
        <w:rPr>
          <w:spacing w:val="-25"/>
        </w:rPr>
        <w:t> </w:t>
      </w:r>
      <w:r>
        <w:rPr/>
        <w:t>Algunas administraciones municipales han argumentado que tendrían que contratar personal especializado, otras simplemente expresan: </w:t>
      </w:r>
      <w:r>
        <w:rPr>
          <w:i/>
        </w:rPr>
        <w:t>no nos hemos avocado </w:t>
      </w:r>
      <w:r>
        <w:rPr>
          <w:i/>
        </w:rPr>
        <w:t>en ese</w:t>
      </w:r>
      <w:r>
        <w:rPr>
          <w:i/>
          <w:spacing w:val="-4"/>
        </w:rPr>
        <w:t> </w:t>
      </w:r>
      <w:r>
        <w:rPr>
          <w:i/>
        </w:rPr>
        <w:t>sentido</w:t>
      </w:r>
      <w:r>
        <w:rPr>
          <w:position w:val="8"/>
          <w:sz w:val="13"/>
        </w:rPr>
        <w:t>47</w:t>
      </w:r>
      <w:r>
        <w:rPr/>
        <w:t>.</w:t>
      </w:r>
    </w:p>
    <w:p>
      <w:pPr>
        <w:pStyle w:val="BodyText"/>
        <w:spacing w:before="10"/>
        <w:rPr>
          <w:sz w:val="22"/>
        </w:rPr>
      </w:pPr>
    </w:p>
    <w:p>
      <w:pPr>
        <w:pStyle w:val="BodyText"/>
        <w:spacing w:line="260" w:lineRule="exact"/>
        <w:ind w:left="117" w:right="107"/>
        <w:jc w:val="both"/>
      </w:pPr>
      <w:r>
        <w:rPr/>
        <w:t>Ante la falta de un SECF, las relaciones entre el estado y los municipios hidalguenses  tienen  las  siguientes  modalidades  según  el  asunto  a tratar:</w:t>
      </w:r>
    </w:p>
    <w:p>
      <w:pPr>
        <w:pStyle w:val="ListParagraph"/>
        <w:numPr>
          <w:ilvl w:val="0"/>
          <w:numId w:val="5"/>
        </w:numPr>
        <w:tabs>
          <w:tab w:pos="387" w:val="left" w:leader="none"/>
        </w:tabs>
        <w:spacing w:line="255" w:lineRule="exact" w:before="0" w:after="0"/>
        <w:ind w:left="117" w:right="0" w:firstLine="0"/>
        <w:jc w:val="both"/>
        <w:rPr>
          <w:sz w:val="23"/>
        </w:rPr>
      </w:pPr>
      <w:r>
        <w:rPr>
          <w:sz w:val="23"/>
        </w:rPr>
        <w:t>la</w:t>
      </w:r>
      <w:r>
        <w:rPr>
          <w:spacing w:val="31"/>
          <w:sz w:val="23"/>
        </w:rPr>
        <w:t> </w:t>
      </w:r>
      <w:r>
        <w:rPr>
          <w:sz w:val="23"/>
        </w:rPr>
        <w:t>autoridad</w:t>
      </w:r>
      <w:r>
        <w:rPr>
          <w:spacing w:val="31"/>
          <w:sz w:val="23"/>
        </w:rPr>
        <w:t> </w:t>
      </w:r>
      <w:r>
        <w:rPr>
          <w:sz w:val="23"/>
        </w:rPr>
        <w:t>estatal</w:t>
      </w:r>
      <w:r>
        <w:rPr>
          <w:spacing w:val="31"/>
          <w:sz w:val="23"/>
        </w:rPr>
        <w:t> </w:t>
      </w:r>
      <w:r>
        <w:rPr>
          <w:sz w:val="23"/>
        </w:rPr>
        <w:t>acostumbra</w:t>
      </w:r>
      <w:r>
        <w:rPr>
          <w:spacing w:val="31"/>
          <w:sz w:val="23"/>
        </w:rPr>
        <w:t> </w:t>
      </w:r>
      <w:r>
        <w:rPr>
          <w:sz w:val="23"/>
        </w:rPr>
        <w:t>comunicar</w:t>
      </w:r>
      <w:r>
        <w:rPr>
          <w:spacing w:val="31"/>
          <w:sz w:val="23"/>
        </w:rPr>
        <w:t> </w:t>
      </w:r>
      <w:r>
        <w:rPr>
          <w:sz w:val="23"/>
        </w:rPr>
        <w:t>los</w:t>
      </w:r>
      <w:r>
        <w:rPr>
          <w:spacing w:val="31"/>
          <w:sz w:val="23"/>
        </w:rPr>
        <w:t> </w:t>
      </w:r>
      <w:r>
        <w:rPr>
          <w:sz w:val="23"/>
        </w:rPr>
        <w:t>techos</w:t>
      </w:r>
      <w:r>
        <w:rPr>
          <w:spacing w:val="31"/>
          <w:sz w:val="23"/>
        </w:rPr>
        <w:t> </w:t>
      </w:r>
      <w:r>
        <w:rPr>
          <w:sz w:val="23"/>
        </w:rPr>
        <w:t>financieros</w:t>
      </w:r>
      <w:r>
        <w:rPr>
          <w:spacing w:val="31"/>
          <w:sz w:val="23"/>
        </w:rPr>
        <w:t> </w:t>
      </w:r>
      <w:r>
        <w:rPr>
          <w:sz w:val="23"/>
        </w:rPr>
        <w:t>de</w:t>
      </w:r>
      <w:r>
        <w:rPr>
          <w:spacing w:val="31"/>
          <w:sz w:val="23"/>
        </w:rPr>
        <w:t> </w:t>
      </w:r>
      <w:r>
        <w:rPr>
          <w:sz w:val="23"/>
        </w:rPr>
        <w:t>los</w:t>
      </w:r>
    </w:p>
    <w:p>
      <w:pPr>
        <w:pStyle w:val="BodyText"/>
        <w:spacing w:line="260" w:lineRule="exact"/>
        <w:ind w:left="117"/>
        <w:jc w:val="both"/>
      </w:pPr>
      <w:r>
        <w:rPr/>
        <w:t>programas de inversión descentralizada mediante correspondencia     escrita;</w:t>
      </w:r>
    </w:p>
    <w:p>
      <w:pPr>
        <w:pStyle w:val="ListParagraph"/>
        <w:numPr>
          <w:ilvl w:val="0"/>
          <w:numId w:val="5"/>
        </w:numPr>
        <w:tabs>
          <w:tab w:pos="380" w:val="left" w:leader="none"/>
        </w:tabs>
        <w:spacing w:line="260" w:lineRule="exact" w:before="4" w:after="0"/>
        <w:ind w:left="117" w:right="107" w:firstLine="0"/>
        <w:jc w:val="both"/>
        <w:rPr>
          <w:sz w:val="23"/>
        </w:rPr>
      </w:pPr>
      <w:r>
        <w:rPr/>
        <w:pict>
          <v:line style="position:absolute;mso-position-horizontal-relative:page;mso-position-vertical-relative:paragraph;z-index:2152;mso-wrap-distance-left:0;mso-wrap-distance-right:0" from="70.866096pt,30.681101pt" to="142.866096pt,30.681101pt" stroked="true" strokeweight="1pt" strokecolor="#000000">
            <w10:wrap type="topAndBottom"/>
          </v:line>
        </w:pict>
      </w:r>
      <w:r>
        <w:rPr>
          <w:sz w:val="23"/>
        </w:rPr>
        <w:t>existe un sistema de cómputo mediante el cual las tesorerías municipales informan</w:t>
      </w:r>
      <w:r>
        <w:rPr>
          <w:spacing w:val="25"/>
          <w:sz w:val="23"/>
        </w:rPr>
        <w:t> </w:t>
      </w:r>
      <w:r>
        <w:rPr>
          <w:sz w:val="23"/>
        </w:rPr>
        <w:t>trimestralmente</w:t>
      </w:r>
      <w:r>
        <w:rPr>
          <w:spacing w:val="25"/>
          <w:sz w:val="23"/>
        </w:rPr>
        <w:t> </w:t>
      </w:r>
      <w:r>
        <w:rPr>
          <w:sz w:val="23"/>
        </w:rPr>
        <w:t>a</w:t>
      </w:r>
      <w:r>
        <w:rPr>
          <w:spacing w:val="26"/>
          <w:sz w:val="23"/>
        </w:rPr>
        <w:t> </w:t>
      </w:r>
      <w:r>
        <w:rPr>
          <w:sz w:val="23"/>
        </w:rPr>
        <w:t>la</w:t>
      </w:r>
      <w:r>
        <w:rPr>
          <w:spacing w:val="26"/>
          <w:sz w:val="23"/>
        </w:rPr>
        <w:t> </w:t>
      </w:r>
      <w:r>
        <w:rPr>
          <w:sz w:val="23"/>
        </w:rPr>
        <w:t>Secretaría</w:t>
      </w:r>
      <w:r>
        <w:rPr>
          <w:spacing w:val="26"/>
          <w:sz w:val="23"/>
        </w:rPr>
        <w:t> </w:t>
      </w:r>
      <w:r>
        <w:rPr>
          <w:sz w:val="23"/>
        </w:rPr>
        <w:t>de</w:t>
      </w:r>
      <w:r>
        <w:rPr>
          <w:spacing w:val="26"/>
          <w:sz w:val="23"/>
        </w:rPr>
        <w:t> </w:t>
      </w:r>
      <w:r>
        <w:rPr>
          <w:sz w:val="23"/>
        </w:rPr>
        <w:t>Finanzas</w:t>
      </w:r>
      <w:r>
        <w:rPr>
          <w:spacing w:val="26"/>
          <w:sz w:val="23"/>
        </w:rPr>
        <w:t> </w:t>
      </w:r>
      <w:r>
        <w:rPr>
          <w:sz w:val="23"/>
        </w:rPr>
        <w:t>sobre</w:t>
      </w:r>
      <w:r>
        <w:rPr>
          <w:spacing w:val="26"/>
          <w:sz w:val="23"/>
        </w:rPr>
        <w:t> </w:t>
      </w:r>
      <w:r>
        <w:rPr>
          <w:sz w:val="23"/>
        </w:rPr>
        <w:t>el</w:t>
      </w:r>
      <w:r>
        <w:rPr>
          <w:spacing w:val="26"/>
          <w:sz w:val="23"/>
        </w:rPr>
        <w:t> </w:t>
      </w:r>
      <w:r>
        <w:rPr>
          <w:sz w:val="23"/>
        </w:rPr>
        <w:t>gasto</w:t>
      </w:r>
      <w:r>
        <w:rPr>
          <w:spacing w:val="26"/>
          <w:sz w:val="23"/>
        </w:rPr>
        <w:t> </w:t>
      </w:r>
      <w:r>
        <w:rPr>
          <w:sz w:val="23"/>
        </w:rPr>
        <w:t>en</w:t>
      </w:r>
      <w:r>
        <w:rPr>
          <w:spacing w:val="26"/>
          <w:sz w:val="23"/>
        </w:rPr>
        <w:t> </w:t>
      </w:r>
      <w:r>
        <w:rPr>
          <w:sz w:val="23"/>
        </w:rPr>
        <w:t>los</w:t>
      </w:r>
    </w:p>
    <w:p>
      <w:pPr>
        <w:spacing w:line="249" w:lineRule="auto" w:before="28"/>
        <w:ind w:left="344" w:right="108" w:hanging="227"/>
        <w:jc w:val="both"/>
        <w:rPr>
          <w:sz w:val="18"/>
        </w:rPr>
      </w:pPr>
      <w:r>
        <w:rPr>
          <w:position w:val="7"/>
          <w:sz w:val="11"/>
        </w:rPr>
        <w:t>45 </w:t>
      </w:r>
      <w:r>
        <w:rPr>
          <w:sz w:val="18"/>
        </w:rPr>
        <w:t>Información proporcionada por la unidad de información pública gubernamental del poder ejecutivo del Estado de Hidalgo, según solicitud con el número de expediente 00178910 del sistema INFOMEX Hidalgo, 31 de marzo del año 2011.</w:t>
      </w:r>
    </w:p>
    <w:p>
      <w:pPr>
        <w:spacing w:line="249" w:lineRule="auto" w:before="20"/>
        <w:ind w:left="344" w:right="0" w:hanging="227"/>
        <w:jc w:val="left"/>
        <w:rPr>
          <w:sz w:val="18"/>
        </w:rPr>
      </w:pPr>
      <w:r>
        <w:rPr>
          <w:position w:val="7"/>
          <w:sz w:val="11"/>
        </w:rPr>
        <w:t>46 </w:t>
      </w:r>
      <w:r>
        <w:rPr>
          <w:sz w:val="18"/>
        </w:rPr>
        <w:t>Información proporcionada para esta investigación en entrevista con el director general de recaudación de la Secretaría de Finanzas , 13 de octubre del 2010.</w:t>
      </w:r>
    </w:p>
    <w:p>
      <w:pPr>
        <w:spacing w:line="249" w:lineRule="auto" w:before="20"/>
        <w:ind w:left="344" w:right="0" w:hanging="227"/>
        <w:jc w:val="left"/>
        <w:rPr>
          <w:sz w:val="18"/>
        </w:rPr>
      </w:pPr>
      <w:r>
        <w:rPr>
          <w:position w:val="7"/>
          <w:sz w:val="11"/>
        </w:rPr>
        <w:t>47 </w:t>
      </w:r>
      <w:r>
        <w:rPr>
          <w:sz w:val="18"/>
        </w:rPr>
        <w:t>Información proporcionada para esta investigación en entrevista con el director de Ingresos de Pachuca, 9 de febrero de 2010.</w:t>
      </w:r>
    </w:p>
    <w:p>
      <w:pPr>
        <w:spacing w:after="0" w:line="249" w:lineRule="auto"/>
        <w:jc w:val="left"/>
        <w:rPr>
          <w:sz w:val="18"/>
        </w:rPr>
        <w:sectPr>
          <w:pgSz w:w="9360" w:h="13040"/>
          <w:pgMar w:header="547" w:footer="518"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5"/>
        <w:jc w:val="both"/>
      </w:pPr>
      <w:r>
        <w:rPr/>
        <w:t>fondos del ramo 33; c) en 2010 la autoridad estatal convocó a los presidentes a dos reuniones, sobre ofertas de créditos para los municipios y sobre entrega-recepción respectivamente</w:t>
      </w:r>
      <w:r>
        <w:rPr>
          <w:position w:val="8"/>
          <w:sz w:val="13"/>
        </w:rPr>
        <w:t>48</w:t>
      </w:r>
      <w:r>
        <w:rPr/>
        <w:t>; y d) a menudo se celebran reuniones de capacitación para conocer los requisitos de los fondos de inversión</w:t>
      </w:r>
      <w:r>
        <w:rPr>
          <w:position w:val="8"/>
          <w:sz w:val="13"/>
        </w:rPr>
        <w:t>49</w:t>
      </w:r>
      <w:r>
        <w:rPr/>
        <w:t>.</w:t>
      </w:r>
    </w:p>
    <w:p>
      <w:pPr>
        <w:pStyle w:val="BodyText"/>
        <w:spacing w:before="4"/>
        <w:rPr>
          <w:sz w:val="22"/>
        </w:rPr>
      </w:pPr>
    </w:p>
    <w:p>
      <w:pPr>
        <w:pStyle w:val="BodyText"/>
        <w:spacing w:line="235" w:lineRule="auto"/>
        <w:ind w:left="110" w:right="114"/>
        <w:jc w:val="both"/>
      </w:pPr>
      <w:r>
        <w:rPr/>
        <w:t>Sobre el ejercicio de funciones recaudatorias descentralizadas, el caso generalizado es el cobro de las multas federales no fiscales. Para municipios como Real del Monte el volumen de estas multas no rebasa los diez casos    al año, principalmente en los rubros de tránsito, ecología y PROFECO</w:t>
      </w:r>
      <w:r>
        <w:rPr>
          <w:position w:val="8"/>
          <w:sz w:val="13"/>
        </w:rPr>
        <w:t>50</w:t>
      </w:r>
      <w:r>
        <w:rPr/>
        <w:t>. En Actopan los casos también son pocos y los rendimientos oscilan entre los doscientos mil y los trescientos mil pesos al año aproximadamente</w:t>
      </w:r>
      <w:r>
        <w:rPr>
          <w:position w:val="8"/>
          <w:sz w:val="13"/>
        </w:rPr>
        <w:t>51</w:t>
      </w:r>
      <w:r>
        <w:rPr/>
        <w:t>. En cuanto a la posibilidad de que sea descentralizado a la instancia municipal el cobro de conceptos impositivos estatales, esto no se percibe factible debido a que</w:t>
      </w:r>
      <w:r>
        <w:rPr>
          <w:spacing w:val="-10"/>
        </w:rPr>
        <w:t> </w:t>
      </w:r>
      <w:r>
        <w:rPr/>
        <w:t>la</w:t>
      </w:r>
      <w:r>
        <w:rPr>
          <w:spacing w:val="-10"/>
        </w:rPr>
        <w:t> </w:t>
      </w:r>
      <w:r>
        <w:rPr/>
        <w:t>autoridad</w:t>
      </w:r>
      <w:r>
        <w:rPr>
          <w:spacing w:val="-10"/>
        </w:rPr>
        <w:t> </w:t>
      </w:r>
      <w:r>
        <w:rPr/>
        <w:t>estatal</w:t>
      </w:r>
      <w:r>
        <w:rPr>
          <w:spacing w:val="-11"/>
        </w:rPr>
        <w:t> </w:t>
      </w:r>
      <w:r>
        <w:rPr/>
        <w:t>cuenta</w:t>
      </w:r>
      <w:r>
        <w:rPr>
          <w:spacing w:val="-11"/>
        </w:rPr>
        <w:t> </w:t>
      </w:r>
      <w:r>
        <w:rPr/>
        <w:t>con</w:t>
      </w:r>
      <w:r>
        <w:rPr>
          <w:spacing w:val="-11"/>
        </w:rPr>
        <w:t> </w:t>
      </w:r>
      <w:r>
        <w:rPr/>
        <w:t>ventanillas</w:t>
      </w:r>
      <w:r>
        <w:rPr>
          <w:spacing w:val="-10"/>
        </w:rPr>
        <w:t> </w:t>
      </w:r>
      <w:r>
        <w:rPr/>
        <w:t>regionales</w:t>
      </w:r>
      <w:r>
        <w:rPr>
          <w:spacing w:val="-10"/>
        </w:rPr>
        <w:t> </w:t>
      </w:r>
      <w:r>
        <w:rPr/>
        <w:t>ubicadas</w:t>
      </w:r>
      <w:r>
        <w:rPr>
          <w:spacing w:val="-10"/>
        </w:rPr>
        <w:t> </w:t>
      </w:r>
      <w:r>
        <w:rPr/>
        <w:t>en</w:t>
      </w:r>
      <w:r>
        <w:rPr>
          <w:spacing w:val="-10"/>
        </w:rPr>
        <w:t> </w:t>
      </w:r>
      <w:r>
        <w:rPr/>
        <w:t>los</w:t>
      </w:r>
      <w:r>
        <w:rPr>
          <w:spacing w:val="-11"/>
        </w:rPr>
        <w:t> </w:t>
      </w:r>
      <w:r>
        <w:rPr/>
        <w:t>doce Centros Regionales de Atención al Contribuyente</w:t>
      </w:r>
      <w:r>
        <w:rPr>
          <w:spacing w:val="-20"/>
        </w:rPr>
        <w:t> </w:t>
      </w:r>
      <w:r>
        <w:rPr/>
        <w:t>(CRAC).</w:t>
      </w:r>
    </w:p>
    <w:p>
      <w:pPr>
        <w:pStyle w:val="BodyText"/>
        <w:spacing w:before="3"/>
        <w:rPr>
          <w:sz w:val="22"/>
        </w:rPr>
      </w:pPr>
    </w:p>
    <w:p>
      <w:pPr>
        <w:pStyle w:val="Heading3"/>
        <w:ind w:left="110"/>
      </w:pPr>
      <w:bookmarkStart w:name="_TOC_250027" w:id="16"/>
      <w:bookmarkEnd w:id="16"/>
      <w:r>
        <w:rPr/>
        <w:t>Conclusiones del Capítulo II.</w:t>
      </w:r>
    </w:p>
    <w:p>
      <w:pPr>
        <w:pStyle w:val="BodyText"/>
        <w:spacing w:before="9"/>
        <w:rPr>
          <w:b/>
          <w:sz w:val="22"/>
        </w:rPr>
      </w:pPr>
    </w:p>
    <w:p>
      <w:pPr>
        <w:pStyle w:val="BodyText"/>
        <w:spacing w:line="260" w:lineRule="exact"/>
        <w:ind w:left="110" w:right="114"/>
        <w:jc w:val="both"/>
      </w:pPr>
      <w:r>
        <w:rPr/>
        <w:pict>
          <v:line style="position:absolute;mso-position-horizontal-relative:page;mso-position-vertical-relative:paragraph;z-index:2176;mso-wrap-distance-left:0;mso-wrap-distance-right:0" from="42.519699pt,187.479584pt" to="114.519699pt,187.479584pt" stroked="true" strokeweight="1pt" strokecolor="#000000">
            <w10:wrap type="topAndBottom"/>
          </v:line>
        </w:pict>
      </w:r>
      <w:r>
        <w:rPr/>
        <w:t>La evaluación conjunta según la escala definida en este capítulo coloca a la entidad por debajo de la media lograda en investigaciones anteriores (1.54). Con una evaluación de 0.50, la orientación progresiva de los eventos en los que</w:t>
      </w:r>
      <w:r>
        <w:rPr>
          <w:spacing w:val="-7"/>
        </w:rPr>
        <w:t> </w:t>
      </w:r>
      <w:r>
        <w:rPr/>
        <w:t>se</w:t>
      </w:r>
      <w:r>
        <w:rPr>
          <w:spacing w:val="-6"/>
        </w:rPr>
        <w:t> </w:t>
      </w:r>
      <w:r>
        <w:rPr/>
        <w:t>desarrollan</w:t>
      </w:r>
      <w:r>
        <w:rPr>
          <w:spacing w:val="-6"/>
        </w:rPr>
        <w:t> </w:t>
      </w:r>
      <w:r>
        <w:rPr/>
        <w:t>las</w:t>
      </w:r>
      <w:r>
        <w:rPr>
          <w:spacing w:val="-7"/>
        </w:rPr>
        <w:t> </w:t>
      </w:r>
      <w:r>
        <w:rPr/>
        <w:t>relaciones</w:t>
      </w:r>
      <w:r>
        <w:rPr>
          <w:spacing w:val="-6"/>
        </w:rPr>
        <w:t> </w:t>
      </w:r>
      <w:r>
        <w:rPr/>
        <w:t>entre</w:t>
      </w:r>
      <w:r>
        <w:rPr>
          <w:spacing w:val="-7"/>
        </w:rPr>
        <w:t> </w:t>
      </w:r>
      <w:r>
        <w:rPr/>
        <w:t>tesoreros</w:t>
      </w:r>
      <w:r>
        <w:rPr>
          <w:spacing w:val="-7"/>
        </w:rPr>
        <w:t> </w:t>
      </w:r>
      <w:r>
        <w:rPr/>
        <w:t>municipales</w:t>
      </w:r>
      <w:r>
        <w:rPr>
          <w:spacing w:val="-7"/>
        </w:rPr>
        <w:t> </w:t>
      </w:r>
      <w:r>
        <w:rPr/>
        <w:t>con</w:t>
      </w:r>
      <w:r>
        <w:rPr>
          <w:spacing w:val="-7"/>
        </w:rPr>
        <w:t> </w:t>
      </w:r>
      <w:r>
        <w:rPr/>
        <w:t>la</w:t>
      </w:r>
      <w:r>
        <w:rPr>
          <w:spacing w:val="-7"/>
        </w:rPr>
        <w:t> </w:t>
      </w:r>
      <w:r>
        <w:rPr/>
        <w:t>Secretaría de</w:t>
      </w:r>
      <w:r>
        <w:rPr>
          <w:spacing w:val="-7"/>
        </w:rPr>
        <w:t> </w:t>
      </w:r>
      <w:r>
        <w:rPr/>
        <w:t>Finanzas,</w:t>
      </w:r>
      <w:r>
        <w:rPr>
          <w:spacing w:val="-6"/>
        </w:rPr>
        <w:t> </w:t>
      </w:r>
      <w:r>
        <w:rPr/>
        <w:t>y</w:t>
      </w:r>
      <w:r>
        <w:rPr>
          <w:spacing w:val="-7"/>
        </w:rPr>
        <w:t> </w:t>
      </w:r>
      <w:r>
        <w:rPr/>
        <w:t>del</w:t>
      </w:r>
      <w:r>
        <w:rPr>
          <w:spacing w:val="-7"/>
        </w:rPr>
        <w:t> </w:t>
      </w:r>
      <w:r>
        <w:rPr/>
        <w:t>cobro</w:t>
      </w:r>
      <w:r>
        <w:rPr>
          <w:spacing w:val="-7"/>
        </w:rPr>
        <w:t> </w:t>
      </w:r>
      <w:r>
        <w:rPr/>
        <w:t>de</w:t>
      </w:r>
      <w:r>
        <w:rPr>
          <w:spacing w:val="-7"/>
        </w:rPr>
        <w:t> </w:t>
      </w:r>
      <w:r>
        <w:rPr/>
        <w:t>conceptos</w:t>
      </w:r>
      <w:r>
        <w:rPr>
          <w:spacing w:val="-7"/>
        </w:rPr>
        <w:t> </w:t>
      </w:r>
      <w:r>
        <w:rPr/>
        <w:t>federales</w:t>
      </w:r>
      <w:r>
        <w:rPr>
          <w:spacing w:val="-7"/>
        </w:rPr>
        <w:t> </w:t>
      </w:r>
      <w:r>
        <w:rPr/>
        <w:t>descentralizados,</w:t>
      </w:r>
      <w:r>
        <w:rPr>
          <w:spacing w:val="-7"/>
        </w:rPr>
        <w:t> </w:t>
      </w:r>
      <w:r>
        <w:rPr/>
        <w:t>constituyen características muy rezagadas sobre las que pudiera iniciar el desarrollo de la esencia</w:t>
      </w:r>
      <w:r>
        <w:rPr>
          <w:spacing w:val="-18"/>
        </w:rPr>
        <w:t> </w:t>
      </w:r>
      <w:r>
        <w:rPr/>
        <w:t>subsidiaria.</w:t>
      </w:r>
      <w:r>
        <w:rPr>
          <w:spacing w:val="-18"/>
        </w:rPr>
        <w:t> </w:t>
      </w:r>
      <w:r>
        <w:rPr/>
        <w:t>En</w:t>
      </w:r>
      <w:r>
        <w:rPr>
          <w:spacing w:val="-18"/>
        </w:rPr>
        <w:t> </w:t>
      </w:r>
      <w:r>
        <w:rPr/>
        <w:t>este</w:t>
      </w:r>
      <w:r>
        <w:rPr>
          <w:spacing w:val="-18"/>
        </w:rPr>
        <w:t> </w:t>
      </w:r>
      <w:r>
        <w:rPr/>
        <w:t>caso,</w:t>
      </w:r>
      <w:r>
        <w:rPr>
          <w:spacing w:val="-18"/>
        </w:rPr>
        <w:t> </w:t>
      </w:r>
      <w:r>
        <w:rPr/>
        <w:t>nuestra</w:t>
      </w:r>
      <w:r>
        <w:rPr>
          <w:spacing w:val="-18"/>
        </w:rPr>
        <w:t> </w:t>
      </w:r>
      <w:r>
        <w:rPr/>
        <w:t>propuesta</w:t>
      </w:r>
      <w:r>
        <w:rPr>
          <w:spacing w:val="-18"/>
        </w:rPr>
        <w:t> </w:t>
      </w:r>
      <w:r>
        <w:rPr/>
        <w:t>se</w:t>
      </w:r>
      <w:r>
        <w:rPr>
          <w:spacing w:val="-18"/>
        </w:rPr>
        <w:t> </w:t>
      </w:r>
      <w:r>
        <w:rPr/>
        <w:t>refiere</w:t>
      </w:r>
      <w:r>
        <w:rPr>
          <w:spacing w:val="-18"/>
        </w:rPr>
        <w:t> </w:t>
      </w:r>
      <w:r>
        <w:rPr/>
        <w:t>a</w:t>
      </w:r>
      <w:r>
        <w:rPr>
          <w:spacing w:val="-18"/>
        </w:rPr>
        <w:t> </w:t>
      </w:r>
      <w:r>
        <w:rPr/>
        <w:t>la</w:t>
      </w:r>
      <w:r>
        <w:rPr>
          <w:spacing w:val="-18"/>
        </w:rPr>
        <w:t> </w:t>
      </w:r>
      <w:r>
        <w:rPr/>
        <w:t>modificación de la Ley de Coordinación Fiscal para el Estado de Hidalgo, de tal modo  que en ésta quede plasmado el diseño novedoso y atractivo de un órgano in- tergubernamental a manera de </w:t>
      </w:r>
      <w:r>
        <w:rPr>
          <w:spacing w:val="-5"/>
        </w:rPr>
        <w:t>SECF. </w:t>
      </w:r>
      <w:r>
        <w:rPr/>
        <w:t>La muestra clara puede ser el Instituto Hacendario</w:t>
      </w:r>
      <w:r>
        <w:rPr>
          <w:spacing w:val="-10"/>
        </w:rPr>
        <w:t> </w:t>
      </w:r>
      <w:r>
        <w:rPr/>
        <w:t>del</w:t>
      </w:r>
      <w:r>
        <w:rPr>
          <w:spacing w:val="-11"/>
        </w:rPr>
        <w:t> </w:t>
      </w:r>
      <w:r>
        <w:rPr/>
        <w:t>Estado</w:t>
      </w:r>
      <w:r>
        <w:rPr>
          <w:spacing w:val="-11"/>
        </w:rPr>
        <w:t> </w:t>
      </w:r>
      <w:r>
        <w:rPr/>
        <w:t>de</w:t>
      </w:r>
      <w:r>
        <w:rPr>
          <w:spacing w:val="-11"/>
        </w:rPr>
        <w:t> </w:t>
      </w:r>
      <w:r>
        <w:rPr/>
        <w:t>México,</w:t>
      </w:r>
      <w:r>
        <w:rPr>
          <w:spacing w:val="-10"/>
        </w:rPr>
        <w:t> </w:t>
      </w:r>
      <w:r>
        <w:rPr/>
        <w:t>cuya</w:t>
      </w:r>
      <w:r>
        <w:rPr>
          <w:spacing w:val="-11"/>
        </w:rPr>
        <w:t> </w:t>
      </w:r>
      <w:r>
        <w:rPr/>
        <w:t>operación</w:t>
      </w:r>
      <w:r>
        <w:rPr>
          <w:spacing w:val="-11"/>
        </w:rPr>
        <w:t> </w:t>
      </w:r>
      <w:r>
        <w:rPr/>
        <w:t>se</w:t>
      </w:r>
      <w:r>
        <w:rPr>
          <w:spacing w:val="-11"/>
        </w:rPr>
        <w:t> </w:t>
      </w:r>
      <w:r>
        <w:rPr/>
        <w:t>distingue</w:t>
      </w:r>
      <w:r>
        <w:rPr>
          <w:spacing w:val="-11"/>
        </w:rPr>
        <w:t> </w:t>
      </w:r>
      <w:r>
        <w:rPr/>
        <w:t>por</w:t>
      </w:r>
      <w:r>
        <w:rPr>
          <w:spacing w:val="-11"/>
        </w:rPr>
        <w:t> </w:t>
      </w:r>
      <w:r>
        <w:rPr/>
        <w:t>la</w:t>
      </w:r>
      <w:r>
        <w:rPr>
          <w:spacing w:val="-11"/>
        </w:rPr>
        <w:t> </w:t>
      </w:r>
      <w:r>
        <w:rPr/>
        <w:t>difusión mediática de sus actividades, destacando entre ellas las promociones de sus esquemas</w:t>
      </w:r>
      <w:r>
        <w:rPr>
          <w:spacing w:val="-26"/>
        </w:rPr>
        <w:t> </w:t>
      </w:r>
      <w:r>
        <w:rPr/>
        <w:t>de</w:t>
      </w:r>
      <w:r>
        <w:rPr>
          <w:spacing w:val="-25"/>
        </w:rPr>
        <w:t> </w:t>
      </w:r>
      <w:r>
        <w:rPr/>
        <w:t>capacitación.</w:t>
      </w:r>
      <w:r>
        <w:rPr>
          <w:spacing w:val="-26"/>
        </w:rPr>
        <w:t> </w:t>
      </w:r>
      <w:r>
        <w:rPr/>
        <w:t>Una</w:t>
      </w:r>
      <w:r>
        <w:rPr>
          <w:spacing w:val="-25"/>
        </w:rPr>
        <w:t> </w:t>
      </w:r>
      <w:r>
        <w:rPr/>
        <w:t>vez</w:t>
      </w:r>
      <w:r>
        <w:rPr>
          <w:spacing w:val="-25"/>
        </w:rPr>
        <w:t> </w:t>
      </w:r>
      <w:r>
        <w:rPr/>
        <w:t>diseñados</w:t>
      </w:r>
      <w:r>
        <w:rPr>
          <w:spacing w:val="-25"/>
        </w:rPr>
        <w:t> </w:t>
      </w:r>
      <w:r>
        <w:rPr/>
        <w:t>e</w:t>
      </w:r>
      <w:r>
        <w:rPr>
          <w:spacing w:val="-25"/>
        </w:rPr>
        <w:t> </w:t>
      </w:r>
      <w:r>
        <w:rPr/>
        <w:t>iniciados</w:t>
      </w:r>
      <w:r>
        <w:rPr>
          <w:spacing w:val="-26"/>
        </w:rPr>
        <w:t> </w:t>
      </w:r>
      <w:r>
        <w:rPr/>
        <w:t>los</w:t>
      </w:r>
      <w:r>
        <w:rPr>
          <w:spacing w:val="-25"/>
        </w:rPr>
        <w:t> </w:t>
      </w:r>
      <w:r>
        <w:rPr/>
        <w:t>trabajos</w:t>
      </w:r>
      <w:r>
        <w:rPr>
          <w:spacing w:val="-26"/>
        </w:rPr>
        <w:t> </w:t>
      </w:r>
      <w:r>
        <w:rPr/>
        <w:t>del</w:t>
      </w:r>
      <w:r>
        <w:rPr>
          <w:spacing w:val="-25"/>
        </w:rPr>
        <w:t> </w:t>
      </w:r>
      <w:r>
        <w:rPr>
          <w:spacing w:val="-5"/>
        </w:rPr>
        <w:t>SECF, </w:t>
      </w:r>
      <w:r>
        <w:rPr/>
        <w:t>el camino obligado es la activación de los componentes subsidiarios bajo</w:t>
      </w:r>
      <w:r>
        <w:rPr>
          <w:spacing w:val="33"/>
        </w:rPr>
        <w:t> </w:t>
      </w:r>
      <w:r>
        <w:rPr/>
        <w:t>las</w:t>
      </w:r>
    </w:p>
    <w:p>
      <w:pPr>
        <w:spacing w:line="249" w:lineRule="auto" w:before="28"/>
        <w:ind w:left="337" w:right="0" w:hanging="227"/>
        <w:jc w:val="left"/>
        <w:rPr>
          <w:sz w:val="18"/>
        </w:rPr>
      </w:pPr>
      <w:r>
        <w:rPr>
          <w:position w:val="7"/>
          <w:sz w:val="11"/>
        </w:rPr>
        <w:t>48 </w:t>
      </w:r>
      <w:r>
        <w:rPr>
          <w:sz w:val="18"/>
        </w:rPr>
        <w:t>Información proporcionada para esta investigación en entrevista con la tesorera municipal de Mineral del Monte, octubre de 2010.</w:t>
      </w:r>
    </w:p>
    <w:p>
      <w:pPr>
        <w:spacing w:line="249" w:lineRule="auto" w:before="20"/>
        <w:ind w:left="337" w:right="0" w:hanging="227"/>
        <w:jc w:val="left"/>
        <w:rPr>
          <w:sz w:val="18"/>
        </w:rPr>
      </w:pPr>
      <w:r>
        <w:rPr>
          <w:position w:val="7"/>
          <w:sz w:val="11"/>
        </w:rPr>
        <w:t>49 </w:t>
      </w:r>
      <w:r>
        <w:rPr>
          <w:sz w:val="18"/>
        </w:rPr>
        <w:t>Información proporcionada para esta investigación en entrevista con el tesorero municipal de Actopan, 23 de noviembre de 2010.</w:t>
      </w:r>
    </w:p>
    <w:p>
      <w:pPr>
        <w:spacing w:line="249" w:lineRule="auto" w:before="20"/>
        <w:ind w:left="337" w:right="0" w:hanging="227"/>
        <w:jc w:val="left"/>
        <w:rPr>
          <w:sz w:val="18"/>
        </w:rPr>
      </w:pPr>
      <w:r>
        <w:rPr>
          <w:position w:val="7"/>
          <w:sz w:val="11"/>
        </w:rPr>
        <w:t>50 </w:t>
      </w:r>
      <w:r>
        <w:rPr>
          <w:sz w:val="18"/>
        </w:rPr>
        <w:t>Información proporcionada para esta investigación en entrevista con la tesorera municipal de Mineral del Monte, octubre de 2010.</w:t>
      </w:r>
    </w:p>
    <w:p>
      <w:pPr>
        <w:spacing w:line="249" w:lineRule="auto" w:before="20"/>
        <w:ind w:left="337" w:right="0" w:hanging="227"/>
        <w:jc w:val="left"/>
        <w:rPr>
          <w:sz w:val="18"/>
        </w:rPr>
      </w:pPr>
      <w:r>
        <w:rPr>
          <w:position w:val="7"/>
          <w:sz w:val="11"/>
        </w:rPr>
        <w:t>51 </w:t>
      </w:r>
      <w:r>
        <w:rPr>
          <w:sz w:val="18"/>
        </w:rPr>
        <w:t>Información proporcionada para esta investigación en entrevista con el tesorero municipal de Actopan, 23 de noviembre de 2010.</w:t>
      </w:r>
    </w:p>
    <w:p>
      <w:pPr>
        <w:spacing w:after="0" w:line="249" w:lineRule="auto"/>
        <w:jc w:val="left"/>
        <w:rPr>
          <w:sz w:val="18"/>
        </w:rPr>
        <w:sectPr>
          <w:pgSz w:w="9360" w:h="13040"/>
          <w:pgMar w:header="523" w:footer="513" w:top="720" w:bottom="700" w:left="740" w:right="1300"/>
        </w:sectPr>
      </w:pPr>
    </w:p>
    <w:p>
      <w:pPr>
        <w:pStyle w:val="BodyText"/>
        <w:spacing w:before="11"/>
        <w:rPr>
          <w:sz w:val="29"/>
        </w:rPr>
      </w:pPr>
    </w:p>
    <w:p>
      <w:pPr>
        <w:pStyle w:val="BodyText"/>
        <w:spacing w:line="260" w:lineRule="exact" w:before="77"/>
        <w:ind w:left="117" w:right="107"/>
        <w:jc w:val="both"/>
      </w:pPr>
      <w:r>
        <w:rPr/>
        <w:t>mejores condiciones de liderazgo, motivación, formación y compromiso. De ese modo, se deberá inducir el trabajo coordinado plenario y temático, lograr el doble efecto de restringir las atribuciones estatales a favor de un mayor desempeño municipal asistido y poner en práctica los procesos de</w:t>
      </w:r>
      <w:r>
        <w:rPr>
          <w:spacing w:val="-22"/>
        </w:rPr>
        <w:t> </w:t>
      </w:r>
      <w:r>
        <w:rPr/>
        <w:t>evaluación correspondientes.</w:t>
      </w:r>
    </w:p>
    <w:p>
      <w:pPr>
        <w:spacing w:after="0" w:line="260" w:lineRule="exact"/>
        <w:jc w:val="both"/>
        <w:sectPr>
          <w:pgSz w:w="9360" w:h="13040"/>
          <w:pgMar w:header="547" w:footer="518" w:top="940" w:bottom="700" w:left="1300" w:right="740"/>
        </w:sectPr>
      </w:pPr>
    </w:p>
    <w:p>
      <w:pPr>
        <w:pStyle w:val="BodyText"/>
        <w:spacing w:before="4"/>
        <w:rPr>
          <w:sz w:val="17"/>
        </w:rPr>
      </w:pPr>
    </w:p>
    <w:p>
      <w:pPr>
        <w:spacing w:after="0"/>
        <w:rPr>
          <w:sz w:val="17"/>
        </w:rPr>
        <w:sectPr>
          <w:headerReference w:type="default" r:id="rId133"/>
          <w:footerReference w:type="default" r:id="rId134"/>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699"/>
        <w:rPr>
          <w:sz w:val="20"/>
        </w:rPr>
      </w:pPr>
      <w:r>
        <w:rPr>
          <w:sz w:val="20"/>
        </w:rPr>
        <w:drawing>
          <wp:inline distT="0" distB="0" distL="0" distR="0">
            <wp:extent cx="3761231" cy="5401056"/>
            <wp:effectExtent l="0" t="0" r="0" b="0"/>
            <wp:docPr id="77" name="image90.png" descr=""/>
            <wp:cNvGraphicFramePr>
              <a:graphicFrameLocks noChangeAspect="1"/>
            </wp:cNvGraphicFramePr>
            <a:graphic>
              <a:graphicData uri="http://schemas.openxmlformats.org/drawingml/2006/picture">
                <pic:pic>
                  <pic:nvPicPr>
                    <pic:cNvPr id="78" name="image90.png"/>
                    <pic:cNvPicPr/>
                  </pic:nvPicPr>
                  <pic:blipFill>
                    <a:blip r:embed="rId137" cstate="print"/>
                    <a:stretch>
                      <a:fillRect/>
                    </a:stretch>
                  </pic:blipFill>
                  <pic:spPr>
                    <a:xfrm>
                      <a:off x="0" y="0"/>
                      <a:ext cx="3761231" cy="5401056"/>
                    </a:xfrm>
                    <a:prstGeom prst="rect">
                      <a:avLst/>
                    </a:prstGeom>
                  </pic:spPr>
                </pic:pic>
              </a:graphicData>
            </a:graphic>
          </wp:inline>
        </w:drawing>
      </w:r>
      <w:r>
        <w:rPr>
          <w:sz w:val="20"/>
        </w:rPr>
      </w:r>
    </w:p>
    <w:p>
      <w:pPr>
        <w:pStyle w:val="BodyText"/>
        <w:rPr>
          <w:sz w:val="20"/>
        </w:rPr>
      </w:pPr>
    </w:p>
    <w:p>
      <w:pPr>
        <w:pStyle w:val="BodyText"/>
        <w:spacing w:before="9"/>
        <w:rPr>
          <w:sz w:val="20"/>
        </w:rPr>
      </w:pPr>
    </w:p>
    <w:p>
      <w:pPr>
        <w:pStyle w:val="BodyText"/>
        <w:ind w:left="738" w:right="732"/>
        <w:jc w:val="center"/>
      </w:pPr>
      <w:r>
        <w:rPr/>
        <w:t>Metztitlán.</w:t>
      </w:r>
    </w:p>
    <w:p>
      <w:pPr>
        <w:spacing w:after="0"/>
        <w:jc w:val="center"/>
        <w:sectPr>
          <w:headerReference w:type="default" r:id="rId135"/>
          <w:footerReference w:type="default" r:id="rId136"/>
          <w:pgSz w:w="9360" w:h="13040"/>
          <w:pgMar w:header="0" w:footer="515" w:top="1200" w:bottom="700" w:left="1300" w:right="740"/>
          <w:pgNumType w:start="61"/>
        </w:sectPr>
      </w:pPr>
    </w:p>
    <w:p>
      <w:pPr>
        <w:pStyle w:val="BodyText"/>
        <w:spacing w:before="4"/>
        <w:rPr>
          <w:sz w:val="17"/>
        </w:rPr>
      </w:pPr>
    </w:p>
    <w:p>
      <w:pPr>
        <w:spacing w:after="0"/>
        <w:rPr>
          <w:sz w:val="17"/>
        </w:rPr>
        <w:sectPr>
          <w:headerReference w:type="default" r:id="rId138"/>
          <w:footerReference w:type="default" r:id="rId139"/>
          <w:pgSz w:w="9360" w:h="13040"/>
          <w:pgMar w:header="0" w:footer="0" w:top="1200" w:bottom="280" w:left="1300" w:right="1300"/>
        </w:sectPr>
      </w:pPr>
    </w:p>
    <w:p>
      <w:pPr>
        <w:pStyle w:val="Heading2"/>
        <w:spacing w:line="268" w:lineRule="exact"/>
        <w:ind w:right="329"/>
      </w:pPr>
      <w:bookmarkStart w:name="_TOC_250026" w:id="17"/>
      <w:bookmarkEnd w:id="17"/>
      <w:r>
        <w:rPr/>
        <w:t>Capítulo III.</w:t>
      </w:r>
    </w:p>
    <w:p>
      <w:pPr>
        <w:spacing w:line="260" w:lineRule="exact" w:before="8"/>
        <w:ind w:left="1153" w:right="1148" w:firstLine="343"/>
        <w:jc w:val="left"/>
        <w:rPr>
          <w:b/>
          <w:sz w:val="24"/>
        </w:rPr>
      </w:pPr>
      <w:r>
        <w:rPr>
          <w:b/>
          <w:sz w:val="24"/>
        </w:rPr>
        <w:t>El gasto cofinanciado en servicios públicos entre el gobierno federal, el gobierno estatal y los</w:t>
      </w:r>
    </w:p>
    <w:p>
      <w:pPr>
        <w:spacing w:line="260" w:lineRule="exact" w:before="0"/>
        <w:ind w:left="318" w:right="329" w:firstLine="0"/>
        <w:jc w:val="center"/>
        <w:rPr>
          <w:b/>
          <w:sz w:val="24"/>
        </w:rPr>
      </w:pPr>
      <w:r>
        <w:rPr>
          <w:b/>
          <w:sz w:val="24"/>
        </w:rPr>
        <w:t>ayuntamientos hidalguenses.</w:t>
      </w:r>
    </w:p>
    <w:p>
      <w:pPr>
        <w:pStyle w:val="BodyText"/>
        <w:rPr>
          <w:b/>
          <w:sz w:val="24"/>
        </w:rPr>
      </w:pPr>
    </w:p>
    <w:p>
      <w:pPr>
        <w:pStyle w:val="Heading3"/>
        <w:spacing w:line="250" w:lineRule="exact" w:before="202"/>
        <w:ind w:right="128"/>
      </w:pPr>
      <w:r>
        <w:rPr/>
        <w:t>La asimetría entre la inversión federal con respecto a la estatal, la municipal y la privada.</w:t>
      </w:r>
    </w:p>
    <w:p>
      <w:pPr>
        <w:pStyle w:val="BodyText"/>
        <w:spacing w:before="1"/>
        <w:rPr>
          <w:b/>
          <w:sz w:val="19"/>
        </w:rPr>
      </w:pPr>
    </w:p>
    <w:p>
      <w:pPr>
        <w:pStyle w:val="BodyText"/>
        <w:spacing w:line="250" w:lineRule="exact"/>
        <w:ind w:left="117" w:right="126"/>
        <w:jc w:val="both"/>
      </w:pPr>
      <w:r>
        <w:rPr/>
        <w:t>Como  tendencia  de  los  sistemas  federales  consolidados  en  el  mundo,   a la distribución competencial para la dotación de servicios públicos necesariamente</w:t>
      </w:r>
      <w:r>
        <w:rPr>
          <w:spacing w:val="-8"/>
        </w:rPr>
        <w:t> </w:t>
      </w:r>
      <w:r>
        <w:rPr/>
        <w:t>corresponde</w:t>
      </w:r>
      <w:r>
        <w:rPr>
          <w:spacing w:val="-9"/>
        </w:rPr>
        <w:t> </w:t>
      </w:r>
      <w:r>
        <w:rPr/>
        <w:t>la</w:t>
      </w:r>
      <w:r>
        <w:rPr>
          <w:spacing w:val="-9"/>
        </w:rPr>
        <w:t> </w:t>
      </w:r>
      <w:r>
        <w:rPr/>
        <w:t>asignación</w:t>
      </w:r>
      <w:r>
        <w:rPr>
          <w:spacing w:val="-9"/>
        </w:rPr>
        <w:t> </w:t>
      </w:r>
      <w:r>
        <w:rPr/>
        <w:t>de</w:t>
      </w:r>
      <w:r>
        <w:rPr>
          <w:spacing w:val="-8"/>
        </w:rPr>
        <w:t> </w:t>
      </w:r>
      <w:r>
        <w:rPr/>
        <w:t>facultades</w:t>
      </w:r>
      <w:r>
        <w:rPr>
          <w:spacing w:val="-9"/>
        </w:rPr>
        <w:t> </w:t>
      </w:r>
      <w:r>
        <w:rPr/>
        <w:t>para</w:t>
      </w:r>
      <w:r>
        <w:rPr>
          <w:spacing w:val="-8"/>
        </w:rPr>
        <w:t> </w:t>
      </w:r>
      <w:r>
        <w:rPr/>
        <w:t>que</w:t>
      </w:r>
      <w:r>
        <w:rPr>
          <w:spacing w:val="-8"/>
        </w:rPr>
        <w:t> </w:t>
      </w:r>
      <w:r>
        <w:rPr/>
        <w:t>los</w:t>
      </w:r>
      <w:r>
        <w:rPr>
          <w:spacing w:val="-9"/>
        </w:rPr>
        <w:t> </w:t>
      </w:r>
      <w:r>
        <w:rPr/>
        <w:t>procesos de recaudación y gasto puedan traducirse en un financiamiento suficiente para la producción de los servicios propios de cada nivel. Sin embargo, en el entendido de que los principales rubros recaudatorios generalmente tienden  a centralizarse en el orden federal de gobierno, se dispone de transferencias federales</w:t>
      </w:r>
      <w:r>
        <w:rPr>
          <w:spacing w:val="-5"/>
        </w:rPr>
        <w:t> </w:t>
      </w:r>
      <w:r>
        <w:rPr/>
        <w:t>para</w:t>
      </w:r>
      <w:r>
        <w:rPr>
          <w:spacing w:val="-6"/>
        </w:rPr>
        <w:t> </w:t>
      </w:r>
      <w:r>
        <w:rPr/>
        <w:t>subsidiar</w:t>
      </w:r>
      <w:r>
        <w:rPr>
          <w:spacing w:val="-5"/>
        </w:rPr>
        <w:t> </w:t>
      </w:r>
      <w:r>
        <w:rPr/>
        <w:t>o</w:t>
      </w:r>
      <w:r>
        <w:rPr>
          <w:spacing w:val="-6"/>
        </w:rPr>
        <w:t> </w:t>
      </w:r>
      <w:r>
        <w:rPr/>
        <w:t>complementar</w:t>
      </w:r>
      <w:r>
        <w:rPr>
          <w:spacing w:val="-6"/>
        </w:rPr>
        <w:t> </w:t>
      </w:r>
      <w:r>
        <w:rPr/>
        <w:t>los</w:t>
      </w:r>
      <w:r>
        <w:rPr>
          <w:spacing w:val="-6"/>
        </w:rPr>
        <w:t> </w:t>
      </w:r>
      <w:r>
        <w:rPr/>
        <w:t>gastos</w:t>
      </w:r>
      <w:r>
        <w:rPr>
          <w:spacing w:val="-6"/>
        </w:rPr>
        <w:t> </w:t>
      </w:r>
      <w:r>
        <w:rPr/>
        <w:t>estatales</w:t>
      </w:r>
      <w:r>
        <w:rPr>
          <w:spacing w:val="-6"/>
        </w:rPr>
        <w:t> </w:t>
      </w:r>
      <w:r>
        <w:rPr/>
        <w:t>y</w:t>
      </w:r>
      <w:r>
        <w:rPr>
          <w:spacing w:val="-6"/>
        </w:rPr>
        <w:t> </w:t>
      </w:r>
      <w:r>
        <w:rPr/>
        <w:t>municipales</w:t>
      </w:r>
      <w:r>
        <w:rPr>
          <w:spacing w:val="-6"/>
        </w:rPr>
        <w:t> </w:t>
      </w:r>
      <w:r>
        <w:rPr/>
        <w:t>en servicios</w:t>
      </w:r>
      <w:r>
        <w:rPr>
          <w:spacing w:val="-8"/>
        </w:rPr>
        <w:t> </w:t>
      </w:r>
      <w:r>
        <w:rPr/>
        <w:t>públicos.</w:t>
      </w:r>
    </w:p>
    <w:p>
      <w:pPr>
        <w:pStyle w:val="BodyText"/>
        <w:spacing w:before="1"/>
        <w:rPr>
          <w:sz w:val="19"/>
        </w:rPr>
      </w:pPr>
    </w:p>
    <w:p>
      <w:pPr>
        <w:pStyle w:val="BodyText"/>
        <w:spacing w:line="250" w:lineRule="exact"/>
        <w:ind w:left="117" w:right="127"/>
        <w:jc w:val="both"/>
      </w:pPr>
      <w:r>
        <w:rPr/>
        <w:t>En</w:t>
      </w:r>
      <w:r>
        <w:rPr>
          <w:spacing w:val="-13"/>
        </w:rPr>
        <w:t> </w:t>
      </w:r>
      <w:r>
        <w:rPr/>
        <w:t>México</w:t>
      </w:r>
      <w:r>
        <w:rPr>
          <w:spacing w:val="-13"/>
        </w:rPr>
        <w:t> </w:t>
      </w:r>
      <w:r>
        <w:rPr/>
        <w:t>el</w:t>
      </w:r>
      <w:r>
        <w:rPr>
          <w:spacing w:val="-13"/>
        </w:rPr>
        <w:t> </w:t>
      </w:r>
      <w:r>
        <w:rPr/>
        <w:t>financiamiento</w:t>
      </w:r>
      <w:r>
        <w:rPr>
          <w:spacing w:val="-13"/>
        </w:rPr>
        <w:t> </w:t>
      </w:r>
      <w:r>
        <w:rPr/>
        <w:t>federal</w:t>
      </w:r>
      <w:r>
        <w:rPr>
          <w:spacing w:val="-13"/>
        </w:rPr>
        <w:t> </w:t>
      </w:r>
      <w:r>
        <w:rPr/>
        <w:t>de</w:t>
      </w:r>
      <w:r>
        <w:rPr>
          <w:spacing w:val="-13"/>
        </w:rPr>
        <w:t> </w:t>
      </w:r>
      <w:r>
        <w:rPr/>
        <w:t>los</w:t>
      </w:r>
      <w:r>
        <w:rPr>
          <w:spacing w:val="-13"/>
        </w:rPr>
        <w:t> </w:t>
      </w:r>
      <w:r>
        <w:rPr/>
        <w:t>servicios</w:t>
      </w:r>
      <w:r>
        <w:rPr>
          <w:spacing w:val="-13"/>
        </w:rPr>
        <w:t> </w:t>
      </w:r>
      <w:r>
        <w:rPr/>
        <w:t>públicos</w:t>
      </w:r>
      <w:r>
        <w:rPr>
          <w:spacing w:val="-13"/>
        </w:rPr>
        <w:t> </w:t>
      </w:r>
      <w:r>
        <w:rPr/>
        <w:t>es</w:t>
      </w:r>
      <w:r>
        <w:rPr>
          <w:spacing w:val="-13"/>
        </w:rPr>
        <w:t> </w:t>
      </w:r>
      <w:r>
        <w:rPr/>
        <w:t>avasallante</w:t>
      </w:r>
      <w:r>
        <w:rPr>
          <w:spacing w:val="-13"/>
        </w:rPr>
        <w:t> </w:t>
      </w:r>
      <w:r>
        <w:rPr>
          <w:spacing w:val="-8"/>
        </w:rPr>
        <w:t>y, </w:t>
      </w:r>
      <w:r>
        <w:rPr/>
        <w:t>en</w:t>
      </w:r>
      <w:r>
        <w:rPr>
          <w:spacing w:val="-13"/>
        </w:rPr>
        <w:t> </w:t>
      </w:r>
      <w:r>
        <w:rPr/>
        <w:t>contradicción</w:t>
      </w:r>
      <w:r>
        <w:rPr>
          <w:spacing w:val="-13"/>
        </w:rPr>
        <w:t> </w:t>
      </w:r>
      <w:r>
        <w:rPr/>
        <w:t>a</w:t>
      </w:r>
      <w:r>
        <w:rPr>
          <w:spacing w:val="-13"/>
        </w:rPr>
        <w:t> </w:t>
      </w:r>
      <w:r>
        <w:rPr/>
        <w:t>lo</w:t>
      </w:r>
      <w:r>
        <w:rPr>
          <w:spacing w:val="-13"/>
        </w:rPr>
        <w:t> </w:t>
      </w:r>
      <w:r>
        <w:rPr/>
        <w:t>expresado</w:t>
      </w:r>
      <w:r>
        <w:rPr>
          <w:spacing w:val="-13"/>
        </w:rPr>
        <w:t> </w:t>
      </w:r>
      <w:r>
        <w:rPr/>
        <w:t>inicialmente,</w:t>
      </w:r>
      <w:r>
        <w:rPr>
          <w:spacing w:val="-13"/>
        </w:rPr>
        <w:t> </w:t>
      </w:r>
      <w:r>
        <w:rPr/>
        <w:t>el</w:t>
      </w:r>
      <w:r>
        <w:rPr>
          <w:spacing w:val="-13"/>
        </w:rPr>
        <w:t> </w:t>
      </w:r>
      <w:r>
        <w:rPr/>
        <w:t>complemento</w:t>
      </w:r>
      <w:r>
        <w:rPr>
          <w:spacing w:val="-13"/>
        </w:rPr>
        <w:t> </w:t>
      </w:r>
      <w:r>
        <w:rPr/>
        <w:t>financiero,</w:t>
      </w:r>
      <w:r>
        <w:rPr>
          <w:spacing w:val="-13"/>
        </w:rPr>
        <w:t> </w:t>
      </w:r>
      <w:r>
        <w:rPr/>
        <w:t>si</w:t>
      </w:r>
      <w:r>
        <w:rPr>
          <w:spacing w:val="-13"/>
        </w:rPr>
        <w:t> </w:t>
      </w:r>
      <w:r>
        <w:rPr/>
        <w:t>es que</w:t>
      </w:r>
      <w:r>
        <w:rPr>
          <w:spacing w:val="-13"/>
        </w:rPr>
        <w:t> </w:t>
      </w:r>
      <w:r>
        <w:rPr/>
        <w:t>llega</w:t>
      </w:r>
      <w:r>
        <w:rPr>
          <w:spacing w:val="-13"/>
        </w:rPr>
        <w:t> </w:t>
      </w:r>
      <w:r>
        <w:rPr/>
        <w:t>a</w:t>
      </w:r>
      <w:r>
        <w:rPr>
          <w:spacing w:val="-13"/>
        </w:rPr>
        <w:t> </w:t>
      </w:r>
      <w:r>
        <w:rPr/>
        <w:t>existir,</w:t>
      </w:r>
      <w:r>
        <w:rPr>
          <w:spacing w:val="-13"/>
        </w:rPr>
        <w:t> </w:t>
      </w:r>
      <w:r>
        <w:rPr/>
        <w:t>corresponde</w:t>
      </w:r>
      <w:r>
        <w:rPr>
          <w:spacing w:val="-13"/>
        </w:rPr>
        <w:t> </w:t>
      </w:r>
      <w:r>
        <w:rPr/>
        <w:t>a</w:t>
      </w:r>
      <w:r>
        <w:rPr>
          <w:spacing w:val="-13"/>
        </w:rPr>
        <w:t> </w:t>
      </w:r>
      <w:r>
        <w:rPr/>
        <w:t>los</w:t>
      </w:r>
      <w:r>
        <w:rPr>
          <w:spacing w:val="-13"/>
        </w:rPr>
        <w:t> </w:t>
      </w:r>
      <w:r>
        <w:rPr/>
        <w:t>órdenes</w:t>
      </w:r>
      <w:r>
        <w:rPr>
          <w:spacing w:val="-13"/>
        </w:rPr>
        <w:t> </w:t>
      </w:r>
      <w:r>
        <w:rPr/>
        <w:t>estatal</w:t>
      </w:r>
      <w:r>
        <w:rPr>
          <w:spacing w:val="-13"/>
        </w:rPr>
        <w:t> </w:t>
      </w:r>
      <w:r>
        <w:rPr/>
        <w:t>y</w:t>
      </w:r>
      <w:r>
        <w:rPr>
          <w:spacing w:val="-13"/>
        </w:rPr>
        <w:t> </w:t>
      </w:r>
      <w:r>
        <w:rPr/>
        <w:t>municipal</w:t>
      </w:r>
      <w:r>
        <w:rPr>
          <w:spacing w:val="-13"/>
        </w:rPr>
        <w:t> </w:t>
      </w:r>
      <w:r>
        <w:rPr/>
        <w:t>de</w:t>
      </w:r>
      <w:r>
        <w:rPr>
          <w:spacing w:val="-13"/>
        </w:rPr>
        <w:t> </w:t>
      </w:r>
      <w:r>
        <w:rPr/>
        <w:t>gobierno</w:t>
      </w:r>
      <w:r>
        <w:rPr>
          <w:spacing w:val="-13"/>
        </w:rPr>
        <w:t> </w:t>
      </w:r>
      <w:r>
        <w:rPr/>
        <w:t>y a la iniciativa privada. En tal sentido, la escala de evaluación relativa al</w:t>
      </w:r>
      <w:r>
        <w:rPr>
          <w:spacing w:val="-35"/>
        </w:rPr>
        <w:t> </w:t>
      </w:r>
      <w:r>
        <w:rPr/>
        <w:t>gasto intergubernamental en servicios públicos presenta en sus niveles superiores mayores grados de cofinanciamiento para los servicios públicos,</w:t>
      </w:r>
      <w:r>
        <w:rPr>
          <w:spacing w:val="-36"/>
        </w:rPr>
        <w:t> </w:t>
      </w:r>
      <w:r>
        <w:rPr/>
        <w:t>proyectando así condiciones similares a las prevalecientes en los sistemas federales consolidados. En contraste, en los niveles inferiores se incluyeron los grados de cofinanciamiento en función de las posibilidades reales de la muestra de seis estados que se analizó en estudios</w:t>
      </w:r>
      <w:r>
        <w:rPr>
          <w:spacing w:val="-8"/>
        </w:rPr>
        <w:t> </w:t>
      </w:r>
      <w:r>
        <w:rPr/>
        <w:t>previos.</w:t>
      </w:r>
    </w:p>
    <w:p>
      <w:pPr>
        <w:pStyle w:val="BodyText"/>
        <w:spacing w:before="2"/>
        <w:rPr>
          <w:sz w:val="22"/>
        </w:rPr>
      </w:pPr>
    </w:p>
    <w:p>
      <w:pPr>
        <w:spacing w:before="0"/>
        <w:ind w:left="181" w:right="0" w:firstLine="0"/>
        <w:jc w:val="both"/>
        <w:rPr>
          <w:b/>
          <w:i/>
          <w:sz w:val="23"/>
        </w:rPr>
      </w:pPr>
      <w:r>
        <w:rPr>
          <w:b/>
          <w:sz w:val="23"/>
        </w:rPr>
        <w:t>Escala de evaluación del </w:t>
      </w:r>
      <w:r>
        <w:rPr>
          <w:b/>
          <w:i/>
          <w:sz w:val="23"/>
        </w:rPr>
        <w:t>gasto intergubernamental en servicios públicos.</w:t>
      </w:r>
    </w:p>
    <w:p>
      <w:pPr>
        <w:pStyle w:val="BodyText"/>
        <w:rPr>
          <w:b/>
          <w:i/>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826"/>
        <w:gridCol w:w="1548"/>
        <w:gridCol w:w="1672"/>
        <w:gridCol w:w="1587"/>
      </w:tblGrid>
      <w:tr>
        <w:trPr>
          <w:trHeight w:val="452" w:hRule="exact"/>
        </w:trPr>
        <w:tc>
          <w:tcPr>
            <w:tcW w:w="454" w:type="dxa"/>
            <w:shd w:val="clear" w:color="auto" w:fill="D1D3D4"/>
          </w:tcPr>
          <w:p>
            <w:pPr/>
          </w:p>
        </w:tc>
        <w:tc>
          <w:tcPr>
            <w:tcW w:w="1826" w:type="dxa"/>
            <w:shd w:val="clear" w:color="auto" w:fill="D1D3D4"/>
          </w:tcPr>
          <w:p>
            <w:pPr>
              <w:pStyle w:val="TableParagraph"/>
              <w:spacing w:line="249" w:lineRule="auto" w:before="6"/>
              <w:ind w:left="490" w:right="361" w:hanging="111"/>
              <w:rPr>
                <w:b/>
                <w:sz w:val="18"/>
              </w:rPr>
            </w:pPr>
            <w:r>
              <w:rPr>
                <w:b/>
                <w:sz w:val="18"/>
              </w:rPr>
              <w:t>Capacidad de asociación.</w:t>
            </w:r>
          </w:p>
        </w:tc>
        <w:tc>
          <w:tcPr>
            <w:tcW w:w="1548" w:type="dxa"/>
            <w:shd w:val="clear" w:color="auto" w:fill="D1D3D4"/>
          </w:tcPr>
          <w:p>
            <w:pPr>
              <w:pStyle w:val="TableParagraph"/>
              <w:spacing w:line="249" w:lineRule="auto" w:before="6"/>
              <w:ind w:left="241" w:right="222" w:firstLine="92"/>
              <w:rPr>
                <w:b/>
                <w:sz w:val="18"/>
              </w:rPr>
            </w:pPr>
            <w:r>
              <w:rPr>
                <w:b/>
                <w:sz w:val="18"/>
              </w:rPr>
              <w:t>Restricción competencial.</w:t>
            </w:r>
          </w:p>
        </w:tc>
        <w:tc>
          <w:tcPr>
            <w:tcW w:w="1672" w:type="dxa"/>
            <w:shd w:val="clear" w:color="auto" w:fill="D1D3D4"/>
          </w:tcPr>
          <w:p>
            <w:pPr>
              <w:pStyle w:val="TableParagraph"/>
              <w:spacing w:line="249" w:lineRule="auto" w:before="6"/>
              <w:ind w:left="383" w:right="364" w:firstLine="17"/>
              <w:rPr>
                <w:b/>
                <w:sz w:val="18"/>
              </w:rPr>
            </w:pPr>
            <w:r>
              <w:rPr>
                <w:b/>
                <w:sz w:val="18"/>
              </w:rPr>
              <w:t>Evaluación subsidiaria.</w:t>
            </w:r>
          </w:p>
        </w:tc>
        <w:tc>
          <w:tcPr>
            <w:tcW w:w="1587" w:type="dxa"/>
            <w:shd w:val="clear" w:color="auto" w:fill="D1D3D4"/>
          </w:tcPr>
          <w:p>
            <w:pPr>
              <w:pStyle w:val="TableParagraph"/>
              <w:spacing w:line="249" w:lineRule="auto" w:before="6"/>
              <w:ind w:left="261" w:right="241" w:firstLine="249"/>
              <w:rPr>
                <w:b/>
                <w:sz w:val="18"/>
              </w:rPr>
            </w:pPr>
            <w:r>
              <w:rPr>
                <w:b/>
                <w:sz w:val="18"/>
              </w:rPr>
              <w:t>Avance competencial.</w:t>
            </w:r>
          </w:p>
        </w:tc>
      </w:tr>
      <w:tr>
        <w:trPr>
          <w:trHeight w:val="1967" w:hRule="exact"/>
        </w:trPr>
        <w:tc>
          <w:tcPr>
            <w:tcW w:w="454" w:type="dxa"/>
          </w:tcPr>
          <w:p>
            <w:pPr>
              <w:pStyle w:val="TableParagraph"/>
              <w:spacing w:before="6"/>
              <w:jc w:val="center"/>
              <w:rPr>
                <w:b/>
                <w:sz w:val="18"/>
              </w:rPr>
            </w:pPr>
            <w:r>
              <w:rPr>
                <w:b/>
                <w:sz w:val="18"/>
              </w:rPr>
              <w:t>8</w:t>
            </w:r>
          </w:p>
        </w:tc>
        <w:tc>
          <w:tcPr>
            <w:tcW w:w="1826" w:type="dxa"/>
          </w:tcPr>
          <w:p>
            <w:pPr>
              <w:pStyle w:val="TableParagraph"/>
              <w:spacing w:line="249" w:lineRule="auto"/>
              <w:ind w:left="102" w:right="101"/>
              <w:jc w:val="both"/>
              <w:rPr>
                <w:sz w:val="18"/>
              </w:rPr>
            </w:pPr>
            <w:r>
              <w:rPr>
                <w:sz w:val="18"/>
              </w:rPr>
              <w:t>Los órganos y fondos estatales relaciona- dos con los servicios públicos  promueven la implementación de PPS y el mayor gasto cofinanciado estatal y municipal.</w:t>
            </w:r>
          </w:p>
        </w:tc>
        <w:tc>
          <w:tcPr>
            <w:tcW w:w="1548" w:type="dxa"/>
          </w:tcPr>
          <w:p>
            <w:pPr>
              <w:pStyle w:val="TableParagraph"/>
              <w:spacing w:line="249" w:lineRule="auto"/>
              <w:ind w:left="102" w:right="100"/>
              <w:jc w:val="both"/>
              <w:rPr>
                <w:sz w:val="18"/>
              </w:rPr>
            </w:pPr>
            <w:r>
              <w:rPr>
                <w:sz w:val="18"/>
              </w:rPr>
              <w:t>Existencia de le- gislación estatal para la implemen- tación de PPS y del mayor gasto cofinanciado esta- tal y municipal.</w:t>
            </w:r>
          </w:p>
        </w:tc>
        <w:tc>
          <w:tcPr>
            <w:tcW w:w="1672" w:type="dxa"/>
          </w:tcPr>
          <w:p>
            <w:pPr>
              <w:pStyle w:val="TableParagraph"/>
              <w:spacing w:line="249" w:lineRule="auto"/>
              <w:ind w:left="102" w:right="100"/>
              <w:jc w:val="both"/>
              <w:rPr>
                <w:sz w:val="18"/>
              </w:rPr>
            </w:pPr>
            <w:r>
              <w:rPr>
                <w:sz w:val="18"/>
              </w:rPr>
              <w:t>Evaluación conti- nua e integral del cofinanciamiento público y privado inducido por los ór- ganos y fondos es- tatales relacionados con los servicios públicos.</w:t>
            </w:r>
          </w:p>
        </w:tc>
        <w:tc>
          <w:tcPr>
            <w:tcW w:w="1587" w:type="dxa"/>
          </w:tcPr>
          <w:p>
            <w:pPr>
              <w:pStyle w:val="TableParagraph"/>
              <w:spacing w:line="249" w:lineRule="auto"/>
              <w:ind w:left="102" w:right="100"/>
              <w:jc w:val="both"/>
              <w:rPr>
                <w:sz w:val="18"/>
              </w:rPr>
            </w:pPr>
            <w:r>
              <w:rPr>
                <w:sz w:val="18"/>
              </w:rPr>
              <w:t>Participación de estados y munici- pios en la imple- mentación de PPS y en el 50% de co- financiamiento en servicios públicos.</w:t>
            </w:r>
          </w:p>
        </w:tc>
      </w:tr>
    </w:tbl>
    <w:p>
      <w:pPr>
        <w:spacing w:after="0" w:line="249" w:lineRule="auto"/>
        <w:jc w:val="both"/>
        <w:rPr>
          <w:sz w:val="18"/>
        </w:rPr>
        <w:sectPr>
          <w:headerReference w:type="default" r:id="rId140"/>
          <w:footerReference w:type="default" r:id="rId141"/>
          <w:footerReference w:type="even" r:id="rId142"/>
          <w:pgSz w:w="9360" w:h="13040"/>
          <w:pgMar w:header="0" w:footer="514" w:top="1200" w:bottom="700" w:left="1300" w:right="720"/>
          <w:pgNumType w:start="63"/>
        </w:sectPr>
      </w:pPr>
    </w:p>
    <w:p>
      <w:pPr>
        <w:pStyle w:val="BodyText"/>
        <w:rPr>
          <w:sz w:val="20"/>
        </w:rPr>
      </w:pPr>
    </w:p>
    <w:p>
      <w:pPr>
        <w:pStyle w:val="BodyText"/>
        <w:rPr>
          <w:sz w:val="20"/>
        </w:rPr>
      </w:pPr>
    </w:p>
    <w:p>
      <w:pPr>
        <w:pStyle w:val="BodyText"/>
        <w:rPr>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826"/>
        <w:gridCol w:w="1548"/>
        <w:gridCol w:w="1672"/>
        <w:gridCol w:w="1587"/>
      </w:tblGrid>
      <w:tr>
        <w:trPr>
          <w:trHeight w:val="1967" w:hRule="exact"/>
        </w:trPr>
        <w:tc>
          <w:tcPr>
            <w:tcW w:w="454" w:type="dxa"/>
            <w:shd w:val="clear" w:color="auto" w:fill="D1D3D4"/>
          </w:tcPr>
          <w:p>
            <w:pPr>
              <w:pStyle w:val="TableParagraph"/>
              <w:spacing w:before="6"/>
              <w:jc w:val="center"/>
              <w:rPr>
                <w:b/>
                <w:sz w:val="18"/>
              </w:rPr>
            </w:pPr>
            <w:r>
              <w:rPr>
                <w:b/>
                <w:sz w:val="18"/>
              </w:rPr>
              <w:t>7</w:t>
            </w:r>
          </w:p>
        </w:tc>
        <w:tc>
          <w:tcPr>
            <w:tcW w:w="1826" w:type="dxa"/>
            <w:shd w:val="clear" w:color="auto" w:fill="D1D3D4"/>
          </w:tcPr>
          <w:p>
            <w:pPr>
              <w:pStyle w:val="TableParagraph"/>
              <w:spacing w:line="249" w:lineRule="auto" w:before="8"/>
              <w:ind w:left="103" w:right="100"/>
              <w:jc w:val="both"/>
              <w:rPr>
                <w:sz w:val="18"/>
              </w:rPr>
            </w:pPr>
            <w:r>
              <w:rPr>
                <w:sz w:val="18"/>
              </w:rPr>
              <w:t>Los órganos y fondos estatales relacionados con los servicios pú- blicos promueven el mayor gasto cofinan- ciado estatal y muni- cipal.</w:t>
            </w:r>
          </w:p>
        </w:tc>
        <w:tc>
          <w:tcPr>
            <w:tcW w:w="1548" w:type="dxa"/>
            <w:shd w:val="clear" w:color="auto" w:fill="D1D3D4"/>
          </w:tcPr>
          <w:p>
            <w:pPr>
              <w:pStyle w:val="TableParagraph"/>
              <w:spacing w:line="249" w:lineRule="auto" w:before="8"/>
              <w:ind w:left="103" w:right="100"/>
              <w:jc w:val="both"/>
              <w:rPr>
                <w:sz w:val="18"/>
              </w:rPr>
            </w:pPr>
            <w:r>
              <w:rPr>
                <w:sz w:val="18"/>
              </w:rPr>
              <w:t>Existencia de le- gislación estatal para promover el mayor gasto cofi- nanciado estatal y municipal.</w:t>
            </w:r>
          </w:p>
        </w:tc>
        <w:tc>
          <w:tcPr>
            <w:tcW w:w="1672" w:type="dxa"/>
            <w:shd w:val="clear" w:color="auto" w:fill="D1D3D4"/>
          </w:tcPr>
          <w:p>
            <w:pPr>
              <w:pStyle w:val="TableParagraph"/>
              <w:spacing w:line="249" w:lineRule="auto" w:before="8"/>
              <w:ind w:left="103" w:right="100"/>
              <w:jc w:val="both"/>
              <w:rPr>
                <w:sz w:val="18"/>
              </w:rPr>
            </w:pPr>
            <w:r>
              <w:rPr>
                <w:sz w:val="18"/>
              </w:rPr>
              <w:t>Evaluación conti- nua e integral del cofinanciamiento estatal y municipal inducido por los ór- ganos y fondos es- tatales relacionados con los servicios públicos.</w:t>
            </w:r>
          </w:p>
        </w:tc>
        <w:tc>
          <w:tcPr>
            <w:tcW w:w="1587" w:type="dxa"/>
            <w:shd w:val="clear" w:color="auto" w:fill="D1D3D4"/>
          </w:tcPr>
          <w:p>
            <w:pPr>
              <w:pStyle w:val="TableParagraph"/>
              <w:spacing w:line="249" w:lineRule="auto" w:before="8"/>
              <w:ind w:left="102" w:right="100"/>
              <w:jc w:val="both"/>
              <w:rPr>
                <w:sz w:val="18"/>
              </w:rPr>
            </w:pPr>
            <w:r>
              <w:rPr>
                <w:sz w:val="18"/>
              </w:rPr>
              <w:t>Participación de estados y mu- nicipios con un 43.75% de cofi- nanciamiento en servicios públicos.</w:t>
            </w:r>
          </w:p>
        </w:tc>
      </w:tr>
      <w:tr>
        <w:trPr>
          <w:trHeight w:val="1319" w:hRule="exact"/>
        </w:trPr>
        <w:tc>
          <w:tcPr>
            <w:tcW w:w="454" w:type="dxa"/>
          </w:tcPr>
          <w:p>
            <w:pPr>
              <w:pStyle w:val="TableParagraph"/>
              <w:spacing w:before="6"/>
              <w:jc w:val="center"/>
              <w:rPr>
                <w:b/>
                <w:sz w:val="18"/>
              </w:rPr>
            </w:pPr>
            <w:r>
              <w:rPr>
                <w:b/>
                <w:sz w:val="18"/>
              </w:rPr>
              <w:t>6</w:t>
            </w:r>
          </w:p>
        </w:tc>
        <w:tc>
          <w:tcPr>
            <w:tcW w:w="1826" w:type="dxa"/>
          </w:tcPr>
          <w:p>
            <w:pPr>
              <w:pStyle w:val="TableParagraph"/>
              <w:spacing w:line="249" w:lineRule="auto" w:before="8"/>
              <w:ind w:left="103" w:right="100"/>
              <w:jc w:val="both"/>
              <w:rPr>
                <w:sz w:val="18"/>
              </w:rPr>
            </w:pPr>
            <w:r>
              <w:rPr>
                <w:sz w:val="18"/>
              </w:rPr>
              <w:t>El  SNCF  promueve el mayor gasto co- financiado estatal y municipal en</w:t>
            </w:r>
            <w:r>
              <w:rPr>
                <w:spacing w:val="-20"/>
                <w:sz w:val="18"/>
              </w:rPr>
              <w:t> </w:t>
            </w:r>
            <w:r>
              <w:rPr>
                <w:sz w:val="18"/>
              </w:rPr>
              <w:t>servicios públicos.</w:t>
            </w:r>
          </w:p>
        </w:tc>
        <w:tc>
          <w:tcPr>
            <w:tcW w:w="1548" w:type="dxa"/>
          </w:tcPr>
          <w:p>
            <w:pPr>
              <w:pStyle w:val="TableParagraph"/>
              <w:spacing w:line="249" w:lineRule="auto" w:before="8"/>
              <w:ind w:left="103" w:right="100"/>
              <w:jc w:val="both"/>
              <w:rPr>
                <w:sz w:val="18"/>
              </w:rPr>
            </w:pPr>
            <w:r>
              <w:rPr>
                <w:sz w:val="18"/>
              </w:rPr>
              <w:t>Existencia de le- gislación federal para promover el mayor gasto cofi- nanciado estatal y municipal.</w:t>
            </w:r>
          </w:p>
        </w:tc>
        <w:tc>
          <w:tcPr>
            <w:tcW w:w="1672" w:type="dxa"/>
          </w:tcPr>
          <w:p>
            <w:pPr>
              <w:pStyle w:val="TableParagraph"/>
              <w:spacing w:line="249" w:lineRule="auto" w:before="8"/>
              <w:ind w:left="103" w:right="100"/>
              <w:jc w:val="both"/>
              <w:rPr>
                <w:sz w:val="18"/>
              </w:rPr>
            </w:pPr>
            <w:r>
              <w:rPr>
                <w:sz w:val="18"/>
              </w:rPr>
              <w:t>Evaluación conti- nua e integral del </w:t>
            </w:r>
            <w:r>
              <w:rPr>
                <w:spacing w:val="12"/>
                <w:sz w:val="18"/>
              </w:rPr>
              <w:t>cofinanciamiento </w:t>
            </w:r>
            <w:r>
              <w:rPr>
                <w:sz w:val="18"/>
              </w:rPr>
              <w:t>estatal y munici-  pal inducido por el </w:t>
            </w:r>
            <w:r>
              <w:rPr>
                <w:spacing w:val="-4"/>
                <w:sz w:val="18"/>
              </w:rPr>
              <w:t>SECF.</w:t>
            </w:r>
          </w:p>
        </w:tc>
        <w:tc>
          <w:tcPr>
            <w:tcW w:w="1587" w:type="dxa"/>
          </w:tcPr>
          <w:p>
            <w:pPr>
              <w:pStyle w:val="TableParagraph"/>
              <w:spacing w:line="249" w:lineRule="auto" w:before="8"/>
              <w:ind w:left="102" w:right="100"/>
              <w:jc w:val="both"/>
              <w:rPr>
                <w:sz w:val="18"/>
              </w:rPr>
            </w:pPr>
            <w:r>
              <w:rPr>
                <w:sz w:val="18"/>
              </w:rPr>
              <w:t>Participación de estados y mu- nicipios con un 37.50% de cofi- nanciamiento en servicios públicos.</w:t>
            </w:r>
          </w:p>
        </w:tc>
      </w:tr>
      <w:tr>
        <w:trPr>
          <w:trHeight w:val="1751" w:hRule="exact"/>
        </w:trPr>
        <w:tc>
          <w:tcPr>
            <w:tcW w:w="454" w:type="dxa"/>
            <w:shd w:val="clear" w:color="auto" w:fill="D1D3D4"/>
          </w:tcPr>
          <w:p>
            <w:pPr>
              <w:pStyle w:val="TableParagraph"/>
              <w:spacing w:before="6"/>
              <w:jc w:val="center"/>
              <w:rPr>
                <w:b/>
                <w:sz w:val="18"/>
              </w:rPr>
            </w:pPr>
            <w:r>
              <w:rPr>
                <w:b/>
                <w:sz w:val="18"/>
              </w:rPr>
              <w:t>5</w:t>
            </w:r>
          </w:p>
        </w:tc>
        <w:tc>
          <w:tcPr>
            <w:tcW w:w="1826" w:type="dxa"/>
            <w:shd w:val="clear" w:color="auto" w:fill="D1D3D4"/>
          </w:tcPr>
          <w:p>
            <w:pPr>
              <w:pStyle w:val="TableParagraph"/>
              <w:spacing w:line="249" w:lineRule="auto"/>
              <w:ind w:left="103" w:right="100"/>
              <w:jc w:val="both"/>
              <w:rPr>
                <w:sz w:val="18"/>
              </w:rPr>
            </w:pPr>
            <w:r>
              <w:rPr>
                <w:sz w:val="18"/>
              </w:rPr>
              <w:t>Los órganos inter- gubernamentales re- lacionados con los servicios públicos promueven el mayor gasto cofinanciado es- tatal y municipal.</w:t>
            </w:r>
          </w:p>
        </w:tc>
        <w:tc>
          <w:tcPr>
            <w:tcW w:w="1548" w:type="dxa"/>
            <w:shd w:val="clear" w:color="auto" w:fill="D1D3D4"/>
          </w:tcPr>
          <w:p>
            <w:pPr>
              <w:pStyle w:val="TableParagraph"/>
              <w:spacing w:line="249" w:lineRule="auto"/>
              <w:ind w:left="103" w:right="100"/>
              <w:jc w:val="both"/>
              <w:rPr>
                <w:sz w:val="18"/>
              </w:rPr>
            </w:pPr>
            <w:r>
              <w:rPr>
                <w:sz w:val="18"/>
              </w:rPr>
              <w:t>Existencia de re- glamentos orgáni- cos para proyectar el mayor gasto co- financiado estatal y municipal.</w:t>
            </w:r>
          </w:p>
        </w:tc>
        <w:tc>
          <w:tcPr>
            <w:tcW w:w="1672" w:type="dxa"/>
            <w:shd w:val="clear" w:color="auto" w:fill="D1D3D4"/>
          </w:tcPr>
          <w:p>
            <w:pPr>
              <w:pStyle w:val="TableParagraph"/>
              <w:spacing w:line="249" w:lineRule="auto"/>
              <w:ind w:left="103" w:right="100"/>
              <w:jc w:val="both"/>
              <w:rPr>
                <w:sz w:val="18"/>
              </w:rPr>
            </w:pPr>
            <w:r>
              <w:rPr>
                <w:sz w:val="18"/>
              </w:rPr>
              <w:t>Evaluación con- tinua del cofinan- ciamiento estatal y municipal inducido por los órganos in- tergubernamentales relacionados con</w:t>
            </w:r>
            <w:r>
              <w:rPr>
                <w:spacing w:val="-14"/>
                <w:sz w:val="18"/>
              </w:rPr>
              <w:t> </w:t>
            </w:r>
            <w:r>
              <w:rPr>
                <w:sz w:val="18"/>
              </w:rPr>
              <w:t>los servicios</w:t>
            </w:r>
            <w:r>
              <w:rPr>
                <w:spacing w:val="-8"/>
                <w:sz w:val="18"/>
              </w:rPr>
              <w:t> </w:t>
            </w:r>
            <w:r>
              <w:rPr>
                <w:sz w:val="18"/>
              </w:rPr>
              <w:t>públicos.</w:t>
            </w:r>
          </w:p>
        </w:tc>
        <w:tc>
          <w:tcPr>
            <w:tcW w:w="1587" w:type="dxa"/>
            <w:shd w:val="clear" w:color="auto" w:fill="D1D3D4"/>
          </w:tcPr>
          <w:p>
            <w:pPr>
              <w:pStyle w:val="TableParagraph"/>
              <w:spacing w:line="249" w:lineRule="auto"/>
              <w:ind w:left="102" w:right="100"/>
              <w:jc w:val="both"/>
              <w:rPr>
                <w:sz w:val="18"/>
              </w:rPr>
            </w:pPr>
            <w:r>
              <w:rPr>
                <w:sz w:val="18"/>
              </w:rPr>
              <w:t>Participación de estados y mu- nicipios con un 31.25% de cofi- nanciamiento en servicios públicos.</w:t>
            </w:r>
          </w:p>
        </w:tc>
      </w:tr>
      <w:tr>
        <w:trPr>
          <w:trHeight w:val="1751" w:hRule="exact"/>
        </w:trPr>
        <w:tc>
          <w:tcPr>
            <w:tcW w:w="454" w:type="dxa"/>
          </w:tcPr>
          <w:p>
            <w:pPr>
              <w:pStyle w:val="TableParagraph"/>
              <w:spacing w:before="6"/>
              <w:jc w:val="center"/>
              <w:rPr>
                <w:b/>
                <w:sz w:val="18"/>
              </w:rPr>
            </w:pPr>
            <w:r>
              <w:rPr>
                <w:b/>
                <w:sz w:val="18"/>
              </w:rPr>
              <w:t>4</w:t>
            </w:r>
          </w:p>
        </w:tc>
        <w:tc>
          <w:tcPr>
            <w:tcW w:w="1826" w:type="dxa"/>
          </w:tcPr>
          <w:p>
            <w:pPr>
              <w:pStyle w:val="TableParagraph"/>
              <w:spacing w:line="249" w:lineRule="auto"/>
              <w:ind w:left="103" w:right="100"/>
              <w:jc w:val="both"/>
              <w:rPr>
                <w:sz w:val="18"/>
              </w:rPr>
            </w:pPr>
            <w:r>
              <w:rPr>
                <w:sz w:val="18"/>
              </w:rPr>
              <w:t>Las aportaciones, ren- dimientos   petroleros y convenios promue- ven el mayor gasto cofinanciado estatal y municipal en</w:t>
            </w:r>
            <w:r>
              <w:rPr>
                <w:spacing w:val="-20"/>
                <w:sz w:val="18"/>
              </w:rPr>
              <w:t> </w:t>
            </w:r>
            <w:r>
              <w:rPr>
                <w:sz w:val="18"/>
              </w:rPr>
              <w:t>servicios públicos.</w:t>
            </w:r>
          </w:p>
        </w:tc>
        <w:tc>
          <w:tcPr>
            <w:tcW w:w="1548" w:type="dxa"/>
          </w:tcPr>
          <w:p>
            <w:pPr>
              <w:pStyle w:val="TableParagraph"/>
              <w:spacing w:line="249" w:lineRule="auto"/>
              <w:ind w:left="103" w:right="100"/>
              <w:jc w:val="both"/>
              <w:rPr>
                <w:sz w:val="18"/>
              </w:rPr>
            </w:pPr>
            <w:r>
              <w:rPr>
                <w:sz w:val="18"/>
              </w:rPr>
              <w:t>Existencia de reglas de opera- ción, fideicomi- sos y convenios para proyectar el mayor gasto cofi- nanciado estatal y municipal.</w:t>
            </w:r>
          </w:p>
        </w:tc>
        <w:tc>
          <w:tcPr>
            <w:tcW w:w="1672" w:type="dxa"/>
          </w:tcPr>
          <w:p>
            <w:pPr>
              <w:pStyle w:val="TableParagraph"/>
              <w:spacing w:line="249" w:lineRule="auto"/>
              <w:ind w:left="103" w:right="100"/>
              <w:jc w:val="both"/>
              <w:rPr>
                <w:sz w:val="18"/>
              </w:rPr>
            </w:pPr>
            <w:r>
              <w:rPr>
                <w:sz w:val="18"/>
              </w:rPr>
              <w:t>Evaluación conti- nua del cofinancia- miento estatal y</w:t>
            </w:r>
            <w:r>
              <w:rPr>
                <w:spacing w:val="-21"/>
                <w:sz w:val="18"/>
              </w:rPr>
              <w:t> </w:t>
            </w:r>
            <w:r>
              <w:rPr>
                <w:sz w:val="18"/>
              </w:rPr>
              <w:t>mu- nicipal inducido por las aportaciones, rendimientos petro- leros y</w:t>
            </w:r>
            <w:r>
              <w:rPr>
                <w:spacing w:val="-1"/>
                <w:sz w:val="18"/>
              </w:rPr>
              <w:t> </w:t>
            </w:r>
            <w:r>
              <w:rPr>
                <w:sz w:val="18"/>
              </w:rPr>
              <w:t>convenios.</w:t>
            </w:r>
          </w:p>
        </w:tc>
        <w:tc>
          <w:tcPr>
            <w:tcW w:w="1587" w:type="dxa"/>
          </w:tcPr>
          <w:p>
            <w:pPr>
              <w:pStyle w:val="TableParagraph"/>
              <w:spacing w:line="249" w:lineRule="auto"/>
              <w:ind w:left="102" w:right="101"/>
              <w:jc w:val="both"/>
              <w:rPr>
                <w:sz w:val="18"/>
              </w:rPr>
            </w:pPr>
            <w:r>
              <w:rPr>
                <w:sz w:val="18"/>
              </w:rPr>
              <w:t>Participación de estados y munici- pios con un 25% de</w:t>
            </w:r>
            <w:r>
              <w:rPr>
                <w:spacing w:val="-14"/>
                <w:sz w:val="18"/>
              </w:rPr>
              <w:t> </w:t>
            </w:r>
            <w:r>
              <w:rPr>
                <w:sz w:val="18"/>
              </w:rPr>
              <w:t>cofinanciamien- to en servicios pú- blicos.</w:t>
            </w:r>
          </w:p>
        </w:tc>
      </w:tr>
      <w:tr>
        <w:trPr>
          <w:trHeight w:val="1751" w:hRule="exact"/>
        </w:trPr>
        <w:tc>
          <w:tcPr>
            <w:tcW w:w="454" w:type="dxa"/>
            <w:shd w:val="clear" w:color="auto" w:fill="D1D3D4"/>
          </w:tcPr>
          <w:p>
            <w:pPr>
              <w:pStyle w:val="TableParagraph"/>
              <w:spacing w:before="6"/>
              <w:jc w:val="center"/>
              <w:rPr>
                <w:b/>
                <w:sz w:val="18"/>
              </w:rPr>
            </w:pPr>
            <w:r>
              <w:rPr>
                <w:b/>
                <w:sz w:val="18"/>
              </w:rPr>
              <w:t>3</w:t>
            </w:r>
          </w:p>
        </w:tc>
        <w:tc>
          <w:tcPr>
            <w:tcW w:w="1826" w:type="dxa"/>
            <w:shd w:val="clear" w:color="auto" w:fill="D1D3D4"/>
          </w:tcPr>
          <w:p>
            <w:pPr>
              <w:pStyle w:val="TableParagraph"/>
              <w:spacing w:line="249" w:lineRule="auto"/>
              <w:ind w:left="103" w:right="100"/>
              <w:jc w:val="both"/>
              <w:rPr>
                <w:sz w:val="18"/>
              </w:rPr>
            </w:pPr>
            <w:r>
              <w:rPr>
                <w:sz w:val="18"/>
              </w:rPr>
              <w:t>Las aportaciones y convenios promue- ven el mayor gasto cofinanciado estatal y municipal en</w:t>
            </w:r>
            <w:r>
              <w:rPr>
                <w:spacing w:val="-20"/>
                <w:sz w:val="18"/>
              </w:rPr>
              <w:t> </w:t>
            </w:r>
            <w:r>
              <w:rPr>
                <w:sz w:val="18"/>
              </w:rPr>
              <w:t>servicios públicos.</w:t>
            </w:r>
          </w:p>
        </w:tc>
        <w:tc>
          <w:tcPr>
            <w:tcW w:w="1548" w:type="dxa"/>
            <w:shd w:val="clear" w:color="auto" w:fill="D1D3D4"/>
          </w:tcPr>
          <w:p>
            <w:pPr>
              <w:pStyle w:val="TableParagraph"/>
              <w:spacing w:line="249" w:lineRule="auto"/>
              <w:ind w:left="103" w:right="100"/>
              <w:jc w:val="both"/>
              <w:rPr>
                <w:sz w:val="18"/>
              </w:rPr>
            </w:pPr>
            <w:r>
              <w:rPr>
                <w:sz w:val="18"/>
              </w:rPr>
              <w:t>Existencia de reglas de opera- ción y convenios para proyectar para proyectar el mayor gasto cofi- nanciado estatal y municipal.</w:t>
            </w:r>
          </w:p>
        </w:tc>
        <w:tc>
          <w:tcPr>
            <w:tcW w:w="1672" w:type="dxa"/>
            <w:shd w:val="clear" w:color="auto" w:fill="D1D3D4"/>
          </w:tcPr>
          <w:p>
            <w:pPr>
              <w:pStyle w:val="TableParagraph"/>
              <w:spacing w:line="249" w:lineRule="auto"/>
              <w:ind w:left="103" w:right="100"/>
              <w:jc w:val="both"/>
              <w:rPr>
                <w:sz w:val="18"/>
              </w:rPr>
            </w:pPr>
            <w:r>
              <w:rPr>
                <w:sz w:val="18"/>
              </w:rPr>
              <w:t>Evaluación con- tinua del cofinan- ciamiento estatal y municipal inducido por las aportaciones y convenios.</w:t>
            </w:r>
          </w:p>
        </w:tc>
        <w:tc>
          <w:tcPr>
            <w:tcW w:w="1587" w:type="dxa"/>
            <w:shd w:val="clear" w:color="auto" w:fill="D1D3D4"/>
          </w:tcPr>
          <w:p>
            <w:pPr>
              <w:pStyle w:val="TableParagraph"/>
              <w:spacing w:line="249" w:lineRule="auto"/>
              <w:ind w:left="102" w:right="100"/>
              <w:jc w:val="both"/>
              <w:rPr>
                <w:sz w:val="18"/>
              </w:rPr>
            </w:pPr>
            <w:r>
              <w:rPr>
                <w:sz w:val="18"/>
              </w:rPr>
              <w:t>Participación de estados y mu- nicipios con un 18.75% de cofi- nanciamiento en servicios públicos.</w:t>
            </w:r>
          </w:p>
        </w:tc>
      </w:tr>
      <w:tr>
        <w:trPr>
          <w:trHeight w:val="1535" w:hRule="exact"/>
        </w:trPr>
        <w:tc>
          <w:tcPr>
            <w:tcW w:w="454" w:type="dxa"/>
          </w:tcPr>
          <w:p>
            <w:pPr>
              <w:pStyle w:val="TableParagraph"/>
              <w:spacing w:before="6"/>
              <w:jc w:val="center"/>
              <w:rPr>
                <w:b/>
                <w:sz w:val="18"/>
              </w:rPr>
            </w:pPr>
            <w:r>
              <w:rPr>
                <w:b/>
                <w:sz w:val="18"/>
              </w:rPr>
              <w:t>2</w:t>
            </w:r>
          </w:p>
        </w:tc>
        <w:tc>
          <w:tcPr>
            <w:tcW w:w="1826" w:type="dxa"/>
          </w:tcPr>
          <w:p>
            <w:pPr>
              <w:pStyle w:val="TableParagraph"/>
              <w:spacing w:line="249" w:lineRule="auto"/>
              <w:ind w:left="103" w:right="100"/>
              <w:jc w:val="both"/>
              <w:rPr>
                <w:sz w:val="18"/>
              </w:rPr>
            </w:pPr>
            <w:r>
              <w:rPr>
                <w:sz w:val="18"/>
              </w:rPr>
              <w:t>Los convenios sec- toriales y especiales promueven el mayor gasto cofinanciado estatal y municipal en servicios públicos.</w:t>
            </w:r>
          </w:p>
        </w:tc>
        <w:tc>
          <w:tcPr>
            <w:tcW w:w="1548" w:type="dxa"/>
          </w:tcPr>
          <w:p>
            <w:pPr>
              <w:pStyle w:val="TableParagraph"/>
              <w:spacing w:line="249" w:lineRule="auto"/>
              <w:ind w:left="103" w:right="100"/>
              <w:jc w:val="both"/>
              <w:rPr>
                <w:sz w:val="18"/>
              </w:rPr>
            </w:pPr>
            <w:r>
              <w:rPr>
                <w:sz w:val="18"/>
              </w:rPr>
              <w:t>Existencia de convenios secto- riales y especiales para proyectar el mayor gasto cofi- nanciado estatal y municipal.</w:t>
            </w:r>
          </w:p>
        </w:tc>
        <w:tc>
          <w:tcPr>
            <w:tcW w:w="1672" w:type="dxa"/>
          </w:tcPr>
          <w:p>
            <w:pPr>
              <w:pStyle w:val="TableParagraph"/>
              <w:spacing w:line="249" w:lineRule="auto"/>
              <w:ind w:left="103" w:right="100"/>
              <w:jc w:val="both"/>
              <w:rPr>
                <w:sz w:val="18"/>
              </w:rPr>
            </w:pPr>
            <w:r>
              <w:rPr>
                <w:sz w:val="18"/>
              </w:rPr>
              <w:t>Evaluación conti- nua del cofinancia- miento estatal y</w:t>
            </w:r>
            <w:r>
              <w:rPr>
                <w:spacing w:val="-21"/>
                <w:sz w:val="18"/>
              </w:rPr>
              <w:t> </w:t>
            </w:r>
            <w:r>
              <w:rPr>
                <w:sz w:val="18"/>
              </w:rPr>
              <w:t>mu- nicipal inducido por los convenios</w:t>
            </w:r>
            <w:r>
              <w:rPr>
                <w:spacing w:val="-8"/>
                <w:sz w:val="18"/>
              </w:rPr>
              <w:t> </w:t>
            </w:r>
            <w:r>
              <w:rPr>
                <w:sz w:val="18"/>
              </w:rPr>
              <w:t>secto- riales y especiales.</w:t>
            </w:r>
          </w:p>
        </w:tc>
        <w:tc>
          <w:tcPr>
            <w:tcW w:w="1587" w:type="dxa"/>
          </w:tcPr>
          <w:p>
            <w:pPr>
              <w:pStyle w:val="TableParagraph"/>
              <w:spacing w:line="249" w:lineRule="auto"/>
              <w:ind w:left="102" w:right="101"/>
              <w:jc w:val="both"/>
              <w:rPr>
                <w:sz w:val="18"/>
              </w:rPr>
            </w:pPr>
            <w:r>
              <w:rPr>
                <w:sz w:val="18"/>
              </w:rPr>
              <w:t>Participación de estados y munici- pios con un 13% de</w:t>
            </w:r>
            <w:r>
              <w:rPr>
                <w:spacing w:val="-14"/>
                <w:sz w:val="18"/>
              </w:rPr>
              <w:t> </w:t>
            </w:r>
            <w:r>
              <w:rPr>
                <w:sz w:val="18"/>
              </w:rPr>
              <w:t>cofinanciamien- to en servicios pú- blicos.</w:t>
            </w:r>
          </w:p>
        </w:tc>
      </w:tr>
    </w:tbl>
    <w:p>
      <w:pPr>
        <w:spacing w:after="0" w:line="249" w:lineRule="auto"/>
        <w:jc w:val="both"/>
        <w:rPr>
          <w:sz w:val="18"/>
        </w:rPr>
        <w:sectPr>
          <w:headerReference w:type="default" r:id="rId143"/>
          <w:headerReference w:type="even" r:id="rId144"/>
          <w:pgSz w:w="9360" w:h="13040"/>
          <w:pgMar w:header="527" w:footer="514" w:top="720" w:bottom="700" w:left="740" w:right="1300"/>
        </w:sectPr>
      </w:pPr>
    </w:p>
    <w:p>
      <w:pPr>
        <w:pStyle w:val="BodyText"/>
        <w:rPr>
          <w:sz w:val="20"/>
        </w:rPr>
      </w:pPr>
    </w:p>
    <w:p>
      <w:pPr>
        <w:pStyle w:val="BodyText"/>
        <w:spacing w:before="10"/>
        <w:rPr>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4"/>
        <w:gridCol w:w="1826"/>
        <w:gridCol w:w="1548"/>
        <w:gridCol w:w="1672"/>
        <w:gridCol w:w="1587"/>
      </w:tblGrid>
      <w:tr>
        <w:trPr>
          <w:trHeight w:val="1319" w:hRule="exact"/>
        </w:trPr>
        <w:tc>
          <w:tcPr>
            <w:tcW w:w="454" w:type="dxa"/>
            <w:shd w:val="clear" w:color="auto" w:fill="D1D3D4"/>
          </w:tcPr>
          <w:p>
            <w:pPr>
              <w:pStyle w:val="TableParagraph"/>
              <w:spacing w:before="6"/>
              <w:jc w:val="center"/>
              <w:rPr>
                <w:b/>
                <w:sz w:val="18"/>
              </w:rPr>
            </w:pPr>
            <w:r>
              <w:rPr>
                <w:b/>
                <w:sz w:val="18"/>
              </w:rPr>
              <w:t>1</w:t>
            </w:r>
          </w:p>
        </w:tc>
        <w:tc>
          <w:tcPr>
            <w:tcW w:w="1826" w:type="dxa"/>
            <w:shd w:val="clear" w:color="auto" w:fill="D1D3D4"/>
          </w:tcPr>
          <w:p>
            <w:pPr>
              <w:pStyle w:val="TableParagraph"/>
              <w:spacing w:line="249" w:lineRule="auto" w:before="8"/>
              <w:ind w:left="103" w:right="100"/>
              <w:jc w:val="both"/>
              <w:rPr>
                <w:sz w:val="18"/>
              </w:rPr>
            </w:pPr>
            <w:r>
              <w:rPr>
                <w:sz w:val="18"/>
              </w:rPr>
              <w:t>Los convenios espe- ciales promueven el mayor gasto cofinan- ciado estatal y mu- nicipal en servicios públicos.</w:t>
            </w:r>
          </w:p>
        </w:tc>
        <w:tc>
          <w:tcPr>
            <w:tcW w:w="1548" w:type="dxa"/>
            <w:shd w:val="clear" w:color="auto" w:fill="D1D3D4"/>
          </w:tcPr>
          <w:p>
            <w:pPr>
              <w:pStyle w:val="TableParagraph"/>
              <w:spacing w:line="249" w:lineRule="auto" w:before="8"/>
              <w:ind w:left="103" w:right="100"/>
              <w:jc w:val="both"/>
              <w:rPr>
                <w:sz w:val="18"/>
              </w:rPr>
            </w:pPr>
            <w:r>
              <w:rPr>
                <w:sz w:val="18"/>
              </w:rPr>
              <w:t>Existencia de con- venios especiales para proyectar el mayor gasto cofi- nanciado estatal y municipal.</w:t>
            </w:r>
          </w:p>
        </w:tc>
        <w:tc>
          <w:tcPr>
            <w:tcW w:w="1672" w:type="dxa"/>
            <w:shd w:val="clear" w:color="auto" w:fill="D1D3D4"/>
          </w:tcPr>
          <w:p>
            <w:pPr>
              <w:pStyle w:val="TableParagraph"/>
              <w:spacing w:line="249" w:lineRule="auto" w:before="8"/>
              <w:ind w:left="102" w:right="100"/>
              <w:jc w:val="both"/>
              <w:rPr>
                <w:sz w:val="18"/>
              </w:rPr>
            </w:pPr>
            <w:r>
              <w:rPr>
                <w:sz w:val="18"/>
              </w:rPr>
              <w:t>Evaluación con- tinua del cofinan- ciamiento estatal y municipal inducido por los convenios especiales.</w:t>
            </w:r>
          </w:p>
        </w:tc>
        <w:tc>
          <w:tcPr>
            <w:tcW w:w="1587" w:type="dxa"/>
            <w:shd w:val="clear" w:color="auto" w:fill="D1D3D4"/>
          </w:tcPr>
          <w:p>
            <w:pPr>
              <w:pStyle w:val="TableParagraph"/>
              <w:spacing w:line="249" w:lineRule="auto" w:before="8"/>
              <w:ind w:left="102" w:right="101"/>
              <w:jc w:val="both"/>
              <w:rPr>
                <w:sz w:val="18"/>
              </w:rPr>
            </w:pPr>
            <w:r>
              <w:rPr>
                <w:sz w:val="18"/>
              </w:rPr>
              <w:t>Participación de estados y munici- pios con un 6.25% de</w:t>
            </w:r>
            <w:r>
              <w:rPr>
                <w:spacing w:val="-14"/>
                <w:sz w:val="18"/>
              </w:rPr>
              <w:t> </w:t>
            </w:r>
            <w:r>
              <w:rPr>
                <w:sz w:val="18"/>
              </w:rPr>
              <w:t>cofinanciamien- to en servicios pú- blicos.</w:t>
            </w:r>
          </w:p>
        </w:tc>
      </w:tr>
      <w:tr>
        <w:trPr>
          <w:trHeight w:val="1319" w:hRule="exact"/>
        </w:trPr>
        <w:tc>
          <w:tcPr>
            <w:tcW w:w="454" w:type="dxa"/>
          </w:tcPr>
          <w:p>
            <w:pPr>
              <w:pStyle w:val="TableParagraph"/>
              <w:spacing w:before="6"/>
              <w:jc w:val="center"/>
              <w:rPr>
                <w:b/>
                <w:sz w:val="18"/>
              </w:rPr>
            </w:pPr>
            <w:r>
              <w:rPr>
                <w:b/>
                <w:sz w:val="18"/>
              </w:rPr>
              <w:t>0</w:t>
            </w:r>
          </w:p>
        </w:tc>
        <w:tc>
          <w:tcPr>
            <w:tcW w:w="1826" w:type="dxa"/>
          </w:tcPr>
          <w:p>
            <w:pPr>
              <w:pStyle w:val="TableParagraph"/>
              <w:spacing w:line="249" w:lineRule="auto" w:before="8"/>
              <w:ind w:left="103" w:right="100"/>
              <w:jc w:val="both"/>
              <w:rPr>
                <w:sz w:val="18"/>
              </w:rPr>
            </w:pPr>
            <w:r>
              <w:rPr>
                <w:sz w:val="18"/>
              </w:rPr>
              <w:t>Los órganos y fondos federales y estatales promueven la extra- limitación financiera del orden federal.</w:t>
            </w:r>
          </w:p>
        </w:tc>
        <w:tc>
          <w:tcPr>
            <w:tcW w:w="1548" w:type="dxa"/>
          </w:tcPr>
          <w:p>
            <w:pPr>
              <w:pStyle w:val="TableParagraph"/>
              <w:spacing w:line="249" w:lineRule="auto" w:before="8"/>
              <w:ind w:left="103" w:right="100"/>
              <w:jc w:val="both"/>
              <w:rPr>
                <w:sz w:val="18"/>
              </w:rPr>
            </w:pPr>
            <w:r>
              <w:rPr>
                <w:sz w:val="18"/>
              </w:rPr>
              <w:t>Los instrumentos jurídicos existen- tes omiten</w:t>
            </w:r>
            <w:r>
              <w:rPr>
                <w:spacing w:val="-10"/>
                <w:sz w:val="18"/>
              </w:rPr>
              <w:t> </w:t>
            </w:r>
            <w:r>
              <w:rPr>
                <w:sz w:val="18"/>
              </w:rPr>
              <w:t>proyec- tar un gasto cofi- nanciado estatal y municipal.</w:t>
            </w:r>
          </w:p>
        </w:tc>
        <w:tc>
          <w:tcPr>
            <w:tcW w:w="1672" w:type="dxa"/>
          </w:tcPr>
          <w:p>
            <w:pPr>
              <w:pStyle w:val="TableParagraph"/>
              <w:spacing w:line="249" w:lineRule="auto" w:before="8"/>
              <w:ind w:left="102" w:right="100"/>
              <w:jc w:val="both"/>
              <w:rPr>
                <w:sz w:val="18"/>
              </w:rPr>
            </w:pPr>
            <w:r>
              <w:rPr>
                <w:sz w:val="18"/>
              </w:rPr>
              <w:t>La Evaluación del </w:t>
            </w:r>
            <w:r>
              <w:rPr>
                <w:spacing w:val="12"/>
                <w:sz w:val="18"/>
              </w:rPr>
              <w:t>cofinanciamiento </w:t>
            </w:r>
            <w:r>
              <w:rPr>
                <w:sz w:val="18"/>
              </w:rPr>
              <w:t>estatal y municipal no es factor para</w:t>
            </w:r>
            <w:r>
              <w:rPr>
                <w:spacing w:val="-24"/>
                <w:sz w:val="18"/>
              </w:rPr>
              <w:t> </w:t>
            </w:r>
            <w:r>
              <w:rPr>
                <w:sz w:val="18"/>
              </w:rPr>
              <w:t>op- timizar el gasto en servicios</w:t>
            </w:r>
            <w:r>
              <w:rPr>
                <w:spacing w:val="-8"/>
                <w:sz w:val="18"/>
              </w:rPr>
              <w:t> </w:t>
            </w:r>
            <w:r>
              <w:rPr>
                <w:sz w:val="18"/>
              </w:rPr>
              <w:t>públicos.</w:t>
            </w:r>
          </w:p>
        </w:tc>
        <w:tc>
          <w:tcPr>
            <w:tcW w:w="1587" w:type="dxa"/>
          </w:tcPr>
          <w:p>
            <w:pPr>
              <w:pStyle w:val="TableParagraph"/>
              <w:spacing w:line="249" w:lineRule="auto" w:before="8"/>
              <w:ind w:left="102" w:right="100"/>
              <w:jc w:val="both"/>
              <w:rPr>
                <w:sz w:val="18"/>
              </w:rPr>
            </w:pPr>
            <w:r>
              <w:rPr>
                <w:sz w:val="18"/>
              </w:rPr>
              <w:t>0% de cofinancia- miento de estados y municipios en servicios públicos.</w:t>
            </w:r>
          </w:p>
        </w:tc>
      </w:tr>
    </w:tbl>
    <w:p>
      <w:pPr>
        <w:pStyle w:val="BodyText"/>
        <w:spacing w:before="3"/>
        <w:rPr>
          <w:sz w:val="14"/>
        </w:rPr>
      </w:pPr>
    </w:p>
    <w:p>
      <w:pPr>
        <w:pStyle w:val="BodyText"/>
        <w:spacing w:line="244" w:lineRule="auto" w:before="71"/>
        <w:ind w:left="117" w:right="127"/>
        <w:jc w:val="both"/>
      </w:pPr>
      <w:r>
        <w:rPr/>
        <w:t>Esta escala de evaluación ha permitido contrastar la visión para cada elemento del federalismo subsidiario en materia de gasto intergubernamental respecto a la realidad existente en una muestra de seis gobiernos estatales (Aguascalientes,</w:t>
      </w:r>
      <w:r>
        <w:rPr>
          <w:spacing w:val="-22"/>
        </w:rPr>
        <w:t> </w:t>
      </w:r>
      <w:r>
        <w:rPr/>
        <w:t>Baja</w:t>
      </w:r>
      <w:r>
        <w:rPr>
          <w:spacing w:val="-22"/>
        </w:rPr>
        <w:t> </w:t>
      </w:r>
      <w:r>
        <w:rPr/>
        <w:t>California,</w:t>
      </w:r>
      <w:r>
        <w:rPr>
          <w:spacing w:val="-22"/>
        </w:rPr>
        <w:t> </w:t>
      </w:r>
      <w:r>
        <w:rPr/>
        <w:t>Guanajuato,</w:t>
      </w:r>
      <w:r>
        <w:rPr>
          <w:spacing w:val="-22"/>
        </w:rPr>
        <w:t> </w:t>
      </w:r>
      <w:r>
        <w:rPr/>
        <w:t>Jalisco,</w:t>
      </w:r>
      <w:r>
        <w:rPr>
          <w:spacing w:val="-22"/>
        </w:rPr>
        <w:t> </w:t>
      </w:r>
      <w:r>
        <w:rPr/>
        <w:t>Morelos</w:t>
      </w:r>
      <w:r>
        <w:rPr>
          <w:spacing w:val="-22"/>
        </w:rPr>
        <w:t> </w:t>
      </w:r>
      <w:r>
        <w:rPr/>
        <w:t>y</w:t>
      </w:r>
      <w:r>
        <w:rPr>
          <w:spacing w:val="-22"/>
        </w:rPr>
        <w:t> </w:t>
      </w:r>
      <w:r>
        <w:rPr/>
        <w:t>Querétaro)</w:t>
      </w:r>
      <w:r>
        <w:rPr>
          <w:position w:val="8"/>
          <w:sz w:val="13"/>
        </w:rPr>
        <w:t>52</w:t>
      </w:r>
      <w:r>
        <w:rPr/>
        <w:t>. Las conclusiones alcanzadas pueden resumirse de la siguiente</w:t>
      </w:r>
      <w:r>
        <w:rPr>
          <w:spacing w:val="-11"/>
        </w:rPr>
        <w:t> </w:t>
      </w:r>
      <w:r>
        <w:rPr/>
        <w:t>manera:</w:t>
      </w:r>
    </w:p>
    <w:p>
      <w:pPr>
        <w:pStyle w:val="BodyText"/>
        <w:spacing w:before="6"/>
      </w:pPr>
    </w:p>
    <w:p>
      <w:pPr>
        <w:pStyle w:val="ListParagraph"/>
        <w:numPr>
          <w:ilvl w:val="1"/>
          <w:numId w:val="5"/>
        </w:numPr>
        <w:tabs>
          <w:tab w:pos="685" w:val="left" w:leader="none"/>
        </w:tabs>
        <w:spacing w:line="244" w:lineRule="auto" w:before="0" w:after="0"/>
        <w:ind w:left="684" w:right="128" w:hanging="284"/>
        <w:jc w:val="both"/>
        <w:rPr>
          <w:sz w:val="23"/>
        </w:rPr>
      </w:pPr>
      <w:r>
        <w:rPr/>
        <w:pict>
          <v:line style="position:absolute;mso-position-horizontal-relative:page;mso-position-vertical-relative:paragraph;z-index:2200;mso-wrap-distance-left:0;mso-wrap-distance-right:0" from="70.866203pt,262.289124pt" to="142.866203pt,262.289124pt" stroked="true" strokeweight="1pt" strokecolor="#000000">
            <w10:wrap type="topAndBottom"/>
          </v:line>
        </w:pict>
      </w:r>
      <w:r>
        <w:rPr>
          <w:sz w:val="23"/>
        </w:rPr>
        <w:t>Con relación a la </w:t>
      </w:r>
      <w:r>
        <w:rPr>
          <w:i/>
          <w:sz w:val="23"/>
        </w:rPr>
        <w:t>capacidad intergubernamental de asociación </w:t>
      </w:r>
      <w:r>
        <w:rPr>
          <w:i/>
          <w:sz w:val="23"/>
        </w:rPr>
        <w:t>estratégica</w:t>
      </w:r>
      <w:r>
        <w:rPr>
          <w:sz w:val="23"/>
        </w:rPr>
        <w:t>. La autonomía en la construcción del bien común regional y local deberá instrumentarse a través de un equilibrio en el gasto cofinanciado en servicios públicos que, en uso de sus respectivas facultades y escalas geográficas, gestionen directamente los gobiernos estatales y los municipales. Pese a lo anterior, la asociación de las partes en el SNCF o en subsistemas individuales por cada servicio     no está dirigida hacia esta premisa, por el contrario, la gestión de los gobiernos estatales y municipales está orientada al ejercicio simple    de las transferencias federales, constituyendo así su dependencia financiera. Destaca también la opción de asociaciones cofinancieras entre sectores públicos y privados, los servicios que responden a tal tendencia son: carreteras, agua potable, transporte público, limpia y recolección de residuos sólidos, mercados, panteones y rastros. Sin embargo, en la revisión de la muestra de seis estados sólo se encontró un caso de Proyectos para la Prestación de Servicios (PPS), el Sistema Estatal Acueducto II de Querétaro es una inversión contingente que no logró bases jurídicas para una asociación pública-privada de carácter permanente en el financiamiento de los servicios</w:t>
      </w:r>
      <w:r>
        <w:rPr>
          <w:spacing w:val="-12"/>
          <w:sz w:val="23"/>
        </w:rPr>
        <w:t> </w:t>
      </w:r>
      <w:r>
        <w:rPr>
          <w:sz w:val="23"/>
        </w:rPr>
        <w:t>públicos.</w:t>
      </w:r>
    </w:p>
    <w:p>
      <w:pPr>
        <w:spacing w:line="249" w:lineRule="auto" w:before="28"/>
        <w:ind w:left="344" w:right="0" w:hanging="227"/>
        <w:jc w:val="left"/>
        <w:rPr>
          <w:sz w:val="18"/>
        </w:rPr>
      </w:pPr>
      <w:r>
        <w:rPr>
          <w:position w:val="7"/>
          <w:sz w:val="11"/>
        </w:rPr>
        <w:t>52 </w:t>
      </w:r>
      <w:r>
        <w:rPr>
          <w:sz w:val="18"/>
        </w:rPr>
        <w:t>Los resultados de la investigación anterior pueden consultarse en: Mendoza Ruiz, Joel; </w:t>
      </w:r>
      <w:r>
        <w:rPr>
          <w:i/>
          <w:sz w:val="18"/>
        </w:rPr>
        <w:t>Op. Cit.</w:t>
      </w:r>
      <w:r>
        <w:rPr>
          <w:sz w:val="18"/>
        </w:rPr>
        <w:t>, pp. 120-124.</w:t>
      </w:r>
    </w:p>
    <w:p>
      <w:pPr>
        <w:spacing w:after="0" w:line="249" w:lineRule="auto"/>
        <w:jc w:val="left"/>
        <w:rPr>
          <w:sz w:val="18"/>
        </w:rPr>
        <w:sectPr>
          <w:pgSz w:w="9360" w:h="13040"/>
          <w:pgMar w:header="547" w:footer="514" w:top="940" w:bottom="700" w:left="1300" w:right="720"/>
        </w:sectPr>
      </w:pPr>
    </w:p>
    <w:p>
      <w:pPr>
        <w:pStyle w:val="BodyText"/>
        <w:rPr>
          <w:sz w:val="20"/>
        </w:rPr>
      </w:pPr>
    </w:p>
    <w:p>
      <w:pPr>
        <w:pStyle w:val="BodyText"/>
        <w:spacing w:before="1"/>
        <w:rPr>
          <w:sz w:val="29"/>
        </w:rPr>
      </w:pPr>
    </w:p>
    <w:p>
      <w:pPr>
        <w:pStyle w:val="ListParagraph"/>
        <w:numPr>
          <w:ilvl w:val="1"/>
          <w:numId w:val="5"/>
        </w:numPr>
        <w:tabs>
          <w:tab w:pos="678" w:val="left" w:leader="none"/>
        </w:tabs>
        <w:spacing w:line="244" w:lineRule="auto" w:before="70" w:after="0"/>
        <w:ind w:left="677" w:right="114" w:hanging="284"/>
        <w:jc w:val="both"/>
        <w:rPr>
          <w:sz w:val="23"/>
        </w:rPr>
      </w:pPr>
      <w:r>
        <w:rPr>
          <w:sz w:val="23"/>
        </w:rPr>
        <w:t>Con respecto a la </w:t>
      </w:r>
      <w:r>
        <w:rPr>
          <w:i/>
          <w:sz w:val="23"/>
        </w:rPr>
        <w:t>restricción competencial de las formaciones sociales </w:t>
      </w:r>
      <w:r>
        <w:rPr>
          <w:i/>
          <w:sz w:val="23"/>
        </w:rPr>
        <w:t>más complejas</w:t>
      </w:r>
      <w:r>
        <w:rPr>
          <w:sz w:val="23"/>
        </w:rPr>
        <w:t>. Se deberá evitar que el gobierno federal financie mayoritariamente, o bien, en contradicción a las facultades o escala geográfica de los gobiernos estatales y municipales, el gasto en servicios públicos. No obstante, las opciones de financiamiento</w:t>
      </w:r>
      <w:r>
        <w:rPr>
          <w:spacing w:val="-13"/>
          <w:sz w:val="23"/>
        </w:rPr>
        <w:t> </w:t>
      </w:r>
      <w:r>
        <w:rPr>
          <w:sz w:val="23"/>
        </w:rPr>
        <w:t>federal son vastas con respecto a las escasas opciones estatales y municipales. Trece servicios públicos identificados para su análisis son financiados con fracciones de veinte fondos federales clasificados en aportaciones, rendimientos petroleros y convenios</w:t>
      </w:r>
      <w:r>
        <w:rPr>
          <w:spacing w:val="-13"/>
          <w:sz w:val="23"/>
        </w:rPr>
        <w:t> </w:t>
      </w:r>
      <w:r>
        <w:rPr>
          <w:sz w:val="23"/>
        </w:rPr>
        <w:t>sectoriales.</w:t>
      </w:r>
    </w:p>
    <w:p>
      <w:pPr>
        <w:pStyle w:val="BodyText"/>
        <w:spacing w:before="6"/>
      </w:pPr>
    </w:p>
    <w:p>
      <w:pPr>
        <w:pStyle w:val="BodyText"/>
        <w:spacing w:line="244" w:lineRule="auto"/>
        <w:ind w:left="677" w:right="115"/>
        <w:jc w:val="both"/>
      </w:pPr>
      <w:r>
        <w:rPr/>
        <w:t>La correspondencia entre servicios públicos y fondos es asimétrica: once fondos son exclusivos para cinco tipos de servicios y el resto     de ellos puede encontrar posibilidad de financiamiento en tres fondos específicos</w:t>
      </w:r>
      <w:r>
        <w:rPr>
          <w:spacing w:val="-23"/>
        </w:rPr>
        <w:t> </w:t>
      </w:r>
      <w:r>
        <w:rPr/>
        <w:t>y</w:t>
      </w:r>
      <w:r>
        <w:rPr>
          <w:spacing w:val="-23"/>
        </w:rPr>
        <w:t> </w:t>
      </w:r>
      <w:r>
        <w:rPr/>
        <w:t>seis</w:t>
      </w:r>
      <w:r>
        <w:rPr>
          <w:spacing w:val="-23"/>
        </w:rPr>
        <w:t> </w:t>
      </w:r>
      <w:r>
        <w:rPr/>
        <w:t>genéricos,</w:t>
      </w:r>
      <w:r>
        <w:rPr>
          <w:spacing w:val="-23"/>
        </w:rPr>
        <w:t> </w:t>
      </w:r>
      <w:r>
        <w:rPr/>
        <w:t>estos</w:t>
      </w:r>
      <w:r>
        <w:rPr>
          <w:spacing w:val="-23"/>
        </w:rPr>
        <w:t> </w:t>
      </w:r>
      <w:r>
        <w:rPr/>
        <w:t>últimos</w:t>
      </w:r>
      <w:r>
        <w:rPr>
          <w:spacing w:val="-23"/>
        </w:rPr>
        <w:t> </w:t>
      </w:r>
      <w:r>
        <w:rPr/>
        <w:t>pueden</w:t>
      </w:r>
      <w:r>
        <w:rPr>
          <w:spacing w:val="-23"/>
        </w:rPr>
        <w:t> </w:t>
      </w:r>
      <w:r>
        <w:rPr/>
        <w:t>incluso</w:t>
      </w:r>
      <w:r>
        <w:rPr>
          <w:spacing w:val="-23"/>
        </w:rPr>
        <w:t> </w:t>
      </w:r>
      <w:r>
        <w:rPr/>
        <w:t>compartir</w:t>
      </w:r>
      <w:r>
        <w:rPr>
          <w:spacing w:val="-23"/>
        </w:rPr>
        <w:t> </w:t>
      </w:r>
      <w:r>
        <w:rPr/>
        <w:t>usos con acciones compensatorias o asistenciales. Las reglas de operación de los fondos o programas es el factor que determina la existencia     de asociación cofinanciera en el ejercicio de estos. En tal sentido,   para las aportaciones y los excedentes petroleros no es necesario el cofinanciamiento,</w:t>
      </w:r>
      <w:r>
        <w:rPr>
          <w:spacing w:val="-6"/>
        </w:rPr>
        <w:t> </w:t>
      </w:r>
      <w:r>
        <w:rPr/>
        <w:t>aunque</w:t>
      </w:r>
      <w:r>
        <w:rPr>
          <w:spacing w:val="-6"/>
        </w:rPr>
        <w:t> </w:t>
      </w:r>
      <w:r>
        <w:rPr/>
        <w:t>no</w:t>
      </w:r>
      <w:r>
        <w:rPr>
          <w:spacing w:val="-5"/>
        </w:rPr>
        <w:t> </w:t>
      </w:r>
      <w:r>
        <w:rPr/>
        <w:t>se</w:t>
      </w:r>
      <w:r>
        <w:rPr>
          <w:spacing w:val="-5"/>
        </w:rPr>
        <w:t> </w:t>
      </w:r>
      <w:r>
        <w:rPr/>
        <w:t>prohíbe,</w:t>
      </w:r>
      <w:r>
        <w:rPr>
          <w:spacing w:val="-6"/>
        </w:rPr>
        <w:t> </w:t>
      </w:r>
      <w:r>
        <w:rPr/>
        <w:t>mientras</w:t>
      </w:r>
      <w:r>
        <w:rPr>
          <w:spacing w:val="-6"/>
        </w:rPr>
        <w:t> </w:t>
      </w:r>
      <w:r>
        <w:rPr/>
        <w:t>que</w:t>
      </w:r>
      <w:r>
        <w:rPr>
          <w:spacing w:val="-5"/>
        </w:rPr>
        <w:t> </w:t>
      </w:r>
      <w:r>
        <w:rPr/>
        <w:t>en</w:t>
      </w:r>
      <w:r>
        <w:rPr>
          <w:spacing w:val="-5"/>
        </w:rPr>
        <w:t> </w:t>
      </w:r>
      <w:r>
        <w:rPr/>
        <w:t>los</w:t>
      </w:r>
      <w:r>
        <w:rPr>
          <w:spacing w:val="-5"/>
        </w:rPr>
        <w:t> </w:t>
      </w:r>
      <w:r>
        <w:rPr/>
        <w:t>convenios sectoriales el cofinanciamiento es acordado en el instrumento</w:t>
      </w:r>
      <w:r>
        <w:rPr>
          <w:spacing w:val="-12"/>
        </w:rPr>
        <w:t> </w:t>
      </w:r>
      <w:r>
        <w:rPr/>
        <w:t>mismo.</w:t>
      </w:r>
    </w:p>
    <w:p>
      <w:pPr>
        <w:pStyle w:val="BodyText"/>
        <w:spacing w:before="6"/>
      </w:pPr>
    </w:p>
    <w:p>
      <w:pPr>
        <w:pStyle w:val="BodyText"/>
        <w:spacing w:line="244" w:lineRule="auto"/>
        <w:ind w:left="677" w:right="114"/>
        <w:jc w:val="both"/>
      </w:pPr>
      <w:r>
        <w:rPr/>
        <w:t>En suma, existe una estandarización en el ejercicio del gasto descentralizado en donde se limita el cofinanciamiento únicamente a  la operación de los fondos en donde es requisito, y que además los montos que les corresponde aportar a los estados regularmente son cubiertos mediante el reciclamiento de las aportaciones, estableciendo una especie de </w:t>
      </w:r>
      <w:r>
        <w:rPr>
          <w:i/>
        </w:rPr>
        <w:t>ajedrez financiero</w:t>
      </w:r>
      <w:r>
        <w:rPr/>
        <w:t>. La excepción es el Estado de Baja California, cuyo Programa de Obras Convenidas reproduce el</w:t>
      </w:r>
      <w:r>
        <w:rPr>
          <w:spacing w:val="-27"/>
        </w:rPr>
        <w:t> </w:t>
      </w:r>
      <w:r>
        <w:rPr/>
        <w:t>esquema de las reglas de operación para motivar la asociación cofinanciera </w:t>
      </w:r>
      <w:r>
        <w:rPr>
          <w:i/>
        </w:rPr>
        <w:t>con </w:t>
      </w:r>
      <w:r>
        <w:rPr>
          <w:i/>
        </w:rPr>
        <w:t>la federación, los ayuntamientos, las entidades y los particulares; </w:t>
      </w:r>
      <w:r>
        <w:rPr/>
        <w:t>disponiendo así de un fondo de recursos estatales y de los convenios sectoriales</w:t>
      </w:r>
      <w:r>
        <w:rPr>
          <w:spacing w:val="-9"/>
        </w:rPr>
        <w:t> </w:t>
      </w:r>
      <w:r>
        <w:rPr/>
        <w:t>para</w:t>
      </w:r>
      <w:r>
        <w:rPr>
          <w:spacing w:val="-9"/>
        </w:rPr>
        <w:t> </w:t>
      </w:r>
      <w:r>
        <w:rPr/>
        <w:t>tal</w:t>
      </w:r>
      <w:r>
        <w:rPr>
          <w:spacing w:val="-9"/>
        </w:rPr>
        <w:t> </w:t>
      </w:r>
      <w:r>
        <w:rPr/>
        <w:t>fin.</w:t>
      </w:r>
      <w:r>
        <w:rPr>
          <w:spacing w:val="-9"/>
        </w:rPr>
        <w:t> </w:t>
      </w:r>
      <w:r>
        <w:rPr/>
        <w:t>El</w:t>
      </w:r>
      <w:r>
        <w:rPr>
          <w:spacing w:val="-9"/>
        </w:rPr>
        <w:t> </w:t>
      </w:r>
      <w:r>
        <w:rPr/>
        <w:t>Estado</w:t>
      </w:r>
      <w:r>
        <w:rPr>
          <w:spacing w:val="-9"/>
        </w:rPr>
        <w:t> </w:t>
      </w:r>
      <w:r>
        <w:rPr/>
        <w:t>de</w:t>
      </w:r>
      <w:r>
        <w:rPr>
          <w:spacing w:val="-21"/>
        </w:rPr>
        <w:t> </w:t>
      </w:r>
      <w:r>
        <w:rPr/>
        <w:t>Aguascalientes</w:t>
      </w:r>
      <w:r>
        <w:rPr>
          <w:spacing w:val="-9"/>
        </w:rPr>
        <w:t> </w:t>
      </w:r>
      <w:r>
        <w:rPr/>
        <w:t>parece</w:t>
      </w:r>
      <w:r>
        <w:rPr>
          <w:spacing w:val="-9"/>
        </w:rPr>
        <w:t> </w:t>
      </w:r>
      <w:r>
        <w:rPr/>
        <w:t>aproximarse al</w:t>
      </w:r>
      <w:r>
        <w:rPr>
          <w:spacing w:val="-25"/>
        </w:rPr>
        <w:t> </w:t>
      </w:r>
      <w:r>
        <w:rPr/>
        <w:t>modelo</w:t>
      </w:r>
      <w:r>
        <w:rPr>
          <w:spacing w:val="-25"/>
        </w:rPr>
        <w:t> </w:t>
      </w:r>
      <w:r>
        <w:rPr/>
        <w:t>bajacaliforniano</w:t>
      </w:r>
      <w:r>
        <w:rPr>
          <w:spacing w:val="-26"/>
        </w:rPr>
        <w:t> </w:t>
      </w:r>
      <w:r>
        <w:rPr/>
        <w:t>por</w:t>
      </w:r>
      <w:r>
        <w:rPr>
          <w:spacing w:val="-25"/>
        </w:rPr>
        <w:t> </w:t>
      </w:r>
      <w:r>
        <w:rPr/>
        <w:t>contar</w:t>
      </w:r>
      <w:r>
        <w:rPr>
          <w:spacing w:val="-25"/>
        </w:rPr>
        <w:t> </w:t>
      </w:r>
      <w:r>
        <w:rPr/>
        <w:t>también</w:t>
      </w:r>
      <w:r>
        <w:rPr>
          <w:spacing w:val="-25"/>
        </w:rPr>
        <w:t> </w:t>
      </w:r>
      <w:r>
        <w:rPr/>
        <w:t>con</w:t>
      </w:r>
      <w:r>
        <w:rPr>
          <w:spacing w:val="-25"/>
        </w:rPr>
        <w:t> </w:t>
      </w:r>
      <w:r>
        <w:rPr/>
        <w:t>un</w:t>
      </w:r>
      <w:r>
        <w:rPr>
          <w:spacing w:val="-25"/>
        </w:rPr>
        <w:t> </w:t>
      </w:r>
      <w:r>
        <w:rPr/>
        <w:t>fondo</w:t>
      </w:r>
      <w:r>
        <w:rPr>
          <w:spacing w:val="-25"/>
        </w:rPr>
        <w:t> </w:t>
      </w:r>
      <w:r>
        <w:rPr/>
        <w:t>cofinanciero de recursos estatales carente de</w:t>
      </w:r>
      <w:r>
        <w:rPr>
          <w:spacing w:val="-2"/>
        </w:rPr>
        <w:t> </w:t>
      </w:r>
      <w:r>
        <w:rPr/>
        <w:t>normas.</w:t>
      </w:r>
    </w:p>
    <w:p>
      <w:pPr>
        <w:pStyle w:val="BodyText"/>
        <w:spacing w:before="6"/>
      </w:pPr>
    </w:p>
    <w:p>
      <w:pPr>
        <w:pStyle w:val="ListParagraph"/>
        <w:numPr>
          <w:ilvl w:val="1"/>
          <w:numId w:val="5"/>
        </w:numPr>
        <w:tabs>
          <w:tab w:pos="678" w:val="left" w:leader="none"/>
        </w:tabs>
        <w:spacing w:line="244" w:lineRule="auto" w:before="0" w:after="0"/>
        <w:ind w:left="677" w:right="114" w:hanging="284"/>
        <w:jc w:val="both"/>
        <w:rPr>
          <w:sz w:val="23"/>
        </w:rPr>
      </w:pPr>
      <w:r>
        <w:rPr>
          <w:sz w:val="23"/>
        </w:rPr>
        <w:t>Con referencia a la </w:t>
      </w:r>
      <w:r>
        <w:rPr>
          <w:i/>
          <w:sz w:val="23"/>
        </w:rPr>
        <w:t>evaluación de las sociedades más simples para el </w:t>
      </w:r>
      <w:r>
        <w:rPr>
          <w:i/>
          <w:sz w:val="23"/>
        </w:rPr>
        <w:t>ejercicio</w:t>
      </w:r>
      <w:r>
        <w:rPr>
          <w:i/>
          <w:spacing w:val="-32"/>
          <w:sz w:val="23"/>
        </w:rPr>
        <w:t> </w:t>
      </w:r>
      <w:r>
        <w:rPr>
          <w:i/>
          <w:sz w:val="23"/>
        </w:rPr>
        <w:t>subsidiario</w:t>
      </w:r>
      <w:r>
        <w:rPr>
          <w:sz w:val="23"/>
        </w:rPr>
        <w:t>.</w:t>
      </w:r>
      <w:r>
        <w:rPr>
          <w:spacing w:val="-32"/>
          <w:sz w:val="23"/>
        </w:rPr>
        <w:t> </w:t>
      </w:r>
      <w:r>
        <w:rPr>
          <w:sz w:val="23"/>
        </w:rPr>
        <w:t>Se</w:t>
      </w:r>
      <w:r>
        <w:rPr>
          <w:spacing w:val="-32"/>
          <w:sz w:val="23"/>
        </w:rPr>
        <w:t> </w:t>
      </w:r>
      <w:r>
        <w:rPr>
          <w:sz w:val="23"/>
        </w:rPr>
        <w:t>deberá</w:t>
      </w:r>
      <w:r>
        <w:rPr>
          <w:spacing w:val="-32"/>
          <w:sz w:val="23"/>
        </w:rPr>
        <w:t> </w:t>
      </w:r>
      <w:r>
        <w:rPr>
          <w:sz w:val="23"/>
        </w:rPr>
        <w:t>valorar</w:t>
      </w:r>
      <w:r>
        <w:rPr>
          <w:spacing w:val="-32"/>
          <w:sz w:val="23"/>
        </w:rPr>
        <w:t> </w:t>
      </w:r>
      <w:r>
        <w:rPr>
          <w:sz w:val="23"/>
        </w:rPr>
        <w:t>por</w:t>
      </w:r>
      <w:r>
        <w:rPr>
          <w:spacing w:val="-32"/>
          <w:sz w:val="23"/>
        </w:rPr>
        <w:t> </w:t>
      </w:r>
      <w:r>
        <w:rPr>
          <w:sz w:val="23"/>
        </w:rPr>
        <w:t>su</w:t>
      </w:r>
      <w:r>
        <w:rPr>
          <w:spacing w:val="-32"/>
          <w:sz w:val="23"/>
        </w:rPr>
        <w:t> </w:t>
      </w:r>
      <w:r>
        <w:rPr>
          <w:sz w:val="23"/>
        </w:rPr>
        <w:t>naturaleza</w:t>
      </w:r>
      <w:r>
        <w:rPr>
          <w:spacing w:val="-32"/>
          <w:sz w:val="23"/>
        </w:rPr>
        <w:t> </w:t>
      </w:r>
      <w:r>
        <w:rPr>
          <w:sz w:val="23"/>
        </w:rPr>
        <w:t>y</w:t>
      </w:r>
      <w:r>
        <w:rPr>
          <w:spacing w:val="-32"/>
          <w:sz w:val="23"/>
        </w:rPr>
        <w:t> </w:t>
      </w:r>
      <w:r>
        <w:rPr>
          <w:sz w:val="23"/>
        </w:rPr>
        <w:t>circunstancias la</w:t>
      </w:r>
      <w:r>
        <w:rPr>
          <w:spacing w:val="25"/>
          <w:sz w:val="23"/>
        </w:rPr>
        <w:t> </w:t>
      </w:r>
      <w:r>
        <w:rPr>
          <w:sz w:val="23"/>
        </w:rPr>
        <w:t>eficiencia</w:t>
      </w:r>
      <w:r>
        <w:rPr>
          <w:spacing w:val="25"/>
          <w:sz w:val="23"/>
        </w:rPr>
        <w:t> </w:t>
      </w:r>
      <w:r>
        <w:rPr>
          <w:sz w:val="23"/>
        </w:rPr>
        <w:t>estatal</w:t>
      </w:r>
      <w:r>
        <w:rPr>
          <w:spacing w:val="25"/>
          <w:sz w:val="23"/>
        </w:rPr>
        <w:t> </w:t>
      </w:r>
      <w:r>
        <w:rPr>
          <w:sz w:val="23"/>
        </w:rPr>
        <w:t>y</w:t>
      </w:r>
      <w:r>
        <w:rPr>
          <w:spacing w:val="25"/>
          <w:sz w:val="23"/>
        </w:rPr>
        <w:t> </w:t>
      </w:r>
      <w:r>
        <w:rPr>
          <w:sz w:val="23"/>
        </w:rPr>
        <w:t>municipal</w:t>
      </w:r>
      <w:r>
        <w:rPr>
          <w:spacing w:val="25"/>
          <w:sz w:val="23"/>
        </w:rPr>
        <w:t> </w:t>
      </w:r>
      <w:r>
        <w:rPr>
          <w:sz w:val="23"/>
        </w:rPr>
        <w:t>en</w:t>
      </w:r>
      <w:r>
        <w:rPr>
          <w:spacing w:val="25"/>
          <w:sz w:val="23"/>
        </w:rPr>
        <w:t> </w:t>
      </w:r>
      <w:r>
        <w:rPr>
          <w:sz w:val="23"/>
        </w:rPr>
        <w:t>la</w:t>
      </w:r>
      <w:r>
        <w:rPr>
          <w:spacing w:val="25"/>
          <w:sz w:val="23"/>
        </w:rPr>
        <w:t> </w:t>
      </w:r>
      <w:r>
        <w:rPr>
          <w:sz w:val="23"/>
        </w:rPr>
        <w:t>gestión</w:t>
      </w:r>
      <w:r>
        <w:rPr>
          <w:spacing w:val="25"/>
          <w:sz w:val="23"/>
        </w:rPr>
        <w:t> </w:t>
      </w:r>
      <w:r>
        <w:rPr>
          <w:sz w:val="23"/>
        </w:rPr>
        <w:t>del</w:t>
      </w:r>
      <w:r>
        <w:rPr>
          <w:spacing w:val="25"/>
          <w:sz w:val="23"/>
        </w:rPr>
        <w:t> </w:t>
      </w:r>
      <w:r>
        <w:rPr>
          <w:sz w:val="23"/>
        </w:rPr>
        <w:t>gasto</w:t>
      </w:r>
      <w:r>
        <w:rPr>
          <w:spacing w:val="25"/>
          <w:sz w:val="23"/>
        </w:rPr>
        <w:t> </w:t>
      </w:r>
      <w:r>
        <w:rPr>
          <w:sz w:val="23"/>
        </w:rPr>
        <w:t>cofinanciado</w:t>
      </w:r>
    </w:p>
    <w:p>
      <w:pPr>
        <w:spacing w:after="0" w:line="244" w:lineRule="auto"/>
        <w:jc w:val="both"/>
        <w:rPr>
          <w:sz w:val="23"/>
        </w:rPr>
        <w:sectPr>
          <w:pgSz w:w="9360" w:h="13040"/>
          <w:pgMar w:header="527" w:footer="514" w:top="720" w:bottom="700" w:left="740" w:right="1300"/>
        </w:sectPr>
      </w:pPr>
    </w:p>
    <w:p>
      <w:pPr>
        <w:pStyle w:val="BodyText"/>
        <w:spacing w:before="11"/>
        <w:rPr>
          <w:sz w:val="29"/>
        </w:rPr>
      </w:pPr>
    </w:p>
    <w:p>
      <w:pPr>
        <w:pStyle w:val="BodyText"/>
        <w:spacing w:line="244" w:lineRule="auto" w:before="70"/>
        <w:ind w:left="684" w:right="107"/>
        <w:jc w:val="both"/>
      </w:pPr>
      <w:r>
        <w:rPr/>
        <w:t>en servicios públicos, aunque en la práctica no se localizó una acción evaluadora constante.</w:t>
      </w:r>
    </w:p>
    <w:p>
      <w:pPr>
        <w:pStyle w:val="BodyText"/>
        <w:spacing w:before="6"/>
      </w:pPr>
    </w:p>
    <w:p>
      <w:pPr>
        <w:pStyle w:val="ListParagraph"/>
        <w:numPr>
          <w:ilvl w:val="1"/>
          <w:numId w:val="5"/>
        </w:numPr>
        <w:tabs>
          <w:tab w:pos="685" w:val="left" w:leader="none"/>
        </w:tabs>
        <w:spacing w:line="244" w:lineRule="auto" w:before="0" w:after="0"/>
        <w:ind w:left="684" w:right="107" w:hanging="284"/>
        <w:jc w:val="both"/>
        <w:rPr>
          <w:sz w:val="23"/>
        </w:rPr>
      </w:pPr>
      <w:r>
        <w:rPr>
          <w:sz w:val="23"/>
        </w:rPr>
        <w:t>En cuanto al </w:t>
      </w:r>
      <w:r>
        <w:rPr>
          <w:i/>
          <w:sz w:val="23"/>
        </w:rPr>
        <w:t>avance competencial de las sociedades más simples</w:t>
      </w:r>
      <w:r>
        <w:rPr>
          <w:sz w:val="23"/>
        </w:rPr>
        <w:t>. Los gobiernos estatales y los municipales deberán equilibrar la estructura cofinanciera del gasto en los servicios públicos de su competencia, o en su defecto, el gobierno federal podrá financiar mayoritariamente la producción de servicios públicos bajo límites, tiempos y</w:t>
      </w:r>
      <w:r>
        <w:rPr>
          <w:spacing w:val="-26"/>
          <w:sz w:val="23"/>
        </w:rPr>
        <w:t> </w:t>
      </w:r>
      <w:r>
        <w:rPr>
          <w:sz w:val="23"/>
        </w:rPr>
        <w:t>circunstancias determinadas. Una condición ideal sería que el grado general de cofinanciamiento fuera 50-50% federación-estados o federación-muni- cipios, por lo que el mejor de los casos de la muestra de seis estados  en el ejercicio fiscal 2007 quedó aún muy lejos de esta proporción: a) Morelos,</w:t>
      </w:r>
      <w:r>
        <w:rPr>
          <w:spacing w:val="40"/>
          <w:sz w:val="23"/>
        </w:rPr>
        <w:t> </w:t>
      </w:r>
      <w:r>
        <w:rPr>
          <w:sz w:val="23"/>
        </w:rPr>
        <w:t>8.53%</w:t>
      </w:r>
      <w:r>
        <w:rPr>
          <w:spacing w:val="40"/>
          <w:sz w:val="23"/>
        </w:rPr>
        <w:t> </w:t>
      </w:r>
      <w:r>
        <w:rPr>
          <w:sz w:val="23"/>
        </w:rPr>
        <w:t>del</w:t>
      </w:r>
      <w:r>
        <w:rPr>
          <w:spacing w:val="40"/>
          <w:sz w:val="23"/>
        </w:rPr>
        <w:t> </w:t>
      </w:r>
      <w:r>
        <w:rPr>
          <w:sz w:val="23"/>
        </w:rPr>
        <w:t>cofinanciamiento</w:t>
      </w:r>
      <w:r>
        <w:rPr>
          <w:spacing w:val="40"/>
          <w:sz w:val="23"/>
        </w:rPr>
        <w:t> </w:t>
      </w:r>
      <w:r>
        <w:rPr>
          <w:sz w:val="23"/>
        </w:rPr>
        <w:t>y</w:t>
      </w:r>
      <w:r>
        <w:rPr>
          <w:spacing w:val="40"/>
          <w:sz w:val="23"/>
        </w:rPr>
        <w:t> </w:t>
      </w:r>
      <w:r>
        <w:rPr>
          <w:sz w:val="23"/>
        </w:rPr>
        <w:t>cinco</w:t>
      </w:r>
      <w:r>
        <w:rPr>
          <w:spacing w:val="40"/>
          <w:sz w:val="23"/>
        </w:rPr>
        <w:t> </w:t>
      </w:r>
      <w:r>
        <w:rPr>
          <w:sz w:val="23"/>
        </w:rPr>
        <w:t>servicios</w:t>
      </w:r>
      <w:r>
        <w:rPr>
          <w:spacing w:val="40"/>
          <w:sz w:val="23"/>
        </w:rPr>
        <w:t> </w:t>
      </w:r>
      <w:r>
        <w:rPr>
          <w:sz w:val="23"/>
        </w:rPr>
        <w:t>sin</w:t>
      </w:r>
      <w:r>
        <w:rPr>
          <w:spacing w:val="40"/>
          <w:sz w:val="23"/>
        </w:rPr>
        <w:t> </w:t>
      </w:r>
      <w:r>
        <w:rPr>
          <w:sz w:val="23"/>
        </w:rPr>
        <w:t>atender;</w:t>
      </w:r>
    </w:p>
    <w:p>
      <w:pPr>
        <w:pStyle w:val="BodyText"/>
        <w:spacing w:line="244" w:lineRule="auto"/>
        <w:ind w:left="684" w:right="108"/>
        <w:jc w:val="both"/>
      </w:pPr>
      <w:r>
        <w:rPr/>
        <w:t>b) Guanajuato, 10.32% de participación estatal y cinco servicios sin atender; c) Jalisco, 12.84% en la estructura financiera estatal y cinco servicios sin atender; d) Querétaro, 19.42% de cofinanciamiento, un programa</w:t>
      </w:r>
      <w:r>
        <w:rPr>
          <w:spacing w:val="-12"/>
        </w:rPr>
        <w:t> </w:t>
      </w:r>
      <w:r>
        <w:rPr/>
        <w:t>PPS</w:t>
      </w:r>
      <w:r>
        <w:rPr>
          <w:spacing w:val="-11"/>
        </w:rPr>
        <w:t> </w:t>
      </w:r>
      <w:r>
        <w:rPr/>
        <w:t>de</w:t>
      </w:r>
      <w:r>
        <w:rPr>
          <w:spacing w:val="-11"/>
        </w:rPr>
        <w:t> </w:t>
      </w:r>
      <w:r>
        <w:rPr/>
        <w:t>carácter</w:t>
      </w:r>
      <w:r>
        <w:rPr>
          <w:spacing w:val="-12"/>
        </w:rPr>
        <w:t> </w:t>
      </w:r>
      <w:r>
        <w:rPr/>
        <w:t>contingente,</w:t>
      </w:r>
      <w:r>
        <w:rPr>
          <w:spacing w:val="-12"/>
        </w:rPr>
        <w:t> </w:t>
      </w:r>
      <w:r>
        <w:rPr/>
        <w:t>y</w:t>
      </w:r>
      <w:r>
        <w:rPr>
          <w:spacing w:val="-11"/>
        </w:rPr>
        <w:t> </w:t>
      </w:r>
      <w:r>
        <w:rPr/>
        <w:t>cuatro</w:t>
      </w:r>
      <w:r>
        <w:rPr>
          <w:spacing w:val="-12"/>
        </w:rPr>
        <w:t> </w:t>
      </w:r>
      <w:r>
        <w:rPr/>
        <w:t>servicios</w:t>
      </w:r>
      <w:r>
        <w:rPr>
          <w:spacing w:val="-11"/>
        </w:rPr>
        <w:t> </w:t>
      </w:r>
      <w:r>
        <w:rPr/>
        <w:t>sin</w:t>
      </w:r>
      <w:r>
        <w:rPr>
          <w:spacing w:val="-11"/>
        </w:rPr>
        <w:t> </w:t>
      </w:r>
      <w:r>
        <w:rPr/>
        <w:t>atender;</w:t>
      </w:r>
      <w:r>
        <w:rPr>
          <w:spacing w:val="-12"/>
        </w:rPr>
        <w:t> </w:t>
      </w:r>
      <w:r>
        <w:rPr/>
        <w:t>e) Aguascalientes,</w:t>
      </w:r>
      <w:r>
        <w:rPr>
          <w:spacing w:val="-13"/>
        </w:rPr>
        <w:t> </w:t>
      </w:r>
      <w:r>
        <w:rPr/>
        <w:t>25.51%</w:t>
      </w:r>
      <w:r>
        <w:rPr>
          <w:spacing w:val="-14"/>
        </w:rPr>
        <w:t> </w:t>
      </w:r>
      <w:r>
        <w:rPr/>
        <w:t>de</w:t>
      </w:r>
      <w:r>
        <w:rPr>
          <w:spacing w:val="-14"/>
        </w:rPr>
        <w:t> </w:t>
      </w:r>
      <w:r>
        <w:rPr/>
        <w:t>participación</w:t>
      </w:r>
      <w:r>
        <w:rPr>
          <w:spacing w:val="-14"/>
        </w:rPr>
        <w:t> </w:t>
      </w:r>
      <w:r>
        <w:rPr/>
        <w:t>estatal,</w:t>
      </w:r>
      <w:r>
        <w:rPr>
          <w:spacing w:val="-14"/>
        </w:rPr>
        <w:t> </w:t>
      </w:r>
      <w:r>
        <w:rPr/>
        <w:t>un</w:t>
      </w:r>
      <w:r>
        <w:rPr>
          <w:spacing w:val="-14"/>
        </w:rPr>
        <w:t> </w:t>
      </w:r>
      <w:r>
        <w:rPr/>
        <w:t>programa</w:t>
      </w:r>
      <w:r>
        <w:rPr>
          <w:spacing w:val="-14"/>
        </w:rPr>
        <w:t> </w:t>
      </w:r>
      <w:r>
        <w:rPr/>
        <w:t>propio</w:t>
      </w:r>
      <w:r>
        <w:rPr>
          <w:spacing w:val="-14"/>
        </w:rPr>
        <w:t> </w:t>
      </w:r>
      <w:r>
        <w:rPr/>
        <w:t>de inversión,</w:t>
      </w:r>
      <w:r>
        <w:rPr>
          <w:spacing w:val="-16"/>
        </w:rPr>
        <w:t> </w:t>
      </w:r>
      <w:r>
        <w:rPr/>
        <w:t>y</w:t>
      </w:r>
      <w:r>
        <w:rPr>
          <w:spacing w:val="-15"/>
        </w:rPr>
        <w:t> </w:t>
      </w:r>
      <w:r>
        <w:rPr/>
        <w:t>cuatro</w:t>
      </w:r>
      <w:r>
        <w:rPr>
          <w:spacing w:val="-15"/>
        </w:rPr>
        <w:t> </w:t>
      </w:r>
      <w:r>
        <w:rPr/>
        <w:t>servicios</w:t>
      </w:r>
      <w:r>
        <w:rPr>
          <w:spacing w:val="-14"/>
        </w:rPr>
        <w:t> </w:t>
      </w:r>
      <w:r>
        <w:rPr/>
        <w:t>sin</w:t>
      </w:r>
      <w:r>
        <w:rPr>
          <w:spacing w:val="-15"/>
        </w:rPr>
        <w:t> </w:t>
      </w:r>
      <w:r>
        <w:rPr/>
        <w:t>atender;</w:t>
      </w:r>
      <w:r>
        <w:rPr>
          <w:spacing w:val="-15"/>
        </w:rPr>
        <w:t> </w:t>
      </w:r>
      <w:r>
        <w:rPr/>
        <w:t>y</w:t>
      </w:r>
      <w:r>
        <w:rPr>
          <w:spacing w:val="-15"/>
        </w:rPr>
        <w:t> </w:t>
      </w:r>
      <w:r>
        <w:rPr/>
        <w:t>f)</w:t>
      </w:r>
      <w:r>
        <w:rPr>
          <w:spacing w:val="-15"/>
        </w:rPr>
        <w:t> </w:t>
      </w:r>
      <w:r>
        <w:rPr/>
        <w:t>Baja</w:t>
      </w:r>
      <w:r>
        <w:rPr>
          <w:spacing w:val="-15"/>
        </w:rPr>
        <w:t> </w:t>
      </w:r>
      <w:r>
        <w:rPr/>
        <w:t>California,</w:t>
      </w:r>
      <w:r>
        <w:rPr>
          <w:spacing w:val="-15"/>
        </w:rPr>
        <w:t> </w:t>
      </w:r>
      <w:r>
        <w:rPr/>
        <w:t>26.78%</w:t>
      </w:r>
      <w:r>
        <w:rPr>
          <w:spacing w:val="-15"/>
        </w:rPr>
        <w:t> </w:t>
      </w:r>
      <w:r>
        <w:rPr/>
        <w:t>en la estructura financiera estatal, un programa propio de inversión,</w:t>
      </w:r>
      <w:r>
        <w:rPr>
          <w:spacing w:val="-31"/>
        </w:rPr>
        <w:t> </w:t>
      </w:r>
      <w:r>
        <w:rPr/>
        <w:t>reglas estatales de operación cofinanciera, y cuatro servicios sin</w:t>
      </w:r>
      <w:r>
        <w:rPr>
          <w:spacing w:val="-26"/>
        </w:rPr>
        <w:t> </w:t>
      </w:r>
      <w:r>
        <w:rPr/>
        <w:t>atender.</w:t>
      </w:r>
    </w:p>
    <w:p>
      <w:pPr>
        <w:pStyle w:val="BodyText"/>
        <w:spacing w:before="6"/>
      </w:pPr>
    </w:p>
    <w:p>
      <w:pPr>
        <w:pStyle w:val="BodyText"/>
        <w:spacing w:line="244" w:lineRule="auto"/>
        <w:ind w:left="684" w:right="107"/>
        <w:jc w:val="both"/>
      </w:pPr>
      <w:r>
        <w:rPr/>
        <w:t>En el caso de los municipios muestreados,  estos  se  ubicaron  en  2007 por encima de la  proporción  cofinanciera  50-50,  aunque  no sea principalmente por esquemas de mezcla financiera sino por el complemento con programas de recursos propios: 1) Cuernavaca, 56.55% de cofinanciamiento, se desconocen los servicios que no atiende dada la ambigüedad de sus relaciones de gasto, el programa municipal atiende vialidades e  infraestructuras;  2) Tijuana,  58.20% de participación municipal, siete servicios sin atender, el programa municipal atiende exclusivamente mantenimiento de vialidades; 3) León, 63.97% en la estructura financiera municipal, un solo servicio sin atender; 4) Aguascalientes (capital), 69.65% de cofinanciamiento, cinco servicios sin atender; 5) Querétaro (capital estatal), 74.43% de participación municipal, no fue posible determinar los servicios sin atender por la generalidad de sus reportes de acciones; y 6) Zapopan, 76.99% de estructura financiera municipal, dos servicios sin</w:t>
      </w:r>
      <w:r>
        <w:rPr>
          <w:spacing w:val="-26"/>
        </w:rPr>
        <w:t> </w:t>
      </w:r>
      <w:r>
        <w:rPr/>
        <w:t>atender.</w:t>
      </w:r>
    </w:p>
    <w:p>
      <w:pPr>
        <w:spacing w:after="0" w:line="244" w:lineRule="auto"/>
        <w:jc w:val="both"/>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44" w:lineRule="auto" w:before="70"/>
        <w:ind w:left="110" w:right="114"/>
        <w:jc w:val="both"/>
      </w:pPr>
      <w:r>
        <w:rPr/>
        <w:t>En</w:t>
      </w:r>
      <w:r>
        <w:rPr>
          <w:spacing w:val="-21"/>
        </w:rPr>
        <w:t> </w:t>
      </w:r>
      <w:r>
        <w:rPr/>
        <w:t>síntesis,</w:t>
      </w:r>
      <w:r>
        <w:rPr>
          <w:spacing w:val="-21"/>
        </w:rPr>
        <w:t> </w:t>
      </w:r>
      <w:r>
        <w:rPr/>
        <w:t>el</w:t>
      </w:r>
      <w:r>
        <w:rPr>
          <w:spacing w:val="-21"/>
        </w:rPr>
        <w:t> </w:t>
      </w:r>
      <w:r>
        <w:rPr/>
        <w:t>promedio</w:t>
      </w:r>
      <w:r>
        <w:rPr>
          <w:spacing w:val="-21"/>
        </w:rPr>
        <w:t> </w:t>
      </w:r>
      <w:r>
        <w:rPr/>
        <w:t>general</w:t>
      </w:r>
      <w:r>
        <w:rPr>
          <w:spacing w:val="-21"/>
        </w:rPr>
        <w:t> </w:t>
      </w:r>
      <w:r>
        <w:rPr/>
        <w:t>de</w:t>
      </w:r>
      <w:r>
        <w:rPr>
          <w:spacing w:val="-21"/>
        </w:rPr>
        <w:t> </w:t>
      </w:r>
      <w:r>
        <w:rPr/>
        <w:t>las</w:t>
      </w:r>
      <w:r>
        <w:rPr>
          <w:spacing w:val="-21"/>
        </w:rPr>
        <w:t> </w:t>
      </w:r>
      <w:r>
        <w:rPr/>
        <w:t>seis</w:t>
      </w:r>
      <w:r>
        <w:rPr>
          <w:spacing w:val="-21"/>
        </w:rPr>
        <w:t> </w:t>
      </w:r>
      <w:r>
        <w:rPr/>
        <w:t>entidades</w:t>
      </w:r>
      <w:r>
        <w:rPr>
          <w:spacing w:val="-22"/>
        </w:rPr>
        <w:t> </w:t>
      </w:r>
      <w:r>
        <w:rPr/>
        <w:t>analizadas</w:t>
      </w:r>
      <w:r>
        <w:rPr>
          <w:spacing w:val="-22"/>
        </w:rPr>
        <w:t> </w:t>
      </w:r>
      <w:r>
        <w:rPr/>
        <w:t>según</w:t>
      </w:r>
      <w:r>
        <w:rPr>
          <w:spacing w:val="-21"/>
        </w:rPr>
        <w:t> </w:t>
      </w:r>
      <w:r>
        <w:rPr/>
        <w:t>la</w:t>
      </w:r>
      <w:r>
        <w:rPr>
          <w:spacing w:val="-21"/>
        </w:rPr>
        <w:t> </w:t>
      </w:r>
      <w:r>
        <w:rPr/>
        <w:t>escala de</w:t>
      </w:r>
      <w:r>
        <w:rPr>
          <w:spacing w:val="-6"/>
        </w:rPr>
        <w:t> </w:t>
      </w:r>
      <w:r>
        <w:rPr/>
        <w:t>evaluación</w:t>
      </w:r>
      <w:r>
        <w:rPr>
          <w:spacing w:val="-7"/>
        </w:rPr>
        <w:t> </w:t>
      </w:r>
      <w:r>
        <w:rPr/>
        <w:t>del</w:t>
      </w:r>
      <w:r>
        <w:rPr>
          <w:spacing w:val="-6"/>
        </w:rPr>
        <w:t> </w:t>
      </w:r>
      <w:r>
        <w:rPr/>
        <w:t>gasto</w:t>
      </w:r>
      <w:r>
        <w:rPr>
          <w:spacing w:val="-6"/>
        </w:rPr>
        <w:t> </w:t>
      </w:r>
      <w:r>
        <w:rPr/>
        <w:t>intergubernamental</w:t>
      </w:r>
      <w:r>
        <w:rPr>
          <w:spacing w:val="-6"/>
        </w:rPr>
        <w:t> </w:t>
      </w:r>
      <w:r>
        <w:rPr/>
        <w:t>en</w:t>
      </w:r>
      <w:r>
        <w:rPr>
          <w:spacing w:val="-6"/>
        </w:rPr>
        <w:t> </w:t>
      </w:r>
      <w:r>
        <w:rPr/>
        <w:t>servicios</w:t>
      </w:r>
      <w:r>
        <w:rPr>
          <w:spacing w:val="-5"/>
        </w:rPr>
        <w:t> </w:t>
      </w:r>
      <w:r>
        <w:rPr/>
        <w:t>públicos</w:t>
      </w:r>
      <w:r>
        <w:rPr>
          <w:spacing w:val="-6"/>
        </w:rPr>
        <w:t> </w:t>
      </w:r>
      <w:r>
        <w:rPr/>
        <w:t>fue</w:t>
      </w:r>
      <w:r>
        <w:rPr>
          <w:spacing w:val="-6"/>
        </w:rPr>
        <w:t> </w:t>
      </w:r>
      <w:r>
        <w:rPr/>
        <w:t>de</w:t>
      </w:r>
      <w:r>
        <w:rPr>
          <w:spacing w:val="-6"/>
        </w:rPr>
        <w:t> </w:t>
      </w:r>
      <w:r>
        <w:rPr/>
        <w:t>1.87. Bajo este antecedente, la siguiente sección presenta el caso del gobierno del Estado de Hidalgo y algunas referencias municipales que fueron</w:t>
      </w:r>
      <w:r>
        <w:rPr>
          <w:spacing w:val="-9"/>
        </w:rPr>
        <w:t> </w:t>
      </w:r>
      <w:r>
        <w:rPr/>
        <w:t>posibles.</w:t>
      </w:r>
    </w:p>
    <w:p>
      <w:pPr>
        <w:pStyle w:val="BodyText"/>
        <w:spacing w:before="6"/>
      </w:pPr>
    </w:p>
    <w:p>
      <w:pPr>
        <w:pStyle w:val="Heading3"/>
        <w:ind w:left="110"/>
      </w:pPr>
      <w:bookmarkStart w:name="_TOC_250025" w:id="18"/>
      <w:bookmarkEnd w:id="18"/>
      <w:r>
        <w:rPr/>
        <w:t>En Hidalgo, un caso extremo de la inercia “no cofinanciera” nacional.</w:t>
      </w:r>
    </w:p>
    <w:p>
      <w:pPr>
        <w:pStyle w:val="BodyText"/>
        <w:spacing w:before="11"/>
        <w:rPr>
          <w:b/>
        </w:rPr>
      </w:pPr>
    </w:p>
    <w:p>
      <w:pPr>
        <w:pStyle w:val="BodyText"/>
        <w:spacing w:line="244" w:lineRule="auto"/>
        <w:ind w:left="110" w:right="114"/>
        <w:jc w:val="both"/>
      </w:pPr>
      <w:r>
        <w:rPr/>
        <w:t>Para el gobierno hidalguense, la existencia de una estructura cofinanciera   en los programas aplicables a los servicios públicos se limita a aquellos esquemas donde el cofinanciamiento es un requisito señalado expresamente en las reglas de operación. Una revisión efectuada a los programas ejercidos durante</w:t>
      </w:r>
      <w:r>
        <w:rPr>
          <w:spacing w:val="-9"/>
        </w:rPr>
        <w:t> </w:t>
      </w:r>
      <w:r>
        <w:rPr/>
        <w:t>el</w:t>
      </w:r>
      <w:r>
        <w:rPr>
          <w:spacing w:val="-9"/>
        </w:rPr>
        <w:t> </w:t>
      </w:r>
      <w:r>
        <w:rPr/>
        <w:t>ejercicio</w:t>
      </w:r>
      <w:r>
        <w:rPr>
          <w:spacing w:val="-9"/>
        </w:rPr>
        <w:t> </w:t>
      </w:r>
      <w:r>
        <w:rPr/>
        <w:t>fiscal</w:t>
      </w:r>
      <w:r>
        <w:rPr>
          <w:spacing w:val="-9"/>
        </w:rPr>
        <w:t> </w:t>
      </w:r>
      <w:r>
        <w:rPr/>
        <w:t>2009</w:t>
      </w:r>
      <w:r>
        <w:rPr>
          <w:spacing w:val="-9"/>
        </w:rPr>
        <w:t> </w:t>
      </w:r>
      <w:r>
        <w:rPr/>
        <w:t>arroja</w:t>
      </w:r>
      <w:r>
        <w:rPr>
          <w:spacing w:val="-9"/>
        </w:rPr>
        <w:t> </w:t>
      </w:r>
      <w:r>
        <w:rPr/>
        <w:t>que</w:t>
      </w:r>
      <w:r>
        <w:rPr>
          <w:spacing w:val="-9"/>
        </w:rPr>
        <w:t> </w:t>
      </w:r>
      <w:r>
        <w:rPr/>
        <w:t>los</w:t>
      </w:r>
      <w:r>
        <w:rPr>
          <w:spacing w:val="-9"/>
        </w:rPr>
        <w:t> </w:t>
      </w:r>
      <w:r>
        <w:rPr/>
        <w:t>programas</w:t>
      </w:r>
      <w:r>
        <w:rPr>
          <w:spacing w:val="-9"/>
        </w:rPr>
        <w:t> </w:t>
      </w:r>
      <w:r>
        <w:rPr/>
        <w:t>que</w:t>
      </w:r>
      <w:r>
        <w:rPr>
          <w:spacing w:val="-9"/>
        </w:rPr>
        <w:t> </w:t>
      </w:r>
      <w:r>
        <w:rPr/>
        <w:t>no</w:t>
      </w:r>
      <w:r>
        <w:rPr>
          <w:spacing w:val="-9"/>
        </w:rPr>
        <w:t> </w:t>
      </w:r>
      <w:r>
        <w:rPr/>
        <w:t>contemplaron cofinanciamiento</w:t>
      </w:r>
      <w:r>
        <w:rPr>
          <w:spacing w:val="-14"/>
        </w:rPr>
        <w:t> </w:t>
      </w:r>
      <w:r>
        <w:rPr/>
        <w:t>fueron</w:t>
      </w:r>
      <w:r>
        <w:rPr>
          <w:spacing w:val="-13"/>
        </w:rPr>
        <w:t> </w:t>
      </w:r>
      <w:r>
        <w:rPr/>
        <w:t>el</w:t>
      </w:r>
      <w:r>
        <w:rPr>
          <w:spacing w:val="-13"/>
        </w:rPr>
        <w:t> </w:t>
      </w:r>
      <w:r>
        <w:rPr/>
        <w:t>Fondo</w:t>
      </w:r>
      <w:r>
        <w:rPr>
          <w:spacing w:val="-13"/>
        </w:rPr>
        <w:t> </w:t>
      </w:r>
      <w:r>
        <w:rPr/>
        <w:t>de</w:t>
      </w:r>
      <w:r>
        <w:rPr>
          <w:spacing w:val="-13"/>
        </w:rPr>
        <w:t> </w:t>
      </w:r>
      <w:r>
        <w:rPr/>
        <w:t>Infraestructura</w:t>
      </w:r>
      <w:r>
        <w:rPr>
          <w:spacing w:val="-14"/>
        </w:rPr>
        <w:t> </w:t>
      </w:r>
      <w:r>
        <w:rPr/>
        <w:t>Social</w:t>
      </w:r>
      <w:r>
        <w:rPr>
          <w:spacing w:val="-13"/>
        </w:rPr>
        <w:t> </w:t>
      </w:r>
      <w:r>
        <w:rPr/>
        <w:t>Municipal</w:t>
      </w:r>
      <w:r>
        <w:rPr>
          <w:spacing w:val="-13"/>
        </w:rPr>
        <w:t> </w:t>
      </w:r>
      <w:r>
        <w:rPr/>
        <w:t>(FISE), el Fondo de Aportaciones Múltiples </w:t>
      </w:r>
      <w:r>
        <w:rPr>
          <w:spacing w:val="-4"/>
        </w:rPr>
        <w:t>(FAM), </w:t>
      </w:r>
      <w:r>
        <w:rPr/>
        <w:t>el Fondo de Aportaciones para el Fortalecimiento de las Entidades Federativas </w:t>
      </w:r>
      <w:r>
        <w:rPr>
          <w:spacing w:val="-3"/>
        </w:rPr>
        <w:t>(FAFEF), </w:t>
      </w:r>
      <w:r>
        <w:rPr/>
        <w:t>las acciones compensatorias del Consejo Nacional de Fomento Educativo (CONAFE) y los fondos</w:t>
      </w:r>
      <w:r>
        <w:rPr>
          <w:spacing w:val="2"/>
        </w:rPr>
        <w:t> </w:t>
      </w:r>
      <w:r>
        <w:rPr/>
        <w:t>regionales</w:t>
      </w:r>
      <w:r>
        <w:rPr>
          <w:position w:val="8"/>
          <w:sz w:val="13"/>
        </w:rPr>
        <w:t>53</w:t>
      </w:r>
      <w:r>
        <w:rPr/>
        <w:t>.</w:t>
      </w:r>
    </w:p>
    <w:p>
      <w:pPr>
        <w:pStyle w:val="BodyText"/>
        <w:spacing w:before="5"/>
      </w:pPr>
    </w:p>
    <w:p>
      <w:pPr>
        <w:pStyle w:val="BodyText"/>
        <w:spacing w:line="244" w:lineRule="auto"/>
        <w:ind w:left="110" w:right="114"/>
        <w:jc w:val="both"/>
      </w:pPr>
      <w:r>
        <w:rPr/>
        <w:t>A su vez, los esquemas financieros que si consideraron el cofinanciamiento fueron el programa de infraestructura básica para la atención  de  los  pueblos indígenas (PIBAI, 20% de participación estatal); el programa para  la sostenibilidad de los servicios de agua potable y saneamiento en zonas rurales (PROSSAPYS, 50% de participación estatal); el programa de agua potable, alcantarillado y saneamiento de zonas urbanas </w:t>
      </w:r>
      <w:r>
        <w:rPr>
          <w:spacing w:val="-4"/>
        </w:rPr>
        <w:t>(APAZU, </w:t>
      </w:r>
      <w:r>
        <w:rPr/>
        <w:t>50% de participación estatal); el programa para el desarrollo de zonas prioritarias </w:t>
      </w:r>
      <w:r>
        <w:rPr>
          <w:spacing w:val="-5"/>
        </w:rPr>
        <w:t>(PDZP, </w:t>
      </w:r>
      <w:r>
        <w:rPr/>
        <w:t>25% de participación estatal); el programa 3 x 1 migrantes (25% de participación estatal); el programa </w:t>
      </w:r>
      <w:r>
        <w:rPr>
          <w:spacing w:val="-7"/>
        </w:rPr>
        <w:t>HÁBITAT </w:t>
      </w:r>
      <w:r>
        <w:rPr/>
        <w:t>(25% de participación estatal), el programa rescate  de  espacios  públicos  (7%  de  participación  estatal),  el programa jornaleros agrícolas (PJA, 25% de participación estatal) y el programa escuelas de calidad (PEC, 20% de participación</w:t>
      </w:r>
      <w:r>
        <w:rPr>
          <w:spacing w:val="1"/>
        </w:rPr>
        <w:t> </w:t>
      </w:r>
      <w:r>
        <w:rPr/>
        <w:t>estatal)</w:t>
      </w:r>
      <w:r>
        <w:rPr>
          <w:position w:val="8"/>
          <w:sz w:val="13"/>
        </w:rPr>
        <w:t>54</w:t>
      </w:r>
      <w:r>
        <w:rPr/>
        <w:t>.</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2224;mso-wrap-distance-left:0;mso-wrap-distance-right:0" from="42.519699pt,17.809305pt" to="114.519699pt,17.809305pt" stroked="true" strokeweight="1pt" strokecolor="#000000">
            <w10:wrap type="topAndBottom"/>
          </v:line>
        </w:pict>
      </w:r>
    </w:p>
    <w:p>
      <w:pPr>
        <w:spacing w:line="249" w:lineRule="auto" w:before="28"/>
        <w:ind w:left="337" w:right="114" w:hanging="227"/>
        <w:jc w:val="both"/>
        <w:rPr>
          <w:sz w:val="18"/>
        </w:rPr>
      </w:pPr>
      <w:r>
        <w:rPr>
          <w:position w:val="7"/>
          <w:sz w:val="11"/>
        </w:rPr>
        <w:t>53 </w:t>
      </w:r>
      <w:r>
        <w:rPr>
          <w:sz w:val="18"/>
        </w:rPr>
        <w:t>Información interpretada por el autor según base de datos indicada por la unidad de  información pública gubernamental del poder ejecutivo del Estado de Hidalgo, solicitud con   el número de expediente 00167010 del sistema INFOMEX Hidalgo, 14 de febrero del año 2011. Se aclara que la respuesta a esta solicitud remitió al sitio web: </w:t>
      </w:r>
      <w:hyperlink r:id="rId145">
        <w:r>
          <w:rPr>
            <w:sz w:val="18"/>
          </w:rPr>
          <w:t>http://www.shcp.gob.mx/</w:t>
        </w:r>
      </w:hyperlink>
      <w:r>
        <w:rPr>
          <w:sz w:val="18"/>
        </w:rPr>
        <w:t> POLITICAFINANCIERA/FINANZASPUBLICAS/ITSSEFPDP/paginas/2009.aspx</w:t>
      </w:r>
    </w:p>
    <w:p>
      <w:pPr>
        <w:spacing w:before="20"/>
        <w:ind w:left="110" w:right="0" w:firstLine="0"/>
        <w:jc w:val="left"/>
        <w:rPr>
          <w:i/>
          <w:sz w:val="18"/>
        </w:rPr>
      </w:pPr>
      <w:r>
        <w:rPr>
          <w:w w:val="105"/>
          <w:position w:val="7"/>
          <w:sz w:val="11"/>
        </w:rPr>
        <w:t>54  </w:t>
      </w:r>
      <w:r>
        <w:rPr>
          <w:i/>
          <w:w w:val="105"/>
          <w:sz w:val="18"/>
        </w:rPr>
        <w:t>Ibídem.</w:t>
      </w:r>
    </w:p>
    <w:p>
      <w:pPr>
        <w:spacing w:after="0"/>
        <w:jc w:val="left"/>
        <w:rPr>
          <w:sz w:val="18"/>
        </w:rPr>
        <w:sectPr>
          <w:pgSz w:w="9360" w:h="13040"/>
          <w:pgMar w:header="527" w:footer="514" w:top="720" w:bottom="700" w:left="740" w:right="1300"/>
        </w:sectPr>
      </w:pPr>
    </w:p>
    <w:p>
      <w:pPr>
        <w:pStyle w:val="BodyText"/>
        <w:spacing w:before="11"/>
        <w:rPr>
          <w:i/>
          <w:sz w:val="29"/>
        </w:rPr>
      </w:pPr>
    </w:p>
    <w:p>
      <w:pPr>
        <w:pStyle w:val="BodyText"/>
        <w:spacing w:line="249" w:lineRule="auto" w:before="70"/>
        <w:ind w:left="117" w:right="107"/>
        <w:jc w:val="both"/>
      </w:pPr>
      <w:r>
        <w:rPr/>
        <w:t>En términos cuantitativos, de la revisión señalada en el párrafo anterior        se desprende que la inversión federal fue de $ 2,238,941 312.14 (dos mil doscientos treinta y ocho millones novecientos cuarenta y un mil trescientos doce</w:t>
      </w:r>
      <w:r>
        <w:rPr>
          <w:spacing w:val="-7"/>
        </w:rPr>
        <w:t> </w:t>
      </w:r>
      <w:r>
        <w:rPr/>
        <w:t>pesos</w:t>
      </w:r>
      <w:r>
        <w:rPr>
          <w:spacing w:val="-7"/>
        </w:rPr>
        <w:t> </w:t>
      </w:r>
      <w:r>
        <w:rPr/>
        <w:t>14/100),</w:t>
      </w:r>
      <w:r>
        <w:rPr>
          <w:spacing w:val="-7"/>
        </w:rPr>
        <w:t> </w:t>
      </w:r>
      <w:r>
        <w:rPr/>
        <w:t>mientras</w:t>
      </w:r>
      <w:r>
        <w:rPr>
          <w:spacing w:val="-7"/>
        </w:rPr>
        <w:t> </w:t>
      </w:r>
      <w:r>
        <w:rPr/>
        <w:t>que</w:t>
      </w:r>
      <w:r>
        <w:rPr>
          <w:spacing w:val="-7"/>
        </w:rPr>
        <w:t> </w:t>
      </w:r>
      <w:r>
        <w:rPr/>
        <w:t>la</w:t>
      </w:r>
      <w:r>
        <w:rPr>
          <w:spacing w:val="-7"/>
        </w:rPr>
        <w:t> </w:t>
      </w:r>
      <w:r>
        <w:rPr/>
        <w:t>inversión</w:t>
      </w:r>
      <w:r>
        <w:rPr>
          <w:spacing w:val="-8"/>
        </w:rPr>
        <w:t> </w:t>
      </w:r>
      <w:r>
        <w:rPr/>
        <w:t>estatal</w:t>
      </w:r>
      <w:r>
        <w:rPr>
          <w:spacing w:val="-7"/>
        </w:rPr>
        <w:t> </w:t>
      </w:r>
      <w:r>
        <w:rPr/>
        <w:t>fue</w:t>
      </w:r>
      <w:r>
        <w:rPr>
          <w:spacing w:val="-7"/>
        </w:rPr>
        <w:t> </w:t>
      </w:r>
      <w:r>
        <w:rPr/>
        <w:t>de</w:t>
      </w:r>
      <w:r>
        <w:rPr>
          <w:spacing w:val="-7"/>
        </w:rPr>
        <w:t> </w:t>
      </w:r>
      <w:r>
        <w:rPr/>
        <w:t>$</w:t>
      </w:r>
      <w:r>
        <w:rPr>
          <w:spacing w:val="-7"/>
        </w:rPr>
        <w:t> </w:t>
      </w:r>
      <w:r>
        <w:rPr/>
        <w:t>265,365,305.83 (doscientos</w:t>
      </w:r>
      <w:r>
        <w:rPr>
          <w:spacing w:val="-18"/>
        </w:rPr>
        <w:t> </w:t>
      </w:r>
      <w:r>
        <w:rPr/>
        <w:t>sesenta</w:t>
      </w:r>
      <w:r>
        <w:rPr>
          <w:spacing w:val="-18"/>
        </w:rPr>
        <w:t> </w:t>
      </w:r>
      <w:r>
        <w:rPr/>
        <w:t>y</w:t>
      </w:r>
      <w:r>
        <w:rPr>
          <w:spacing w:val="-18"/>
        </w:rPr>
        <w:t> </w:t>
      </w:r>
      <w:r>
        <w:rPr/>
        <w:t>cinco</w:t>
      </w:r>
      <w:r>
        <w:rPr>
          <w:spacing w:val="-19"/>
        </w:rPr>
        <w:t> </w:t>
      </w:r>
      <w:r>
        <w:rPr/>
        <w:t>millones</w:t>
      </w:r>
      <w:r>
        <w:rPr>
          <w:spacing w:val="-19"/>
        </w:rPr>
        <w:t> </w:t>
      </w:r>
      <w:r>
        <w:rPr/>
        <w:t>trescientos</w:t>
      </w:r>
      <w:r>
        <w:rPr>
          <w:spacing w:val="-19"/>
        </w:rPr>
        <w:t> </w:t>
      </w:r>
      <w:r>
        <w:rPr/>
        <w:t>sesenta</w:t>
      </w:r>
      <w:r>
        <w:rPr>
          <w:spacing w:val="-18"/>
        </w:rPr>
        <w:t> </w:t>
      </w:r>
      <w:r>
        <w:rPr/>
        <w:t>y</w:t>
      </w:r>
      <w:r>
        <w:rPr>
          <w:spacing w:val="-18"/>
        </w:rPr>
        <w:t> </w:t>
      </w:r>
      <w:r>
        <w:rPr/>
        <w:t>cinco</w:t>
      </w:r>
      <w:r>
        <w:rPr>
          <w:spacing w:val="-19"/>
        </w:rPr>
        <w:t> </w:t>
      </w:r>
      <w:r>
        <w:rPr/>
        <w:t>mil</w:t>
      </w:r>
      <w:r>
        <w:rPr>
          <w:spacing w:val="-18"/>
        </w:rPr>
        <w:t> </w:t>
      </w:r>
      <w:r>
        <w:rPr/>
        <w:t>trescientos cinco pesos 83/100)</w:t>
      </w:r>
      <w:r>
        <w:rPr>
          <w:position w:val="8"/>
          <w:sz w:val="13"/>
        </w:rPr>
        <w:t>55</w:t>
      </w:r>
      <w:r>
        <w:rPr/>
        <w:t>. Ante la inexistencia de un Fondo de Recursos Propios para la inversión en servicios públicos, la relación aritmética entre las dos cantidades citadas indica que el porcentaje de cofinanciamiento estatal correspondió</w:t>
      </w:r>
      <w:r>
        <w:rPr>
          <w:spacing w:val="-6"/>
        </w:rPr>
        <w:t> </w:t>
      </w:r>
      <w:r>
        <w:rPr/>
        <w:t>al</w:t>
      </w:r>
      <w:r>
        <w:rPr>
          <w:spacing w:val="-5"/>
        </w:rPr>
        <w:t> </w:t>
      </w:r>
      <w:r>
        <w:rPr/>
        <w:t>10.60%</w:t>
      </w:r>
      <w:r>
        <w:rPr>
          <w:spacing w:val="-5"/>
        </w:rPr>
        <w:t> </w:t>
      </w:r>
      <w:r>
        <w:rPr/>
        <w:t>en</w:t>
      </w:r>
      <w:r>
        <w:rPr>
          <w:spacing w:val="-5"/>
        </w:rPr>
        <w:t> </w:t>
      </w:r>
      <w:r>
        <w:rPr/>
        <w:t>el</w:t>
      </w:r>
      <w:r>
        <w:rPr>
          <w:spacing w:val="-5"/>
        </w:rPr>
        <w:t> </w:t>
      </w:r>
      <w:r>
        <w:rPr/>
        <w:t>año</w:t>
      </w:r>
      <w:r>
        <w:rPr>
          <w:spacing w:val="-5"/>
        </w:rPr>
        <w:t> </w:t>
      </w:r>
      <w:r>
        <w:rPr/>
        <w:t>2009.</w:t>
      </w:r>
      <w:r>
        <w:rPr>
          <w:spacing w:val="-5"/>
        </w:rPr>
        <w:t> </w:t>
      </w:r>
      <w:r>
        <w:rPr/>
        <w:t>Sin</w:t>
      </w:r>
      <w:r>
        <w:rPr>
          <w:spacing w:val="-5"/>
        </w:rPr>
        <w:t> </w:t>
      </w:r>
      <w:r>
        <w:rPr/>
        <w:t>embargo,</w:t>
      </w:r>
      <w:r>
        <w:rPr>
          <w:spacing w:val="-5"/>
        </w:rPr>
        <w:t> </w:t>
      </w:r>
      <w:r>
        <w:rPr/>
        <w:t>una</w:t>
      </w:r>
      <w:r>
        <w:rPr>
          <w:spacing w:val="-5"/>
        </w:rPr>
        <w:t> </w:t>
      </w:r>
      <w:r>
        <w:rPr/>
        <w:t>revisión</w:t>
      </w:r>
      <w:r>
        <w:rPr>
          <w:spacing w:val="-5"/>
        </w:rPr>
        <w:t> </w:t>
      </w:r>
      <w:r>
        <w:rPr/>
        <w:t>minuciosa de los registros de acciones en cada programa revela que las aportaciones estatales fueron cubiertas con recursos del FISE, del </w:t>
      </w:r>
      <w:r>
        <w:rPr>
          <w:spacing w:val="-5"/>
        </w:rPr>
        <w:t>FAFEF </w:t>
      </w:r>
      <w:r>
        <w:rPr/>
        <w:t>y de los fondos regionales</w:t>
      </w:r>
      <w:r>
        <w:rPr>
          <w:position w:val="8"/>
          <w:sz w:val="13"/>
        </w:rPr>
        <w:t>56</w:t>
      </w:r>
      <w:r>
        <w:rPr/>
        <w:t>; repitiéndose así el reciclamiento de aportaciones o </w:t>
      </w:r>
      <w:r>
        <w:rPr>
          <w:i/>
        </w:rPr>
        <w:t>ajedrez </w:t>
      </w:r>
      <w:r>
        <w:rPr>
          <w:i/>
        </w:rPr>
        <w:t>financiero </w:t>
      </w:r>
      <w:r>
        <w:rPr/>
        <w:t>tal como fue expresado en el inciso 2 del apartado anterior. Cabe señalar que para el ejercicio 2010 iniciaron su operación nuevos programas financieros</w:t>
      </w:r>
      <w:r>
        <w:rPr>
          <w:spacing w:val="-8"/>
        </w:rPr>
        <w:t> </w:t>
      </w:r>
      <w:r>
        <w:rPr/>
        <w:t>sin</w:t>
      </w:r>
      <w:r>
        <w:rPr>
          <w:spacing w:val="-8"/>
        </w:rPr>
        <w:t> </w:t>
      </w:r>
      <w:r>
        <w:rPr/>
        <w:t>cofinanciamiento,</w:t>
      </w:r>
      <w:r>
        <w:rPr>
          <w:spacing w:val="-8"/>
        </w:rPr>
        <w:t> </w:t>
      </w:r>
      <w:r>
        <w:rPr/>
        <w:t>como</w:t>
      </w:r>
      <w:r>
        <w:rPr>
          <w:spacing w:val="-8"/>
        </w:rPr>
        <w:t> </w:t>
      </w:r>
      <w:r>
        <w:rPr/>
        <w:t>el</w:t>
      </w:r>
      <w:r>
        <w:rPr>
          <w:spacing w:val="-8"/>
        </w:rPr>
        <w:t> </w:t>
      </w:r>
      <w:r>
        <w:rPr/>
        <w:t>fondo</w:t>
      </w:r>
      <w:r>
        <w:rPr>
          <w:spacing w:val="-8"/>
        </w:rPr>
        <w:t> </w:t>
      </w:r>
      <w:r>
        <w:rPr/>
        <w:t>metropolitano</w:t>
      </w:r>
      <w:r>
        <w:rPr>
          <w:spacing w:val="-8"/>
        </w:rPr>
        <w:t> </w:t>
      </w:r>
      <w:r>
        <w:rPr/>
        <w:t>para</w:t>
      </w:r>
      <w:r>
        <w:rPr>
          <w:spacing w:val="-8"/>
        </w:rPr>
        <w:t> </w:t>
      </w:r>
      <w:r>
        <w:rPr/>
        <w:t>el</w:t>
      </w:r>
      <w:r>
        <w:rPr>
          <w:spacing w:val="-8"/>
        </w:rPr>
        <w:t> </w:t>
      </w:r>
      <w:r>
        <w:rPr/>
        <w:t>Estado de Hidalgo y el fondo de inversión para entidades federativas de aplicación general, razón por la cual el porcentaje de cofinanciamiento señalado</w:t>
      </w:r>
      <w:r>
        <w:rPr>
          <w:spacing w:val="-12"/>
        </w:rPr>
        <w:t> </w:t>
      </w:r>
      <w:r>
        <w:rPr/>
        <w:t>tenderá a</w:t>
      </w:r>
      <w:r>
        <w:rPr>
          <w:spacing w:val="4"/>
        </w:rPr>
        <w:t> </w:t>
      </w:r>
      <w:r>
        <w:rPr/>
        <w:t>disminuir</w:t>
      </w:r>
      <w:r>
        <w:rPr>
          <w:position w:val="8"/>
          <w:sz w:val="13"/>
        </w:rPr>
        <w:t>57</w:t>
      </w:r>
      <w:r>
        <w:rPr/>
        <w:t>.</w:t>
      </w:r>
    </w:p>
    <w:p>
      <w:pPr>
        <w:pStyle w:val="BodyText"/>
        <w:spacing w:before="8"/>
      </w:pPr>
    </w:p>
    <w:p>
      <w:pPr>
        <w:pStyle w:val="BodyText"/>
        <w:spacing w:line="249" w:lineRule="auto" w:before="1"/>
        <w:ind w:left="117" w:right="107"/>
        <w:jc w:val="both"/>
      </w:pPr>
      <w:r>
        <w:rPr/>
        <w:t>En lo general, el gobierno del Estado de Hidalgo se limita a la ejecución     de programas financieros en función de sus reglas de operación, por lo que no se enfatiza el cofinanciamiento de los servicios públicos a través de mecanismos u órganos de gestión alternativos, tampoco es una prioridad la evaluación correspondiente. A la fecha, no se ha conformado la base jurídica para</w:t>
      </w:r>
      <w:r>
        <w:rPr>
          <w:spacing w:val="-14"/>
        </w:rPr>
        <w:t> </w:t>
      </w:r>
      <w:r>
        <w:rPr/>
        <w:t>promocionar</w:t>
      </w:r>
      <w:r>
        <w:rPr>
          <w:spacing w:val="-14"/>
        </w:rPr>
        <w:t> </w:t>
      </w:r>
      <w:r>
        <w:rPr/>
        <w:t>la</w:t>
      </w:r>
      <w:r>
        <w:rPr>
          <w:spacing w:val="-14"/>
        </w:rPr>
        <w:t> </w:t>
      </w:r>
      <w:r>
        <w:rPr/>
        <w:t>inversión</w:t>
      </w:r>
      <w:r>
        <w:rPr>
          <w:spacing w:val="-14"/>
        </w:rPr>
        <w:t> </w:t>
      </w:r>
      <w:r>
        <w:rPr/>
        <w:t>privada</w:t>
      </w:r>
      <w:r>
        <w:rPr>
          <w:spacing w:val="-14"/>
        </w:rPr>
        <w:t> </w:t>
      </w:r>
      <w:r>
        <w:rPr/>
        <w:t>a</w:t>
      </w:r>
      <w:r>
        <w:rPr>
          <w:spacing w:val="-14"/>
        </w:rPr>
        <w:t> </w:t>
      </w:r>
      <w:r>
        <w:rPr/>
        <w:t>través</w:t>
      </w:r>
      <w:r>
        <w:rPr>
          <w:spacing w:val="-14"/>
        </w:rPr>
        <w:t> </w:t>
      </w:r>
      <w:r>
        <w:rPr/>
        <w:t>de</w:t>
      </w:r>
      <w:r>
        <w:rPr>
          <w:spacing w:val="-14"/>
        </w:rPr>
        <w:t> </w:t>
      </w:r>
      <w:r>
        <w:rPr/>
        <w:t>Proyectos</w:t>
      </w:r>
      <w:r>
        <w:rPr>
          <w:spacing w:val="-13"/>
        </w:rPr>
        <w:t> </w:t>
      </w:r>
      <w:r>
        <w:rPr/>
        <w:t>para</w:t>
      </w:r>
      <w:r>
        <w:rPr>
          <w:spacing w:val="-14"/>
        </w:rPr>
        <w:t> </w:t>
      </w:r>
      <w:r>
        <w:rPr/>
        <w:t>la</w:t>
      </w:r>
      <w:r>
        <w:rPr>
          <w:spacing w:val="-14"/>
        </w:rPr>
        <w:t> </w:t>
      </w:r>
      <w:r>
        <w:rPr/>
        <w:t>Prestación de Servicios (PPS)</w:t>
      </w:r>
      <w:r>
        <w:rPr>
          <w:position w:val="8"/>
          <w:sz w:val="13"/>
        </w:rPr>
        <w:t>58</w:t>
      </w:r>
      <w:r>
        <w:rPr/>
        <w:t>, por lo que el financiamiento sigue siendo materia exclusiva gubernamental. Bajo estas particularidades, los servicios públicos atendidos mediante inversión pública por parte del gobierno estatal en el año 2009 fueron carreteras, educación, salud, seguridad pública, agua potable y saneamiento, electrificación, alumbrado público, calles, parques y  </w:t>
      </w:r>
      <w:r>
        <w:rPr>
          <w:spacing w:val="53"/>
        </w:rPr>
        <w:t> </w:t>
      </w:r>
      <w:r>
        <w:rPr/>
        <w:t>jardines,</w:t>
      </w:r>
    </w:p>
    <w:p>
      <w:pPr>
        <w:pStyle w:val="BodyText"/>
        <w:rPr>
          <w:sz w:val="20"/>
        </w:rPr>
      </w:pPr>
    </w:p>
    <w:p>
      <w:pPr>
        <w:pStyle w:val="BodyText"/>
        <w:spacing w:before="1"/>
        <w:rPr>
          <w:sz w:val="13"/>
        </w:rPr>
      </w:pPr>
      <w:r>
        <w:rPr/>
        <w:pict>
          <v:line style="position:absolute;mso-position-horizontal-relative:page;mso-position-vertical-relative:paragraph;z-index:2248;mso-wrap-distance-left:0;mso-wrap-distance-right:0" from="70.866096pt,9.980611pt" to="142.866096pt,9.980611pt" stroked="true" strokeweight="1pt" strokecolor="#000000">
            <w10:wrap type="topAndBottom"/>
          </v:line>
        </w:pict>
      </w:r>
    </w:p>
    <w:p>
      <w:pPr>
        <w:spacing w:before="18"/>
        <w:ind w:left="117" w:right="0" w:firstLine="0"/>
        <w:jc w:val="left"/>
        <w:rPr>
          <w:i/>
          <w:sz w:val="18"/>
        </w:rPr>
      </w:pPr>
      <w:r>
        <w:rPr>
          <w:w w:val="105"/>
          <w:position w:val="7"/>
          <w:sz w:val="11"/>
        </w:rPr>
        <w:t>55  </w:t>
      </w:r>
      <w:r>
        <w:rPr>
          <w:i/>
          <w:w w:val="105"/>
          <w:sz w:val="18"/>
        </w:rPr>
        <w:t>Ibídem.</w:t>
      </w:r>
    </w:p>
    <w:p>
      <w:pPr>
        <w:spacing w:before="18"/>
        <w:ind w:left="117" w:right="0" w:firstLine="0"/>
        <w:jc w:val="left"/>
        <w:rPr>
          <w:i/>
          <w:sz w:val="18"/>
        </w:rPr>
      </w:pPr>
      <w:r>
        <w:rPr>
          <w:w w:val="105"/>
          <w:position w:val="7"/>
          <w:sz w:val="11"/>
        </w:rPr>
        <w:t>56  </w:t>
      </w:r>
      <w:r>
        <w:rPr>
          <w:i/>
          <w:w w:val="105"/>
          <w:sz w:val="18"/>
        </w:rPr>
        <w:t>Ibídem.</w:t>
      </w:r>
    </w:p>
    <w:p>
      <w:pPr>
        <w:spacing w:line="266" w:lineRule="auto" w:before="18"/>
        <w:ind w:left="344" w:right="108" w:hanging="227"/>
        <w:jc w:val="both"/>
        <w:rPr>
          <w:sz w:val="18"/>
        </w:rPr>
      </w:pPr>
      <w:r>
        <w:rPr>
          <w:position w:val="7"/>
          <w:sz w:val="11"/>
        </w:rPr>
        <w:t>57</w:t>
      </w:r>
      <w:r>
        <w:rPr>
          <w:spacing w:val="24"/>
          <w:position w:val="7"/>
          <w:sz w:val="11"/>
        </w:rPr>
        <w:t> </w:t>
      </w:r>
      <w:r>
        <w:rPr>
          <w:sz w:val="18"/>
        </w:rPr>
        <w:t>Información</w:t>
      </w:r>
      <w:r>
        <w:rPr>
          <w:spacing w:val="-8"/>
          <w:sz w:val="18"/>
        </w:rPr>
        <w:t> </w:t>
      </w:r>
      <w:r>
        <w:rPr>
          <w:sz w:val="18"/>
        </w:rPr>
        <w:t>interpretada</w:t>
      </w:r>
      <w:r>
        <w:rPr>
          <w:spacing w:val="-9"/>
          <w:sz w:val="18"/>
        </w:rPr>
        <w:t> </w:t>
      </w:r>
      <w:r>
        <w:rPr>
          <w:sz w:val="18"/>
        </w:rPr>
        <w:t>por</w:t>
      </w:r>
      <w:r>
        <w:rPr>
          <w:spacing w:val="-8"/>
          <w:sz w:val="18"/>
        </w:rPr>
        <w:t> </w:t>
      </w:r>
      <w:r>
        <w:rPr>
          <w:sz w:val="18"/>
        </w:rPr>
        <w:t>el</w:t>
      </w:r>
      <w:r>
        <w:rPr>
          <w:spacing w:val="-8"/>
          <w:sz w:val="18"/>
        </w:rPr>
        <w:t> </w:t>
      </w:r>
      <w:r>
        <w:rPr>
          <w:sz w:val="18"/>
        </w:rPr>
        <w:t>autor</w:t>
      </w:r>
      <w:r>
        <w:rPr>
          <w:spacing w:val="-8"/>
          <w:sz w:val="18"/>
        </w:rPr>
        <w:t> </w:t>
      </w:r>
      <w:r>
        <w:rPr>
          <w:sz w:val="18"/>
        </w:rPr>
        <w:t>según</w:t>
      </w:r>
      <w:r>
        <w:rPr>
          <w:spacing w:val="-8"/>
          <w:sz w:val="18"/>
        </w:rPr>
        <w:t> </w:t>
      </w:r>
      <w:r>
        <w:rPr>
          <w:sz w:val="18"/>
        </w:rPr>
        <w:t>base</w:t>
      </w:r>
      <w:r>
        <w:rPr>
          <w:spacing w:val="-8"/>
          <w:sz w:val="18"/>
        </w:rPr>
        <w:t> </w:t>
      </w:r>
      <w:r>
        <w:rPr>
          <w:sz w:val="18"/>
        </w:rPr>
        <w:t>de</w:t>
      </w:r>
      <w:r>
        <w:rPr>
          <w:spacing w:val="-8"/>
          <w:sz w:val="18"/>
        </w:rPr>
        <w:t> </w:t>
      </w:r>
      <w:r>
        <w:rPr>
          <w:sz w:val="18"/>
        </w:rPr>
        <w:t>datos</w:t>
      </w:r>
      <w:r>
        <w:rPr>
          <w:spacing w:val="-8"/>
          <w:sz w:val="18"/>
        </w:rPr>
        <w:t> </w:t>
      </w:r>
      <w:r>
        <w:rPr>
          <w:sz w:val="18"/>
        </w:rPr>
        <w:t>localizada</w:t>
      </w:r>
      <w:r>
        <w:rPr>
          <w:spacing w:val="-8"/>
          <w:sz w:val="18"/>
        </w:rPr>
        <w:t> </w:t>
      </w:r>
      <w:r>
        <w:rPr>
          <w:sz w:val="18"/>
        </w:rPr>
        <w:t>en</w:t>
      </w:r>
      <w:r>
        <w:rPr>
          <w:spacing w:val="-8"/>
          <w:sz w:val="18"/>
        </w:rPr>
        <w:t> </w:t>
      </w:r>
      <w:r>
        <w:rPr>
          <w:sz w:val="18"/>
        </w:rPr>
        <w:t>el</w:t>
      </w:r>
      <w:r>
        <w:rPr>
          <w:spacing w:val="-8"/>
          <w:sz w:val="18"/>
        </w:rPr>
        <w:t> </w:t>
      </w:r>
      <w:r>
        <w:rPr>
          <w:sz w:val="18"/>
        </w:rPr>
        <w:t>sitio</w:t>
      </w:r>
      <w:r>
        <w:rPr>
          <w:spacing w:val="-8"/>
          <w:sz w:val="18"/>
        </w:rPr>
        <w:t> </w:t>
      </w:r>
      <w:r>
        <w:rPr>
          <w:sz w:val="18"/>
        </w:rPr>
        <w:t>web:</w:t>
      </w:r>
      <w:r>
        <w:rPr>
          <w:spacing w:val="-8"/>
          <w:sz w:val="18"/>
        </w:rPr>
        <w:t> </w:t>
      </w:r>
      <w:hyperlink r:id="rId146">
        <w:r>
          <w:rPr>
            <w:sz w:val="18"/>
          </w:rPr>
          <w:t>http://www.</w:t>
        </w:r>
      </w:hyperlink>
      <w:r>
        <w:rPr>
          <w:sz w:val="18"/>
        </w:rPr>
        <w:t> </w:t>
      </w:r>
      <w:r>
        <w:rPr>
          <w:spacing w:val="2"/>
          <w:sz w:val="18"/>
        </w:rPr>
        <w:t>shcp.gob.mx/POLITICAFINANCIERA/FINANZASPUBLICAS/ITSSEFPDP/paginas/2010. </w:t>
      </w:r>
      <w:r>
        <w:rPr>
          <w:sz w:val="18"/>
        </w:rPr>
        <w:t>aspx</w:t>
      </w:r>
    </w:p>
    <w:p>
      <w:pPr>
        <w:spacing w:line="266" w:lineRule="auto" w:before="0"/>
        <w:ind w:left="344" w:right="108" w:hanging="227"/>
        <w:jc w:val="both"/>
        <w:rPr>
          <w:sz w:val="18"/>
        </w:rPr>
      </w:pPr>
      <w:r>
        <w:rPr>
          <w:position w:val="7"/>
          <w:sz w:val="11"/>
        </w:rPr>
        <w:t>58 </w:t>
      </w:r>
      <w:r>
        <w:rPr>
          <w:sz w:val="18"/>
        </w:rPr>
        <w:t>Información interpretada por el autor de acuerdo a la revisión de la legislación local, principalmente la relativa a las obras públicas.</w:t>
      </w:r>
    </w:p>
    <w:p>
      <w:pPr>
        <w:spacing w:after="0" w:line="266" w:lineRule="auto"/>
        <w:jc w:val="both"/>
        <w:rPr>
          <w:sz w:val="18"/>
        </w:rPr>
        <w:sectPr>
          <w:pgSz w:w="9360" w:h="13040"/>
          <w:pgMar w:header="547" w:footer="514" w:top="940" w:bottom="700" w:left="1300" w:right="740"/>
        </w:sectPr>
      </w:pPr>
    </w:p>
    <w:p>
      <w:pPr>
        <w:pStyle w:val="BodyText"/>
        <w:rPr>
          <w:sz w:val="20"/>
        </w:rPr>
      </w:pPr>
    </w:p>
    <w:p>
      <w:pPr>
        <w:pStyle w:val="BodyText"/>
        <w:rPr>
          <w:sz w:val="29"/>
        </w:rPr>
      </w:pPr>
    </w:p>
    <w:p>
      <w:pPr>
        <w:pStyle w:val="BodyText"/>
        <w:spacing w:line="244" w:lineRule="auto" w:before="71"/>
        <w:ind w:left="110" w:right="116"/>
        <w:jc w:val="both"/>
      </w:pPr>
      <w:r>
        <w:rPr/>
        <w:t>transporte público y limpia y manejo de residuos sólidos</w:t>
      </w:r>
      <w:r>
        <w:rPr>
          <w:position w:val="8"/>
          <w:sz w:val="13"/>
        </w:rPr>
        <w:t>59</w:t>
      </w:r>
      <w:r>
        <w:rPr/>
        <w:t>. Por su parte, los servicios públicos sin atender fueron mercados, panteones y rastros</w:t>
      </w:r>
      <w:r>
        <w:rPr>
          <w:position w:val="8"/>
          <w:sz w:val="13"/>
        </w:rPr>
        <w:t>60</w:t>
      </w:r>
      <w:r>
        <w:rPr/>
        <w:t>.</w:t>
      </w:r>
    </w:p>
    <w:p>
      <w:pPr>
        <w:pStyle w:val="BodyText"/>
        <w:spacing w:before="5"/>
      </w:pPr>
    </w:p>
    <w:p>
      <w:pPr>
        <w:pStyle w:val="BodyText"/>
        <w:spacing w:line="244" w:lineRule="auto" w:before="1"/>
        <w:ind w:left="110" w:right="114"/>
        <w:jc w:val="both"/>
      </w:pPr>
      <w:r>
        <w:rPr/>
        <w:t>En forma análoga a la revisión realizada en el gasto 2009 del gobierno estatal, dos referencias que resultaron posibles gracias a la disposición de   los municipios por la aportación de sus resultados de gasto para la presente investigación fueron los casos de Huichapan y Pachuca de Soto. El primero ejerció en 2009 el Fondo de Infraestructura Social Municipal (FISM) sin financiamiento complementario por parte del municipio</w:t>
      </w:r>
      <w:r>
        <w:rPr>
          <w:position w:val="8"/>
          <w:sz w:val="13"/>
        </w:rPr>
        <w:t>61</w:t>
      </w:r>
      <w:r>
        <w:rPr/>
        <w:t>,  sin  embargo,  una forma indirecta de cofinanciar el gasto en servicios públicos ha sido la conformación</w:t>
      </w:r>
      <w:r>
        <w:rPr>
          <w:spacing w:val="-15"/>
        </w:rPr>
        <w:t> </w:t>
      </w:r>
      <w:r>
        <w:rPr/>
        <w:t>de</w:t>
      </w:r>
      <w:r>
        <w:rPr>
          <w:spacing w:val="-14"/>
        </w:rPr>
        <w:t> </w:t>
      </w:r>
      <w:r>
        <w:rPr/>
        <w:t>un</w:t>
      </w:r>
      <w:r>
        <w:rPr>
          <w:spacing w:val="-14"/>
        </w:rPr>
        <w:t> </w:t>
      </w:r>
      <w:r>
        <w:rPr/>
        <w:t>programa</w:t>
      </w:r>
      <w:r>
        <w:rPr>
          <w:spacing w:val="-14"/>
        </w:rPr>
        <w:t> </w:t>
      </w:r>
      <w:r>
        <w:rPr/>
        <w:t>de</w:t>
      </w:r>
      <w:r>
        <w:rPr>
          <w:spacing w:val="-14"/>
        </w:rPr>
        <w:t> </w:t>
      </w:r>
      <w:r>
        <w:rPr/>
        <w:t>recursos</w:t>
      </w:r>
      <w:r>
        <w:rPr>
          <w:spacing w:val="-14"/>
        </w:rPr>
        <w:t> </w:t>
      </w:r>
      <w:r>
        <w:rPr/>
        <w:t>propios</w:t>
      </w:r>
      <w:r>
        <w:rPr>
          <w:spacing w:val="-14"/>
        </w:rPr>
        <w:t> </w:t>
      </w:r>
      <w:r>
        <w:rPr/>
        <w:t>(conocido</w:t>
      </w:r>
      <w:r>
        <w:rPr>
          <w:spacing w:val="-14"/>
        </w:rPr>
        <w:t> </w:t>
      </w:r>
      <w:r>
        <w:rPr/>
        <w:t>comúnmente</w:t>
      </w:r>
      <w:r>
        <w:rPr>
          <w:spacing w:val="-15"/>
        </w:rPr>
        <w:t> </w:t>
      </w:r>
      <w:r>
        <w:rPr/>
        <w:t>por sus</w:t>
      </w:r>
      <w:r>
        <w:rPr>
          <w:spacing w:val="-15"/>
        </w:rPr>
        <w:t> </w:t>
      </w:r>
      <w:r>
        <w:rPr/>
        <w:t>siglas</w:t>
      </w:r>
      <w:r>
        <w:rPr>
          <w:spacing w:val="-15"/>
        </w:rPr>
        <w:t> </w:t>
      </w:r>
      <w:r>
        <w:rPr/>
        <w:t>como</w:t>
      </w:r>
      <w:r>
        <w:rPr>
          <w:spacing w:val="-15"/>
        </w:rPr>
        <w:t> </w:t>
      </w:r>
      <w:r>
        <w:rPr/>
        <w:t>REPO)</w:t>
      </w:r>
      <w:r>
        <w:rPr>
          <w:position w:val="8"/>
          <w:sz w:val="13"/>
        </w:rPr>
        <w:t>62</w:t>
      </w:r>
      <w:r>
        <w:rPr/>
        <w:t>.</w:t>
      </w:r>
      <w:r>
        <w:rPr>
          <w:spacing w:val="-15"/>
        </w:rPr>
        <w:t> </w:t>
      </w:r>
      <w:r>
        <w:rPr/>
        <w:t>La</w:t>
      </w:r>
      <w:r>
        <w:rPr>
          <w:spacing w:val="-15"/>
        </w:rPr>
        <w:t> </w:t>
      </w:r>
      <w:r>
        <w:rPr/>
        <w:t>opción</w:t>
      </w:r>
      <w:r>
        <w:rPr>
          <w:spacing w:val="-15"/>
        </w:rPr>
        <w:t> </w:t>
      </w:r>
      <w:r>
        <w:rPr/>
        <w:t>que</w:t>
      </w:r>
      <w:r>
        <w:rPr>
          <w:spacing w:val="-15"/>
        </w:rPr>
        <w:t> </w:t>
      </w:r>
      <w:r>
        <w:rPr/>
        <w:t>contó</w:t>
      </w:r>
      <w:r>
        <w:rPr>
          <w:spacing w:val="-15"/>
        </w:rPr>
        <w:t> </w:t>
      </w:r>
      <w:r>
        <w:rPr/>
        <w:t>con</w:t>
      </w:r>
      <w:r>
        <w:rPr>
          <w:spacing w:val="-15"/>
        </w:rPr>
        <w:t> </w:t>
      </w:r>
      <w:r>
        <w:rPr/>
        <w:t>una</w:t>
      </w:r>
      <w:r>
        <w:rPr>
          <w:spacing w:val="-15"/>
        </w:rPr>
        <w:t> </w:t>
      </w:r>
      <w:r>
        <w:rPr/>
        <w:t>estructura</w:t>
      </w:r>
      <w:r>
        <w:rPr>
          <w:spacing w:val="-15"/>
        </w:rPr>
        <w:t> </w:t>
      </w:r>
      <w:r>
        <w:rPr/>
        <w:t>cofinanciera tangible</w:t>
      </w:r>
      <w:r>
        <w:rPr>
          <w:spacing w:val="40"/>
        </w:rPr>
        <w:t> </w:t>
      </w:r>
      <w:r>
        <w:rPr/>
        <w:t>fue</w:t>
      </w:r>
      <w:r>
        <w:rPr>
          <w:spacing w:val="40"/>
        </w:rPr>
        <w:t> </w:t>
      </w:r>
      <w:r>
        <w:rPr/>
        <w:t>únicamente</w:t>
      </w:r>
      <w:r>
        <w:rPr>
          <w:spacing w:val="40"/>
        </w:rPr>
        <w:t> </w:t>
      </w:r>
      <w:r>
        <w:rPr/>
        <w:t>el</w:t>
      </w:r>
      <w:r>
        <w:rPr>
          <w:spacing w:val="40"/>
        </w:rPr>
        <w:t> </w:t>
      </w:r>
      <w:r>
        <w:rPr/>
        <w:t>programa</w:t>
      </w:r>
      <w:r>
        <w:rPr>
          <w:spacing w:val="40"/>
        </w:rPr>
        <w:t> </w:t>
      </w:r>
      <w:r>
        <w:rPr/>
        <w:t>3</w:t>
      </w:r>
      <w:r>
        <w:rPr>
          <w:spacing w:val="40"/>
        </w:rPr>
        <w:t> </w:t>
      </w:r>
      <w:r>
        <w:rPr/>
        <w:t>x</w:t>
      </w:r>
      <w:r>
        <w:rPr>
          <w:spacing w:val="40"/>
        </w:rPr>
        <w:t> </w:t>
      </w:r>
      <w:r>
        <w:rPr/>
        <w:t>1</w:t>
      </w:r>
      <w:r>
        <w:rPr>
          <w:spacing w:val="40"/>
        </w:rPr>
        <w:t> </w:t>
      </w:r>
      <w:r>
        <w:rPr/>
        <w:t>migrantes</w:t>
      </w:r>
      <w:r>
        <w:rPr>
          <w:spacing w:val="40"/>
        </w:rPr>
        <w:t> </w:t>
      </w:r>
      <w:r>
        <w:rPr/>
        <w:t>en</w:t>
      </w:r>
      <w:r>
        <w:rPr>
          <w:spacing w:val="40"/>
        </w:rPr>
        <w:t> </w:t>
      </w:r>
      <w:r>
        <w:rPr/>
        <w:t>términos</w:t>
      </w:r>
      <w:r>
        <w:rPr>
          <w:spacing w:val="40"/>
        </w:rPr>
        <w:t> </w:t>
      </w:r>
      <w:r>
        <w:rPr/>
        <w:t>de</w:t>
      </w:r>
      <w:r>
        <w:rPr>
          <w:spacing w:val="40"/>
        </w:rPr>
        <w:t> </w:t>
      </w:r>
      <w:r>
        <w:rPr/>
        <w:t>los</w:t>
      </w:r>
    </w:p>
    <w:p>
      <w:pPr>
        <w:pStyle w:val="BodyText"/>
        <w:spacing w:before="8"/>
        <w:rPr>
          <w:sz w:val="22"/>
        </w:rPr>
      </w:pPr>
      <w:r>
        <w:rPr/>
        <w:pict>
          <v:line style="position:absolute;mso-position-horizontal-relative:page;mso-position-vertical-relative:paragraph;z-index:2272;mso-wrap-distance-left:0;mso-wrap-distance-right:0" from="42.519699pt,15.51933pt" to="114.519699pt,15.51933pt" stroked="true" strokeweight="1pt" strokecolor="#000000">
            <w10:wrap type="topAndBottom"/>
          </v:line>
        </w:pict>
      </w:r>
    </w:p>
    <w:p>
      <w:pPr>
        <w:spacing w:line="266" w:lineRule="auto" w:before="18"/>
        <w:ind w:left="337" w:right="114" w:hanging="227"/>
        <w:jc w:val="both"/>
        <w:rPr>
          <w:sz w:val="18"/>
        </w:rPr>
      </w:pPr>
      <w:r>
        <w:rPr>
          <w:position w:val="7"/>
          <w:sz w:val="11"/>
        </w:rPr>
        <w:t>59 </w:t>
      </w:r>
      <w:r>
        <w:rPr>
          <w:sz w:val="18"/>
        </w:rPr>
        <w:t>Información interpretada por el autor según base de datos indicada por la unidad de  información pública gubernamental del poder ejecutivo del Estado de Hidalgo, solicitud con   el número de expediente 00167010 del sistema INFOMEX Hidalgo, 14 de febrero del año 2011. Se aclara que la respuesta a esta solicitud remitió al sitio web: </w:t>
      </w:r>
      <w:hyperlink r:id="rId145">
        <w:r>
          <w:rPr>
            <w:sz w:val="18"/>
          </w:rPr>
          <w:t>http://www.shcp.gob.mx/</w:t>
        </w:r>
      </w:hyperlink>
      <w:r>
        <w:rPr>
          <w:sz w:val="18"/>
        </w:rPr>
        <w:t> POLITICAFINANCIERA/FINANZASPUBLICAS/ITSSEFPDP/paginas/2009.aspx</w:t>
      </w:r>
    </w:p>
    <w:p>
      <w:pPr>
        <w:spacing w:line="208" w:lineRule="exact" w:before="0"/>
        <w:ind w:left="110" w:right="0" w:firstLine="0"/>
        <w:jc w:val="left"/>
        <w:rPr>
          <w:i/>
          <w:sz w:val="18"/>
        </w:rPr>
      </w:pPr>
      <w:r>
        <w:rPr>
          <w:w w:val="105"/>
          <w:position w:val="7"/>
          <w:sz w:val="11"/>
        </w:rPr>
        <w:t>60  </w:t>
      </w:r>
      <w:r>
        <w:rPr>
          <w:i/>
          <w:w w:val="105"/>
          <w:sz w:val="18"/>
        </w:rPr>
        <w:t>Ibídem.</w:t>
      </w:r>
    </w:p>
    <w:p>
      <w:pPr>
        <w:spacing w:line="266" w:lineRule="auto" w:before="18"/>
        <w:ind w:left="337" w:right="115" w:hanging="227"/>
        <w:jc w:val="both"/>
        <w:rPr>
          <w:sz w:val="18"/>
        </w:rPr>
      </w:pPr>
      <w:r>
        <w:rPr>
          <w:position w:val="7"/>
          <w:sz w:val="11"/>
        </w:rPr>
        <w:t>61 </w:t>
      </w:r>
      <w:r>
        <w:rPr>
          <w:sz w:val="18"/>
        </w:rPr>
        <w:t>Información interpretada por el autor según base de datos proporcionada por la unidad de información</w:t>
      </w:r>
      <w:r>
        <w:rPr>
          <w:spacing w:val="-7"/>
          <w:sz w:val="18"/>
        </w:rPr>
        <w:t> </w:t>
      </w:r>
      <w:r>
        <w:rPr>
          <w:sz w:val="18"/>
        </w:rPr>
        <w:t>pública</w:t>
      </w:r>
      <w:r>
        <w:rPr>
          <w:spacing w:val="-6"/>
          <w:sz w:val="18"/>
        </w:rPr>
        <w:t> </w:t>
      </w:r>
      <w:r>
        <w:rPr>
          <w:sz w:val="18"/>
        </w:rPr>
        <w:t>gubernamental</w:t>
      </w:r>
      <w:r>
        <w:rPr>
          <w:spacing w:val="-6"/>
          <w:sz w:val="18"/>
        </w:rPr>
        <w:t> </w:t>
      </w:r>
      <w:r>
        <w:rPr>
          <w:sz w:val="18"/>
        </w:rPr>
        <w:t>del</w:t>
      </w:r>
      <w:r>
        <w:rPr>
          <w:spacing w:val="-6"/>
          <w:sz w:val="18"/>
        </w:rPr>
        <w:t> </w:t>
      </w:r>
      <w:r>
        <w:rPr>
          <w:sz w:val="18"/>
        </w:rPr>
        <w:t>ayuntamiento</w:t>
      </w:r>
      <w:r>
        <w:rPr>
          <w:spacing w:val="-6"/>
          <w:sz w:val="18"/>
        </w:rPr>
        <w:t> </w:t>
      </w:r>
      <w:r>
        <w:rPr>
          <w:sz w:val="18"/>
        </w:rPr>
        <w:t>de</w:t>
      </w:r>
      <w:r>
        <w:rPr>
          <w:spacing w:val="-6"/>
          <w:sz w:val="18"/>
        </w:rPr>
        <w:t> </w:t>
      </w:r>
      <w:r>
        <w:rPr>
          <w:sz w:val="18"/>
        </w:rPr>
        <w:t>Huichapan,</w:t>
      </w:r>
      <w:r>
        <w:rPr>
          <w:spacing w:val="-5"/>
          <w:sz w:val="18"/>
        </w:rPr>
        <w:t> </w:t>
      </w:r>
      <w:r>
        <w:rPr>
          <w:sz w:val="18"/>
        </w:rPr>
        <w:t>solicitud</w:t>
      </w:r>
      <w:r>
        <w:rPr>
          <w:spacing w:val="-5"/>
          <w:sz w:val="18"/>
        </w:rPr>
        <w:t> </w:t>
      </w:r>
      <w:r>
        <w:rPr>
          <w:sz w:val="18"/>
        </w:rPr>
        <w:t>con</w:t>
      </w:r>
      <w:r>
        <w:rPr>
          <w:spacing w:val="-6"/>
          <w:sz w:val="18"/>
        </w:rPr>
        <w:t> </w:t>
      </w:r>
      <w:r>
        <w:rPr>
          <w:sz w:val="18"/>
        </w:rPr>
        <w:t>el</w:t>
      </w:r>
      <w:r>
        <w:rPr>
          <w:spacing w:val="-6"/>
          <w:sz w:val="18"/>
        </w:rPr>
        <w:t> </w:t>
      </w:r>
      <w:r>
        <w:rPr>
          <w:sz w:val="18"/>
        </w:rPr>
        <w:t>número</w:t>
      </w:r>
      <w:r>
        <w:rPr>
          <w:spacing w:val="-6"/>
          <w:sz w:val="18"/>
        </w:rPr>
        <w:t> </w:t>
      </w:r>
      <w:r>
        <w:rPr>
          <w:sz w:val="18"/>
        </w:rPr>
        <w:t>de expediente 00183410 del sistema INFOMEX Hidalgo, 27 de octubre del año 2010.</w:t>
      </w:r>
    </w:p>
    <w:p>
      <w:pPr>
        <w:spacing w:line="266" w:lineRule="auto" w:before="0"/>
        <w:ind w:left="337" w:right="114" w:hanging="227"/>
        <w:jc w:val="both"/>
        <w:rPr>
          <w:sz w:val="18"/>
        </w:rPr>
      </w:pPr>
      <w:r>
        <w:rPr>
          <w:position w:val="7"/>
          <w:sz w:val="11"/>
        </w:rPr>
        <w:t>62 </w:t>
      </w:r>
      <w:r>
        <w:rPr>
          <w:sz w:val="18"/>
        </w:rPr>
        <w:t>En el Estado de Hidalgo, las fuentes de recursos propios de los ayuntamientos</w:t>
      </w:r>
      <w:r>
        <w:rPr>
          <w:spacing w:val="-32"/>
          <w:sz w:val="18"/>
        </w:rPr>
        <w:t> </w:t>
      </w:r>
      <w:r>
        <w:rPr>
          <w:sz w:val="18"/>
        </w:rPr>
        <w:t>son consecuencia de una correcta administración hacendaria. No obstante, en la mayoría de los casos la recaudación municipal presenta grandes ineficiencias. La recaudación derivada del impuesto predial enfrenta carencias como: registros catastrales rudimentarios (sin tecnología), falta de actualización</w:t>
      </w:r>
      <w:r>
        <w:rPr>
          <w:spacing w:val="-5"/>
          <w:sz w:val="18"/>
        </w:rPr>
        <w:t> </w:t>
      </w:r>
      <w:r>
        <w:rPr>
          <w:sz w:val="18"/>
        </w:rPr>
        <w:t>catastral,</w:t>
      </w:r>
      <w:r>
        <w:rPr>
          <w:spacing w:val="-5"/>
          <w:sz w:val="18"/>
        </w:rPr>
        <w:t> </w:t>
      </w:r>
      <w:r>
        <w:rPr>
          <w:sz w:val="18"/>
        </w:rPr>
        <w:t>avalúos</w:t>
      </w:r>
      <w:r>
        <w:rPr>
          <w:spacing w:val="-4"/>
          <w:sz w:val="18"/>
        </w:rPr>
        <w:t> </w:t>
      </w:r>
      <w:r>
        <w:rPr>
          <w:sz w:val="18"/>
        </w:rPr>
        <w:t>no</w:t>
      </w:r>
      <w:r>
        <w:rPr>
          <w:spacing w:val="-4"/>
          <w:sz w:val="18"/>
        </w:rPr>
        <w:t> </w:t>
      </w:r>
      <w:r>
        <w:rPr>
          <w:sz w:val="18"/>
        </w:rPr>
        <w:t>profesionales</w:t>
      </w:r>
      <w:r>
        <w:rPr>
          <w:spacing w:val="-5"/>
          <w:sz w:val="18"/>
        </w:rPr>
        <w:t> </w:t>
      </w:r>
      <w:r>
        <w:rPr>
          <w:sz w:val="18"/>
        </w:rPr>
        <w:t>(en</w:t>
      </w:r>
      <w:r>
        <w:rPr>
          <w:spacing w:val="-4"/>
          <w:sz w:val="18"/>
        </w:rPr>
        <w:t> </w:t>
      </w:r>
      <w:r>
        <w:rPr>
          <w:sz w:val="18"/>
        </w:rPr>
        <w:t>muchos</w:t>
      </w:r>
      <w:r>
        <w:rPr>
          <w:spacing w:val="-4"/>
          <w:sz w:val="18"/>
        </w:rPr>
        <w:t> </w:t>
      </w:r>
      <w:r>
        <w:rPr>
          <w:sz w:val="18"/>
        </w:rPr>
        <w:t>casos</w:t>
      </w:r>
      <w:r>
        <w:rPr>
          <w:spacing w:val="-4"/>
          <w:sz w:val="18"/>
        </w:rPr>
        <w:t> </w:t>
      </w:r>
      <w:r>
        <w:rPr>
          <w:sz w:val="18"/>
        </w:rPr>
        <w:t>los</w:t>
      </w:r>
      <w:r>
        <w:rPr>
          <w:spacing w:val="-4"/>
          <w:sz w:val="18"/>
        </w:rPr>
        <w:t> </w:t>
      </w:r>
      <w:r>
        <w:rPr>
          <w:sz w:val="18"/>
        </w:rPr>
        <w:t>lotes</w:t>
      </w:r>
      <w:r>
        <w:rPr>
          <w:spacing w:val="-4"/>
          <w:sz w:val="18"/>
        </w:rPr>
        <w:t> </w:t>
      </w:r>
      <w:r>
        <w:rPr>
          <w:sz w:val="18"/>
        </w:rPr>
        <w:t>pagan</w:t>
      </w:r>
      <w:r>
        <w:rPr>
          <w:spacing w:val="-5"/>
          <w:sz w:val="18"/>
        </w:rPr>
        <w:t> </w:t>
      </w:r>
      <w:r>
        <w:rPr>
          <w:sz w:val="18"/>
        </w:rPr>
        <w:t>una</w:t>
      </w:r>
      <w:r>
        <w:rPr>
          <w:spacing w:val="-4"/>
          <w:sz w:val="18"/>
        </w:rPr>
        <w:t> </w:t>
      </w:r>
      <w:r>
        <w:rPr>
          <w:sz w:val="18"/>
        </w:rPr>
        <w:t>tarifa</w:t>
      </w:r>
      <w:r>
        <w:rPr>
          <w:spacing w:val="-5"/>
          <w:sz w:val="18"/>
        </w:rPr>
        <w:t> </w:t>
      </w:r>
      <w:r>
        <w:rPr>
          <w:sz w:val="18"/>
        </w:rPr>
        <w:t>fija sin</w:t>
      </w:r>
      <w:r>
        <w:rPr>
          <w:spacing w:val="-14"/>
          <w:sz w:val="18"/>
        </w:rPr>
        <w:t> </w:t>
      </w:r>
      <w:r>
        <w:rPr>
          <w:sz w:val="18"/>
        </w:rPr>
        <w:t>importar</w:t>
      </w:r>
      <w:r>
        <w:rPr>
          <w:spacing w:val="-15"/>
          <w:sz w:val="18"/>
        </w:rPr>
        <w:t> </w:t>
      </w:r>
      <w:r>
        <w:rPr>
          <w:sz w:val="18"/>
        </w:rPr>
        <w:t>su</w:t>
      </w:r>
      <w:r>
        <w:rPr>
          <w:spacing w:val="-14"/>
          <w:sz w:val="18"/>
        </w:rPr>
        <w:t> </w:t>
      </w:r>
      <w:r>
        <w:rPr>
          <w:sz w:val="18"/>
        </w:rPr>
        <w:t>área</w:t>
      </w:r>
      <w:r>
        <w:rPr>
          <w:spacing w:val="-15"/>
          <w:sz w:val="18"/>
        </w:rPr>
        <w:t> </w:t>
      </w:r>
      <w:r>
        <w:rPr>
          <w:sz w:val="18"/>
        </w:rPr>
        <w:t>y</w:t>
      </w:r>
      <w:r>
        <w:rPr>
          <w:spacing w:val="-14"/>
          <w:sz w:val="18"/>
        </w:rPr>
        <w:t> </w:t>
      </w:r>
      <w:r>
        <w:rPr>
          <w:sz w:val="18"/>
        </w:rPr>
        <w:t>construcción),</w:t>
      </w:r>
      <w:r>
        <w:rPr>
          <w:spacing w:val="-15"/>
          <w:sz w:val="18"/>
        </w:rPr>
        <w:t> </w:t>
      </w:r>
      <w:r>
        <w:rPr>
          <w:sz w:val="18"/>
        </w:rPr>
        <w:t>indiferencia</w:t>
      </w:r>
      <w:r>
        <w:rPr>
          <w:spacing w:val="-15"/>
          <w:sz w:val="18"/>
        </w:rPr>
        <w:t> </w:t>
      </w:r>
      <w:r>
        <w:rPr>
          <w:sz w:val="18"/>
        </w:rPr>
        <w:t>ante</w:t>
      </w:r>
      <w:r>
        <w:rPr>
          <w:spacing w:val="-15"/>
          <w:sz w:val="18"/>
        </w:rPr>
        <w:t> </w:t>
      </w:r>
      <w:r>
        <w:rPr>
          <w:sz w:val="18"/>
        </w:rPr>
        <w:t>los</w:t>
      </w:r>
      <w:r>
        <w:rPr>
          <w:spacing w:val="-15"/>
          <w:sz w:val="18"/>
        </w:rPr>
        <w:t> </w:t>
      </w:r>
      <w:r>
        <w:rPr>
          <w:sz w:val="18"/>
        </w:rPr>
        <w:t>escasos</w:t>
      </w:r>
      <w:r>
        <w:rPr>
          <w:spacing w:val="-15"/>
          <w:sz w:val="18"/>
        </w:rPr>
        <w:t> </w:t>
      </w:r>
      <w:r>
        <w:rPr>
          <w:sz w:val="18"/>
        </w:rPr>
        <w:t>porcentajes</w:t>
      </w:r>
      <w:r>
        <w:rPr>
          <w:spacing w:val="-14"/>
          <w:sz w:val="18"/>
        </w:rPr>
        <w:t> </w:t>
      </w:r>
      <w:r>
        <w:rPr>
          <w:sz w:val="18"/>
        </w:rPr>
        <w:t>de</w:t>
      </w:r>
      <w:r>
        <w:rPr>
          <w:spacing w:val="-14"/>
          <w:sz w:val="18"/>
        </w:rPr>
        <w:t> </w:t>
      </w:r>
      <w:r>
        <w:rPr>
          <w:sz w:val="18"/>
        </w:rPr>
        <w:t>recaudación</w:t>
      </w:r>
      <w:r>
        <w:rPr>
          <w:spacing w:val="-14"/>
          <w:sz w:val="18"/>
        </w:rPr>
        <w:t> </w:t>
      </w:r>
      <w:r>
        <w:rPr>
          <w:sz w:val="18"/>
        </w:rPr>
        <w:t>(sin incentivos),</w:t>
      </w:r>
      <w:r>
        <w:rPr>
          <w:spacing w:val="-11"/>
          <w:sz w:val="18"/>
        </w:rPr>
        <w:t> </w:t>
      </w:r>
      <w:r>
        <w:rPr>
          <w:sz w:val="18"/>
        </w:rPr>
        <w:t>además</w:t>
      </w:r>
      <w:r>
        <w:rPr>
          <w:spacing w:val="-10"/>
          <w:sz w:val="18"/>
        </w:rPr>
        <w:t> </w:t>
      </w:r>
      <w:r>
        <w:rPr>
          <w:sz w:val="18"/>
        </w:rPr>
        <w:t>de</w:t>
      </w:r>
      <w:r>
        <w:rPr>
          <w:spacing w:val="-10"/>
          <w:sz w:val="18"/>
        </w:rPr>
        <w:t> </w:t>
      </w:r>
      <w:r>
        <w:rPr>
          <w:sz w:val="18"/>
        </w:rPr>
        <w:t>que</w:t>
      </w:r>
      <w:r>
        <w:rPr>
          <w:spacing w:val="-10"/>
          <w:sz w:val="18"/>
        </w:rPr>
        <w:t> </w:t>
      </w:r>
      <w:r>
        <w:rPr>
          <w:sz w:val="18"/>
        </w:rPr>
        <w:t>las</w:t>
      </w:r>
      <w:r>
        <w:rPr>
          <w:spacing w:val="-10"/>
          <w:sz w:val="18"/>
        </w:rPr>
        <w:t> </w:t>
      </w:r>
      <w:r>
        <w:rPr>
          <w:sz w:val="18"/>
        </w:rPr>
        <w:t>principales</w:t>
      </w:r>
      <w:r>
        <w:rPr>
          <w:spacing w:val="-10"/>
          <w:sz w:val="18"/>
        </w:rPr>
        <w:t> </w:t>
      </w:r>
      <w:r>
        <w:rPr>
          <w:sz w:val="18"/>
        </w:rPr>
        <w:t>decisiones</w:t>
      </w:r>
      <w:r>
        <w:rPr>
          <w:spacing w:val="-10"/>
          <w:sz w:val="18"/>
        </w:rPr>
        <w:t> </w:t>
      </w:r>
      <w:r>
        <w:rPr>
          <w:sz w:val="18"/>
        </w:rPr>
        <w:t>sobre</w:t>
      </w:r>
      <w:r>
        <w:rPr>
          <w:spacing w:val="-10"/>
          <w:sz w:val="18"/>
        </w:rPr>
        <w:t> </w:t>
      </w:r>
      <w:r>
        <w:rPr>
          <w:sz w:val="18"/>
        </w:rPr>
        <w:t>el</w:t>
      </w:r>
      <w:r>
        <w:rPr>
          <w:spacing w:val="-10"/>
          <w:sz w:val="18"/>
        </w:rPr>
        <w:t> </w:t>
      </w:r>
      <w:r>
        <w:rPr>
          <w:sz w:val="18"/>
        </w:rPr>
        <w:t>predial</w:t>
      </w:r>
      <w:r>
        <w:rPr>
          <w:spacing w:val="-10"/>
          <w:sz w:val="18"/>
        </w:rPr>
        <w:t> </w:t>
      </w:r>
      <w:r>
        <w:rPr>
          <w:sz w:val="18"/>
        </w:rPr>
        <w:t>y</w:t>
      </w:r>
      <w:r>
        <w:rPr>
          <w:spacing w:val="-10"/>
          <w:sz w:val="18"/>
        </w:rPr>
        <w:t> </w:t>
      </w:r>
      <w:r>
        <w:rPr>
          <w:sz w:val="18"/>
        </w:rPr>
        <w:t>el</w:t>
      </w:r>
      <w:r>
        <w:rPr>
          <w:spacing w:val="-10"/>
          <w:sz w:val="18"/>
        </w:rPr>
        <w:t> </w:t>
      </w:r>
      <w:r>
        <w:rPr>
          <w:sz w:val="18"/>
        </w:rPr>
        <w:t>catastro</w:t>
      </w:r>
      <w:r>
        <w:rPr>
          <w:spacing w:val="-11"/>
          <w:sz w:val="18"/>
        </w:rPr>
        <w:t> </w:t>
      </w:r>
      <w:r>
        <w:rPr>
          <w:sz w:val="18"/>
        </w:rPr>
        <w:t>están</w:t>
      </w:r>
      <w:r>
        <w:rPr>
          <w:spacing w:val="-10"/>
          <w:sz w:val="18"/>
        </w:rPr>
        <w:t> </w:t>
      </w:r>
      <w:r>
        <w:rPr>
          <w:sz w:val="18"/>
        </w:rPr>
        <w:t>sesgadas al </w:t>
      </w:r>
      <w:r>
        <w:rPr>
          <w:i/>
          <w:sz w:val="18"/>
        </w:rPr>
        <w:t>proteccionismo del votante </w:t>
      </w:r>
      <w:r>
        <w:rPr>
          <w:sz w:val="18"/>
        </w:rPr>
        <w:t>y en ese sentido las promueven los poderes estatales en lugar de dejárselas a los mismos ayuntamientos. El agua potable en muchos municipios no se paga pues el argumento es que constituye un recurso abundante en el estado, y en los municipios donde sí se</w:t>
      </w:r>
      <w:r>
        <w:rPr>
          <w:spacing w:val="-3"/>
          <w:sz w:val="18"/>
        </w:rPr>
        <w:t> </w:t>
      </w:r>
      <w:r>
        <w:rPr>
          <w:sz w:val="18"/>
        </w:rPr>
        <w:t>paga</w:t>
      </w:r>
      <w:r>
        <w:rPr>
          <w:spacing w:val="-3"/>
          <w:sz w:val="18"/>
        </w:rPr>
        <w:t> </w:t>
      </w:r>
      <w:r>
        <w:rPr>
          <w:sz w:val="18"/>
        </w:rPr>
        <w:t>enfrenta</w:t>
      </w:r>
      <w:r>
        <w:rPr>
          <w:spacing w:val="-3"/>
          <w:sz w:val="18"/>
        </w:rPr>
        <w:t> </w:t>
      </w:r>
      <w:r>
        <w:rPr>
          <w:sz w:val="18"/>
        </w:rPr>
        <w:t>carencias</w:t>
      </w:r>
      <w:r>
        <w:rPr>
          <w:spacing w:val="-3"/>
          <w:sz w:val="18"/>
        </w:rPr>
        <w:t> </w:t>
      </w:r>
      <w:r>
        <w:rPr>
          <w:sz w:val="18"/>
        </w:rPr>
        <w:t>similares</w:t>
      </w:r>
      <w:r>
        <w:rPr>
          <w:spacing w:val="-2"/>
          <w:sz w:val="18"/>
        </w:rPr>
        <w:t> </w:t>
      </w:r>
      <w:r>
        <w:rPr>
          <w:sz w:val="18"/>
        </w:rPr>
        <w:t>al</w:t>
      </w:r>
      <w:r>
        <w:rPr>
          <w:spacing w:val="-3"/>
          <w:sz w:val="18"/>
        </w:rPr>
        <w:t> </w:t>
      </w:r>
      <w:r>
        <w:rPr>
          <w:sz w:val="18"/>
        </w:rPr>
        <w:t>impuesto</w:t>
      </w:r>
      <w:r>
        <w:rPr>
          <w:spacing w:val="-3"/>
          <w:sz w:val="18"/>
        </w:rPr>
        <w:t> </w:t>
      </w:r>
      <w:r>
        <w:rPr>
          <w:sz w:val="18"/>
        </w:rPr>
        <w:t>predial.</w:t>
      </w:r>
      <w:r>
        <w:rPr>
          <w:spacing w:val="-13"/>
          <w:sz w:val="18"/>
        </w:rPr>
        <w:t> </w:t>
      </w:r>
      <w:r>
        <w:rPr>
          <w:sz w:val="18"/>
        </w:rPr>
        <w:t>A</w:t>
      </w:r>
      <w:r>
        <w:rPr>
          <w:spacing w:val="-13"/>
          <w:sz w:val="18"/>
        </w:rPr>
        <w:t> </w:t>
      </w:r>
      <w:r>
        <w:rPr>
          <w:sz w:val="18"/>
        </w:rPr>
        <w:t>su</w:t>
      </w:r>
      <w:r>
        <w:rPr>
          <w:spacing w:val="-3"/>
          <w:sz w:val="18"/>
        </w:rPr>
        <w:t> </w:t>
      </w:r>
      <w:r>
        <w:rPr>
          <w:sz w:val="18"/>
        </w:rPr>
        <w:t>vez,</w:t>
      </w:r>
      <w:r>
        <w:rPr>
          <w:spacing w:val="-3"/>
          <w:sz w:val="18"/>
        </w:rPr>
        <w:t> </w:t>
      </w:r>
      <w:r>
        <w:rPr>
          <w:sz w:val="18"/>
        </w:rPr>
        <w:t>los</w:t>
      </w:r>
      <w:r>
        <w:rPr>
          <w:spacing w:val="-3"/>
          <w:sz w:val="18"/>
        </w:rPr>
        <w:t> </w:t>
      </w:r>
      <w:r>
        <w:rPr>
          <w:sz w:val="18"/>
        </w:rPr>
        <w:t>derechos</w:t>
      </w:r>
      <w:r>
        <w:rPr>
          <w:spacing w:val="-3"/>
          <w:sz w:val="18"/>
        </w:rPr>
        <w:t> </w:t>
      </w:r>
      <w:r>
        <w:rPr>
          <w:sz w:val="18"/>
        </w:rPr>
        <w:t>y</w:t>
      </w:r>
      <w:r>
        <w:rPr>
          <w:spacing w:val="-3"/>
          <w:sz w:val="18"/>
        </w:rPr>
        <w:t> </w:t>
      </w:r>
      <w:r>
        <w:rPr>
          <w:sz w:val="18"/>
        </w:rPr>
        <w:t>los</w:t>
      </w:r>
      <w:r>
        <w:rPr>
          <w:spacing w:val="-3"/>
          <w:sz w:val="18"/>
        </w:rPr>
        <w:t> </w:t>
      </w:r>
      <w:r>
        <w:rPr>
          <w:sz w:val="18"/>
        </w:rPr>
        <w:t>productos, como servicios municipales derivados del derecho público y del privado respectivamente, tienen tarifas bajas y su pago es desalentado por la falta de simplificación administrativa, por  la corrupción y por el cacicazgo político. De ese modo, los municipios que sí cuentan con un fondo</w:t>
      </w:r>
      <w:r>
        <w:rPr>
          <w:spacing w:val="-6"/>
          <w:sz w:val="18"/>
        </w:rPr>
        <w:t> </w:t>
      </w:r>
      <w:r>
        <w:rPr>
          <w:sz w:val="18"/>
        </w:rPr>
        <w:t>de</w:t>
      </w:r>
      <w:r>
        <w:rPr>
          <w:spacing w:val="-6"/>
          <w:sz w:val="18"/>
        </w:rPr>
        <w:t> </w:t>
      </w:r>
      <w:r>
        <w:rPr>
          <w:sz w:val="18"/>
        </w:rPr>
        <w:t>recursos</w:t>
      </w:r>
      <w:r>
        <w:rPr>
          <w:spacing w:val="-6"/>
          <w:sz w:val="18"/>
        </w:rPr>
        <w:t> </w:t>
      </w:r>
      <w:r>
        <w:rPr>
          <w:sz w:val="18"/>
        </w:rPr>
        <w:t>propios</w:t>
      </w:r>
      <w:r>
        <w:rPr>
          <w:spacing w:val="-6"/>
          <w:sz w:val="18"/>
        </w:rPr>
        <w:t> </w:t>
      </w:r>
      <w:r>
        <w:rPr>
          <w:sz w:val="18"/>
        </w:rPr>
        <w:t>para</w:t>
      </w:r>
      <w:r>
        <w:rPr>
          <w:spacing w:val="-6"/>
          <w:sz w:val="18"/>
        </w:rPr>
        <w:t> </w:t>
      </w:r>
      <w:r>
        <w:rPr>
          <w:sz w:val="18"/>
        </w:rPr>
        <w:t>la</w:t>
      </w:r>
      <w:r>
        <w:rPr>
          <w:spacing w:val="-6"/>
          <w:sz w:val="18"/>
        </w:rPr>
        <w:t> </w:t>
      </w:r>
      <w:r>
        <w:rPr>
          <w:sz w:val="18"/>
        </w:rPr>
        <w:t>inversión</w:t>
      </w:r>
      <w:r>
        <w:rPr>
          <w:spacing w:val="-7"/>
          <w:sz w:val="18"/>
        </w:rPr>
        <w:t> </w:t>
      </w:r>
      <w:r>
        <w:rPr>
          <w:sz w:val="18"/>
        </w:rPr>
        <w:t>pública</w:t>
      </w:r>
      <w:r>
        <w:rPr>
          <w:spacing w:val="-6"/>
          <w:sz w:val="18"/>
        </w:rPr>
        <w:t> </w:t>
      </w:r>
      <w:r>
        <w:rPr>
          <w:sz w:val="18"/>
        </w:rPr>
        <w:t>son</w:t>
      </w:r>
      <w:r>
        <w:rPr>
          <w:spacing w:val="-6"/>
          <w:sz w:val="18"/>
        </w:rPr>
        <w:t> </w:t>
      </w:r>
      <w:r>
        <w:rPr>
          <w:sz w:val="18"/>
        </w:rPr>
        <w:t>simple</w:t>
      </w:r>
      <w:r>
        <w:rPr>
          <w:spacing w:val="-6"/>
          <w:sz w:val="18"/>
        </w:rPr>
        <w:t> </w:t>
      </w:r>
      <w:r>
        <w:rPr>
          <w:sz w:val="18"/>
        </w:rPr>
        <w:t>y</w:t>
      </w:r>
      <w:r>
        <w:rPr>
          <w:spacing w:val="-6"/>
          <w:sz w:val="18"/>
        </w:rPr>
        <w:t> </w:t>
      </w:r>
      <w:r>
        <w:rPr>
          <w:sz w:val="18"/>
        </w:rPr>
        <w:t>sencillamente</w:t>
      </w:r>
      <w:r>
        <w:rPr>
          <w:spacing w:val="-7"/>
          <w:sz w:val="18"/>
        </w:rPr>
        <w:t> </w:t>
      </w:r>
      <w:r>
        <w:rPr>
          <w:sz w:val="18"/>
        </w:rPr>
        <w:t>aquellos</w:t>
      </w:r>
      <w:r>
        <w:rPr>
          <w:spacing w:val="-7"/>
          <w:sz w:val="18"/>
        </w:rPr>
        <w:t> </w:t>
      </w:r>
      <w:r>
        <w:rPr>
          <w:sz w:val="18"/>
        </w:rPr>
        <w:t>que</w:t>
      </w:r>
      <w:r>
        <w:rPr>
          <w:spacing w:val="-6"/>
          <w:sz w:val="18"/>
        </w:rPr>
        <w:t> </w:t>
      </w:r>
      <w:r>
        <w:rPr>
          <w:sz w:val="18"/>
        </w:rPr>
        <w:t>han logrado</w:t>
      </w:r>
      <w:r>
        <w:rPr>
          <w:spacing w:val="-6"/>
          <w:sz w:val="18"/>
        </w:rPr>
        <w:t> </w:t>
      </w:r>
      <w:r>
        <w:rPr>
          <w:sz w:val="18"/>
        </w:rPr>
        <w:t>superar</w:t>
      </w:r>
      <w:r>
        <w:rPr>
          <w:spacing w:val="-5"/>
          <w:sz w:val="18"/>
        </w:rPr>
        <w:t> </w:t>
      </w:r>
      <w:r>
        <w:rPr>
          <w:sz w:val="18"/>
        </w:rPr>
        <w:t>las</w:t>
      </w:r>
      <w:r>
        <w:rPr>
          <w:spacing w:val="-6"/>
          <w:sz w:val="18"/>
        </w:rPr>
        <w:t> </w:t>
      </w:r>
      <w:r>
        <w:rPr>
          <w:sz w:val="18"/>
        </w:rPr>
        <w:t>carencias</w:t>
      </w:r>
      <w:r>
        <w:rPr>
          <w:spacing w:val="-6"/>
          <w:sz w:val="18"/>
        </w:rPr>
        <w:t> </w:t>
      </w:r>
      <w:r>
        <w:rPr>
          <w:sz w:val="18"/>
        </w:rPr>
        <w:t>estructurales</w:t>
      </w:r>
      <w:r>
        <w:rPr>
          <w:spacing w:val="-6"/>
          <w:sz w:val="18"/>
        </w:rPr>
        <w:t> </w:t>
      </w:r>
      <w:r>
        <w:rPr>
          <w:sz w:val="18"/>
        </w:rPr>
        <w:t>de</w:t>
      </w:r>
      <w:r>
        <w:rPr>
          <w:spacing w:val="-6"/>
          <w:sz w:val="18"/>
        </w:rPr>
        <w:t> </w:t>
      </w:r>
      <w:r>
        <w:rPr>
          <w:sz w:val="18"/>
        </w:rPr>
        <w:t>la</w:t>
      </w:r>
      <w:r>
        <w:rPr>
          <w:spacing w:val="-6"/>
          <w:sz w:val="18"/>
        </w:rPr>
        <w:t> </w:t>
      </w:r>
      <w:r>
        <w:rPr>
          <w:sz w:val="18"/>
        </w:rPr>
        <w:t>recaudación</w:t>
      </w:r>
      <w:r>
        <w:rPr>
          <w:spacing w:val="-6"/>
          <w:sz w:val="18"/>
        </w:rPr>
        <w:t> </w:t>
      </w:r>
      <w:r>
        <w:rPr>
          <w:sz w:val="18"/>
        </w:rPr>
        <w:t>local.</w:t>
      </w:r>
      <w:r>
        <w:rPr>
          <w:spacing w:val="-6"/>
          <w:sz w:val="18"/>
        </w:rPr>
        <w:t> </w:t>
      </w:r>
      <w:r>
        <w:rPr>
          <w:sz w:val="18"/>
        </w:rPr>
        <w:t>Información</w:t>
      </w:r>
      <w:r>
        <w:rPr>
          <w:spacing w:val="-6"/>
          <w:sz w:val="18"/>
        </w:rPr>
        <w:t> </w:t>
      </w:r>
      <w:r>
        <w:rPr>
          <w:sz w:val="18"/>
        </w:rPr>
        <w:t>interpretada</w:t>
      </w:r>
      <w:r>
        <w:rPr>
          <w:spacing w:val="-6"/>
          <w:sz w:val="18"/>
        </w:rPr>
        <w:t> </w:t>
      </w:r>
      <w:r>
        <w:rPr>
          <w:sz w:val="18"/>
        </w:rPr>
        <w:t>por el</w:t>
      </w:r>
      <w:r>
        <w:rPr>
          <w:spacing w:val="-6"/>
          <w:sz w:val="18"/>
        </w:rPr>
        <w:t> </w:t>
      </w:r>
      <w:r>
        <w:rPr>
          <w:sz w:val="18"/>
        </w:rPr>
        <w:t>autor</w:t>
      </w:r>
      <w:r>
        <w:rPr>
          <w:spacing w:val="-7"/>
          <w:sz w:val="18"/>
        </w:rPr>
        <w:t> </w:t>
      </w:r>
      <w:r>
        <w:rPr>
          <w:sz w:val="18"/>
        </w:rPr>
        <w:t>según</w:t>
      </w:r>
      <w:r>
        <w:rPr>
          <w:spacing w:val="-6"/>
          <w:sz w:val="18"/>
        </w:rPr>
        <w:t> </w:t>
      </w:r>
      <w:r>
        <w:rPr>
          <w:sz w:val="18"/>
        </w:rPr>
        <w:t>base</w:t>
      </w:r>
      <w:r>
        <w:rPr>
          <w:spacing w:val="-6"/>
          <w:sz w:val="18"/>
        </w:rPr>
        <w:t> </w:t>
      </w:r>
      <w:r>
        <w:rPr>
          <w:sz w:val="18"/>
        </w:rPr>
        <w:t>de</w:t>
      </w:r>
      <w:r>
        <w:rPr>
          <w:spacing w:val="-6"/>
          <w:sz w:val="18"/>
        </w:rPr>
        <w:t> </w:t>
      </w:r>
      <w:r>
        <w:rPr>
          <w:sz w:val="18"/>
        </w:rPr>
        <w:t>datos</w:t>
      </w:r>
      <w:r>
        <w:rPr>
          <w:spacing w:val="-6"/>
          <w:sz w:val="18"/>
        </w:rPr>
        <w:t> </w:t>
      </w:r>
      <w:r>
        <w:rPr>
          <w:sz w:val="18"/>
        </w:rPr>
        <w:t>proporcionada</w:t>
      </w:r>
      <w:r>
        <w:rPr>
          <w:spacing w:val="-6"/>
          <w:sz w:val="18"/>
        </w:rPr>
        <w:t> </w:t>
      </w:r>
      <w:r>
        <w:rPr>
          <w:sz w:val="18"/>
        </w:rPr>
        <w:t>por</w:t>
      </w:r>
      <w:r>
        <w:rPr>
          <w:spacing w:val="-6"/>
          <w:sz w:val="18"/>
        </w:rPr>
        <w:t> </w:t>
      </w:r>
      <w:r>
        <w:rPr>
          <w:sz w:val="18"/>
        </w:rPr>
        <w:t>la</w:t>
      </w:r>
      <w:r>
        <w:rPr>
          <w:spacing w:val="-6"/>
          <w:sz w:val="18"/>
        </w:rPr>
        <w:t> </w:t>
      </w:r>
      <w:r>
        <w:rPr>
          <w:sz w:val="18"/>
        </w:rPr>
        <w:t>unidad</w:t>
      </w:r>
      <w:r>
        <w:rPr>
          <w:spacing w:val="-6"/>
          <w:sz w:val="18"/>
        </w:rPr>
        <w:t> </w:t>
      </w:r>
      <w:r>
        <w:rPr>
          <w:sz w:val="18"/>
        </w:rPr>
        <w:t>de</w:t>
      </w:r>
      <w:r>
        <w:rPr>
          <w:spacing w:val="-6"/>
          <w:sz w:val="18"/>
        </w:rPr>
        <w:t> </w:t>
      </w:r>
      <w:r>
        <w:rPr>
          <w:sz w:val="18"/>
        </w:rPr>
        <w:t>información</w:t>
      </w:r>
      <w:r>
        <w:rPr>
          <w:spacing w:val="-7"/>
          <w:sz w:val="18"/>
        </w:rPr>
        <w:t> </w:t>
      </w:r>
      <w:r>
        <w:rPr>
          <w:sz w:val="18"/>
        </w:rPr>
        <w:t>pública</w:t>
      </w:r>
      <w:r>
        <w:rPr>
          <w:spacing w:val="-6"/>
          <w:sz w:val="18"/>
        </w:rPr>
        <w:t> </w:t>
      </w:r>
      <w:r>
        <w:rPr>
          <w:sz w:val="18"/>
        </w:rPr>
        <w:t>gubernamental del ayuntamiento de Huichapan, solicitud con el número de expediente 00028311 del sistema INFOMEX Hidalgo, 17 de marzo del año</w:t>
      </w:r>
      <w:r>
        <w:rPr>
          <w:spacing w:val="-7"/>
          <w:sz w:val="18"/>
        </w:rPr>
        <w:t> </w:t>
      </w:r>
      <w:r>
        <w:rPr>
          <w:sz w:val="18"/>
        </w:rPr>
        <w:t>2011.</w:t>
      </w:r>
    </w:p>
    <w:p>
      <w:pPr>
        <w:spacing w:after="0" w:line="266" w:lineRule="auto"/>
        <w:jc w:val="both"/>
        <w:rPr>
          <w:sz w:val="18"/>
        </w:rPr>
        <w:sectPr>
          <w:pgSz w:w="9360" w:h="13040"/>
          <w:pgMar w:header="527" w:footer="514" w:top="720" w:bottom="700" w:left="740" w:right="1300"/>
        </w:sectPr>
      </w:pPr>
    </w:p>
    <w:p>
      <w:pPr>
        <w:pStyle w:val="BodyText"/>
        <w:spacing w:before="11"/>
        <w:rPr>
          <w:sz w:val="29"/>
        </w:rPr>
      </w:pPr>
    </w:p>
    <w:p>
      <w:pPr>
        <w:pStyle w:val="BodyText"/>
        <w:spacing w:line="244" w:lineRule="auto" w:before="70"/>
        <w:ind w:left="117" w:right="107"/>
        <w:jc w:val="both"/>
      </w:pPr>
      <w:r>
        <w:rPr/>
        <w:t>porcentajes normativos (25% de participación municipal)</w:t>
      </w:r>
      <w:r>
        <w:rPr>
          <w:position w:val="8"/>
          <w:sz w:val="13"/>
        </w:rPr>
        <w:t>63</w:t>
      </w:r>
      <w:r>
        <w:rPr/>
        <w:t>. De este modo,   la inversión municipal directa alcanzó en 2009 la cantidad de $ 3,008,587.89 (tres millones ocho mil quinientos ochenta y siete pesos 89/100), mientras que</w:t>
      </w:r>
      <w:r>
        <w:rPr>
          <w:spacing w:val="23"/>
        </w:rPr>
        <w:t> </w:t>
      </w:r>
      <w:r>
        <w:rPr/>
        <w:t>las</w:t>
      </w:r>
      <w:r>
        <w:rPr>
          <w:spacing w:val="23"/>
        </w:rPr>
        <w:t> </w:t>
      </w:r>
      <w:r>
        <w:rPr/>
        <w:t>transferencias</w:t>
      </w:r>
      <w:r>
        <w:rPr>
          <w:spacing w:val="22"/>
        </w:rPr>
        <w:t> </w:t>
      </w:r>
      <w:r>
        <w:rPr/>
        <w:t>de</w:t>
      </w:r>
      <w:r>
        <w:rPr>
          <w:spacing w:val="23"/>
        </w:rPr>
        <w:t> </w:t>
      </w:r>
      <w:r>
        <w:rPr/>
        <w:t>otros</w:t>
      </w:r>
      <w:r>
        <w:rPr>
          <w:spacing w:val="23"/>
        </w:rPr>
        <w:t> </w:t>
      </w:r>
      <w:r>
        <w:rPr/>
        <w:t>niveles</w:t>
      </w:r>
      <w:r>
        <w:rPr>
          <w:spacing w:val="23"/>
        </w:rPr>
        <w:t> </w:t>
      </w:r>
      <w:r>
        <w:rPr/>
        <w:t>de</w:t>
      </w:r>
      <w:r>
        <w:rPr>
          <w:spacing w:val="23"/>
        </w:rPr>
        <w:t> </w:t>
      </w:r>
      <w:r>
        <w:rPr/>
        <w:t>gobierno</w:t>
      </w:r>
      <w:r>
        <w:rPr>
          <w:spacing w:val="23"/>
        </w:rPr>
        <w:t> </w:t>
      </w:r>
      <w:r>
        <w:rPr/>
        <w:t>fueron</w:t>
      </w:r>
      <w:r>
        <w:rPr>
          <w:spacing w:val="23"/>
        </w:rPr>
        <w:t> </w:t>
      </w:r>
      <w:r>
        <w:rPr/>
        <w:t>del</w:t>
      </w:r>
      <w:r>
        <w:rPr>
          <w:spacing w:val="23"/>
        </w:rPr>
        <w:t> </w:t>
      </w:r>
      <w:r>
        <w:rPr/>
        <w:t>orden</w:t>
      </w:r>
      <w:r>
        <w:rPr>
          <w:spacing w:val="23"/>
        </w:rPr>
        <w:t> </w:t>
      </w:r>
      <w:r>
        <w:rPr/>
        <w:t>de</w:t>
      </w:r>
      <w:r>
        <w:rPr>
          <w:spacing w:val="23"/>
        </w:rPr>
        <w:t> </w:t>
      </w:r>
      <w:r>
        <w:rPr/>
        <w:t>los</w:t>
      </w:r>
    </w:p>
    <w:p>
      <w:pPr>
        <w:pStyle w:val="BodyText"/>
        <w:spacing w:line="244" w:lineRule="auto"/>
        <w:ind w:left="117" w:right="107"/>
        <w:jc w:val="both"/>
      </w:pPr>
      <w:r>
        <w:rPr/>
        <w:t>$16,118,305.02 (diez y seis millones ciento dieciocho mil trescientos cinco pesos</w:t>
      </w:r>
      <w:r>
        <w:rPr>
          <w:spacing w:val="-13"/>
        </w:rPr>
        <w:t> </w:t>
      </w:r>
      <w:r>
        <w:rPr/>
        <w:t>02/100),</w:t>
      </w:r>
      <w:r>
        <w:rPr>
          <w:spacing w:val="-13"/>
        </w:rPr>
        <w:t> </w:t>
      </w:r>
      <w:r>
        <w:rPr/>
        <w:t>lo</w:t>
      </w:r>
      <w:r>
        <w:rPr>
          <w:spacing w:val="-13"/>
        </w:rPr>
        <w:t> </w:t>
      </w:r>
      <w:r>
        <w:rPr/>
        <w:t>que</w:t>
      </w:r>
      <w:r>
        <w:rPr>
          <w:spacing w:val="-13"/>
        </w:rPr>
        <w:t> </w:t>
      </w:r>
      <w:r>
        <w:rPr/>
        <w:t>representó</w:t>
      </w:r>
      <w:r>
        <w:rPr>
          <w:spacing w:val="-13"/>
        </w:rPr>
        <w:t> </w:t>
      </w:r>
      <w:r>
        <w:rPr/>
        <w:t>un</w:t>
      </w:r>
      <w:r>
        <w:rPr>
          <w:spacing w:val="-13"/>
        </w:rPr>
        <w:t> </w:t>
      </w:r>
      <w:r>
        <w:rPr/>
        <w:t>porcentaje</w:t>
      </w:r>
      <w:r>
        <w:rPr>
          <w:spacing w:val="-13"/>
        </w:rPr>
        <w:t> </w:t>
      </w:r>
      <w:r>
        <w:rPr/>
        <w:t>de</w:t>
      </w:r>
      <w:r>
        <w:rPr>
          <w:spacing w:val="-13"/>
        </w:rPr>
        <w:t> </w:t>
      </w:r>
      <w:r>
        <w:rPr/>
        <w:t>cofinanciamiento</w:t>
      </w:r>
      <w:r>
        <w:rPr>
          <w:spacing w:val="-13"/>
        </w:rPr>
        <w:t> </w:t>
      </w:r>
      <w:r>
        <w:rPr/>
        <w:t>municipal del 15.73%. Los servicios atendidos fueron calles, carreteras o caminos, electrificación, agua potable y saneamiento, y educación</w:t>
      </w:r>
      <w:r>
        <w:rPr>
          <w:position w:val="8"/>
          <w:sz w:val="13"/>
        </w:rPr>
        <w:t>64</w:t>
      </w:r>
      <w:r>
        <w:rPr/>
        <w:t>. A su vez, los servicios no atendidos fueron salud, seguridad pública, alumbrado público, transporte</w:t>
      </w:r>
      <w:r>
        <w:rPr>
          <w:spacing w:val="-6"/>
        </w:rPr>
        <w:t> </w:t>
      </w:r>
      <w:r>
        <w:rPr/>
        <w:t>público,</w:t>
      </w:r>
      <w:r>
        <w:rPr>
          <w:spacing w:val="-5"/>
        </w:rPr>
        <w:t> </w:t>
      </w:r>
      <w:r>
        <w:rPr/>
        <w:t>limpia</w:t>
      </w:r>
      <w:r>
        <w:rPr>
          <w:spacing w:val="-5"/>
        </w:rPr>
        <w:t> </w:t>
      </w:r>
      <w:r>
        <w:rPr/>
        <w:t>y</w:t>
      </w:r>
      <w:r>
        <w:rPr>
          <w:spacing w:val="-5"/>
        </w:rPr>
        <w:t> </w:t>
      </w:r>
      <w:r>
        <w:rPr/>
        <w:t>manejo</w:t>
      </w:r>
      <w:r>
        <w:rPr>
          <w:spacing w:val="-5"/>
        </w:rPr>
        <w:t> </w:t>
      </w:r>
      <w:r>
        <w:rPr/>
        <w:t>de</w:t>
      </w:r>
      <w:r>
        <w:rPr>
          <w:spacing w:val="-5"/>
        </w:rPr>
        <w:t> </w:t>
      </w:r>
      <w:r>
        <w:rPr/>
        <w:t>residuos</w:t>
      </w:r>
      <w:r>
        <w:rPr>
          <w:spacing w:val="-5"/>
        </w:rPr>
        <w:t> </w:t>
      </w:r>
      <w:r>
        <w:rPr/>
        <w:t>sólidos,</w:t>
      </w:r>
      <w:r>
        <w:rPr>
          <w:spacing w:val="-4"/>
        </w:rPr>
        <w:t> </w:t>
      </w:r>
      <w:r>
        <w:rPr/>
        <w:t>mercados,</w:t>
      </w:r>
      <w:r>
        <w:rPr>
          <w:spacing w:val="-5"/>
        </w:rPr>
        <w:t> </w:t>
      </w:r>
      <w:r>
        <w:rPr/>
        <w:t>panteones y</w:t>
      </w:r>
      <w:r>
        <w:rPr>
          <w:spacing w:val="4"/>
        </w:rPr>
        <w:t> </w:t>
      </w:r>
      <w:r>
        <w:rPr/>
        <w:t>rastros</w:t>
      </w:r>
      <w:r>
        <w:rPr>
          <w:position w:val="8"/>
          <w:sz w:val="13"/>
        </w:rPr>
        <w:t>65</w:t>
      </w:r>
      <w:r>
        <w:rPr/>
        <w:t>.</w:t>
      </w:r>
    </w:p>
    <w:p>
      <w:pPr>
        <w:pStyle w:val="BodyText"/>
        <w:spacing w:before="5"/>
      </w:pPr>
    </w:p>
    <w:p>
      <w:pPr>
        <w:pStyle w:val="BodyText"/>
        <w:spacing w:line="244" w:lineRule="auto" w:before="1"/>
        <w:ind w:left="117" w:right="107"/>
        <w:jc w:val="both"/>
      </w:pPr>
      <w:r>
        <w:rPr/>
        <w:pict>
          <v:line style="position:absolute;mso-position-horizontal-relative:page;mso-position-vertical-relative:paragraph;z-index:2296;mso-wrap-distance-left:0;mso-wrap-distance-right:0" from="70.866096pt,155.546936pt" to="142.866096pt,155.546936pt" stroked="true" strokeweight="1pt" strokecolor="#000000">
            <w10:wrap type="topAndBottom"/>
          </v:line>
        </w:pict>
      </w:r>
      <w:r>
        <w:rPr/>
        <w:t>En</w:t>
      </w:r>
      <w:r>
        <w:rPr>
          <w:spacing w:val="-10"/>
        </w:rPr>
        <w:t> </w:t>
      </w:r>
      <w:r>
        <w:rPr/>
        <w:t>el</w:t>
      </w:r>
      <w:r>
        <w:rPr>
          <w:spacing w:val="-10"/>
        </w:rPr>
        <w:t> </w:t>
      </w:r>
      <w:r>
        <w:rPr/>
        <w:t>caso</w:t>
      </w:r>
      <w:r>
        <w:rPr>
          <w:spacing w:val="-10"/>
        </w:rPr>
        <w:t> </w:t>
      </w:r>
      <w:r>
        <w:rPr/>
        <w:t>del</w:t>
      </w:r>
      <w:r>
        <w:rPr>
          <w:spacing w:val="-10"/>
        </w:rPr>
        <w:t> </w:t>
      </w:r>
      <w:r>
        <w:rPr/>
        <w:t>municipio</w:t>
      </w:r>
      <w:r>
        <w:rPr>
          <w:spacing w:val="-11"/>
        </w:rPr>
        <w:t> </w:t>
      </w:r>
      <w:r>
        <w:rPr/>
        <w:t>de</w:t>
      </w:r>
      <w:r>
        <w:rPr>
          <w:spacing w:val="-10"/>
        </w:rPr>
        <w:t> </w:t>
      </w:r>
      <w:r>
        <w:rPr/>
        <w:t>Pachuca</w:t>
      </w:r>
      <w:r>
        <w:rPr>
          <w:spacing w:val="-10"/>
        </w:rPr>
        <w:t> </w:t>
      </w:r>
      <w:r>
        <w:rPr/>
        <w:t>de</w:t>
      </w:r>
      <w:r>
        <w:rPr>
          <w:spacing w:val="-10"/>
        </w:rPr>
        <w:t> </w:t>
      </w:r>
      <w:r>
        <w:rPr/>
        <w:t>Soto,</w:t>
      </w:r>
      <w:r>
        <w:rPr>
          <w:spacing w:val="-10"/>
        </w:rPr>
        <w:t> </w:t>
      </w:r>
      <w:r>
        <w:rPr/>
        <w:t>el</w:t>
      </w:r>
      <w:r>
        <w:rPr>
          <w:spacing w:val="-10"/>
        </w:rPr>
        <w:t> </w:t>
      </w:r>
      <w:r>
        <w:rPr/>
        <w:t>ejercicio</w:t>
      </w:r>
      <w:r>
        <w:rPr>
          <w:spacing w:val="-11"/>
        </w:rPr>
        <w:t> </w:t>
      </w:r>
      <w:r>
        <w:rPr/>
        <w:t>2009</w:t>
      </w:r>
      <w:r>
        <w:rPr>
          <w:spacing w:val="-10"/>
        </w:rPr>
        <w:t> </w:t>
      </w:r>
      <w:r>
        <w:rPr/>
        <w:t>del</w:t>
      </w:r>
      <w:r>
        <w:rPr>
          <w:spacing w:val="-10"/>
        </w:rPr>
        <w:t> </w:t>
      </w:r>
      <w:r>
        <w:rPr/>
        <w:t>FISM</w:t>
      </w:r>
      <w:r>
        <w:rPr>
          <w:spacing w:val="-10"/>
        </w:rPr>
        <w:t> </w:t>
      </w:r>
      <w:r>
        <w:rPr/>
        <w:t>y</w:t>
      </w:r>
      <w:r>
        <w:rPr>
          <w:spacing w:val="-10"/>
        </w:rPr>
        <w:t> </w:t>
      </w:r>
      <w:r>
        <w:rPr/>
        <w:t>del REPO fueron similares al caso de Huichapan: el primero sin financiamiento complementario municipal</w:t>
      </w:r>
      <w:r>
        <w:rPr>
          <w:position w:val="8"/>
          <w:sz w:val="13"/>
        </w:rPr>
        <w:t>66 </w:t>
      </w:r>
      <w:r>
        <w:rPr/>
        <w:t>y el segundo como una forma indirecta de cofinanciamiento al gasto total de los servicios públicos</w:t>
      </w:r>
      <w:r>
        <w:rPr>
          <w:position w:val="8"/>
          <w:sz w:val="13"/>
        </w:rPr>
        <w:t>67</w:t>
      </w:r>
      <w:r>
        <w:rPr/>
        <w:t>. El resto de los programas fueron el de rescate de espacios públicos (PREP) y el </w:t>
      </w:r>
      <w:r>
        <w:rPr>
          <w:spacing w:val="-9"/>
        </w:rPr>
        <w:t>HÁBITAT, </w:t>
      </w:r>
      <w:r>
        <w:rPr/>
        <w:t>también</w:t>
      </w:r>
      <w:r>
        <w:rPr>
          <w:spacing w:val="-13"/>
        </w:rPr>
        <w:t> </w:t>
      </w:r>
      <w:r>
        <w:rPr/>
        <w:t>en</w:t>
      </w:r>
      <w:r>
        <w:rPr>
          <w:spacing w:val="-13"/>
        </w:rPr>
        <w:t> </w:t>
      </w:r>
      <w:r>
        <w:rPr/>
        <w:t>términos</w:t>
      </w:r>
      <w:r>
        <w:rPr>
          <w:spacing w:val="-13"/>
        </w:rPr>
        <w:t> </w:t>
      </w:r>
      <w:r>
        <w:rPr/>
        <w:t>de</w:t>
      </w:r>
      <w:r>
        <w:rPr>
          <w:spacing w:val="-13"/>
        </w:rPr>
        <w:t> </w:t>
      </w:r>
      <w:r>
        <w:rPr/>
        <w:t>sus</w:t>
      </w:r>
      <w:r>
        <w:rPr>
          <w:spacing w:val="-13"/>
        </w:rPr>
        <w:t> </w:t>
      </w:r>
      <w:r>
        <w:rPr/>
        <w:t>respectivos</w:t>
      </w:r>
      <w:r>
        <w:rPr>
          <w:spacing w:val="-13"/>
        </w:rPr>
        <w:t> </w:t>
      </w:r>
      <w:r>
        <w:rPr/>
        <w:t>porcentajes</w:t>
      </w:r>
      <w:r>
        <w:rPr>
          <w:spacing w:val="-13"/>
        </w:rPr>
        <w:t> </w:t>
      </w:r>
      <w:r>
        <w:rPr/>
        <w:t>normativos</w:t>
      </w:r>
      <w:r>
        <w:rPr>
          <w:position w:val="8"/>
          <w:sz w:val="13"/>
        </w:rPr>
        <w:t>68</w:t>
      </w:r>
      <w:r>
        <w:rPr/>
        <w:t>.</w:t>
      </w:r>
      <w:r>
        <w:rPr>
          <w:spacing w:val="-13"/>
        </w:rPr>
        <w:t> </w:t>
      </w:r>
      <w:r>
        <w:rPr/>
        <w:t>La</w:t>
      </w:r>
      <w:r>
        <w:rPr>
          <w:spacing w:val="-13"/>
        </w:rPr>
        <w:t> </w:t>
      </w:r>
      <w:r>
        <w:rPr/>
        <w:t>inversión municipal</w:t>
      </w:r>
      <w:r>
        <w:rPr>
          <w:spacing w:val="-11"/>
        </w:rPr>
        <w:t> </w:t>
      </w:r>
      <w:r>
        <w:rPr/>
        <w:t>directa</w:t>
      </w:r>
      <w:r>
        <w:rPr>
          <w:spacing w:val="-11"/>
        </w:rPr>
        <w:t> </w:t>
      </w:r>
      <w:r>
        <w:rPr/>
        <w:t>fue</w:t>
      </w:r>
      <w:r>
        <w:rPr>
          <w:spacing w:val="-11"/>
        </w:rPr>
        <w:t> </w:t>
      </w:r>
      <w:r>
        <w:rPr/>
        <w:t>de</w:t>
      </w:r>
      <w:r>
        <w:rPr>
          <w:spacing w:val="-11"/>
        </w:rPr>
        <w:t> </w:t>
      </w:r>
      <w:r>
        <w:rPr/>
        <w:t>$12,244,690.99</w:t>
      </w:r>
      <w:r>
        <w:rPr>
          <w:spacing w:val="-11"/>
        </w:rPr>
        <w:t> </w:t>
      </w:r>
      <w:r>
        <w:rPr/>
        <w:t>(doce</w:t>
      </w:r>
      <w:r>
        <w:rPr>
          <w:spacing w:val="-11"/>
        </w:rPr>
        <w:t> </w:t>
      </w:r>
      <w:r>
        <w:rPr/>
        <w:t>millones</w:t>
      </w:r>
      <w:r>
        <w:rPr>
          <w:spacing w:val="-11"/>
        </w:rPr>
        <w:t> </w:t>
      </w:r>
      <w:r>
        <w:rPr/>
        <w:t>doscientos</w:t>
      </w:r>
      <w:r>
        <w:rPr>
          <w:spacing w:val="-11"/>
        </w:rPr>
        <w:t> </w:t>
      </w:r>
      <w:r>
        <w:rPr/>
        <w:t>cuarenta</w:t>
      </w:r>
      <w:r>
        <w:rPr>
          <w:spacing w:val="-11"/>
        </w:rPr>
        <w:t> </w:t>
      </w:r>
      <w:r>
        <w:rPr/>
        <w:t>y cuatro mil seiscientos noventa pesos 99/100), mientras que las transferencias de otros niveles de gobierno alcanzaron los $50,653,683.57 (cincuenta millones seiscientos cincuenta y tres mil seiscientos ochenta y tres pesos 57/100),</w:t>
      </w:r>
      <w:r>
        <w:rPr>
          <w:spacing w:val="-14"/>
        </w:rPr>
        <w:t> </w:t>
      </w:r>
      <w:r>
        <w:rPr/>
        <w:t>lo</w:t>
      </w:r>
      <w:r>
        <w:rPr>
          <w:spacing w:val="-14"/>
        </w:rPr>
        <w:t> </w:t>
      </w:r>
      <w:r>
        <w:rPr/>
        <w:t>cual</w:t>
      </w:r>
      <w:r>
        <w:rPr>
          <w:spacing w:val="-14"/>
        </w:rPr>
        <w:t> </w:t>
      </w:r>
      <w:r>
        <w:rPr/>
        <w:t>se</w:t>
      </w:r>
      <w:r>
        <w:rPr>
          <w:spacing w:val="-14"/>
        </w:rPr>
        <w:t> </w:t>
      </w:r>
      <w:r>
        <w:rPr/>
        <w:t>tradujo</w:t>
      </w:r>
      <w:r>
        <w:rPr>
          <w:spacing w:val="-14"/>
        </w:rPr>
        <w:t> </w:t>
      </w:r>
      <w:r>
        <w:rPr/>
        <w:t>en</w:t>
      </w:r>
      <w:r>
        <w:rPr>
          <w:spacing w:val="-14"/>
        </w:rPr>
        <w:t> </w:t>
      </w:r>
      <w:r>
        <w:rPr/>
        <w:t>un</w:t>
      </w:r>
      <w:r>
        <w:rPr>
          <w:spacing w:val="-14"/>
        </w:rPr>
        <w:t> </w:t>
      </w:r>
      <w:r>
        <w:rPr/>
        <w:t>porcentaje</w:t>
      </w:r>
      <w:r>
        <w:rPr>
          <w:spacing w:val="-15"/>
        </w:rPr>
        <w:t> </w:t>
      </w:r>
      <w:r>
        <w:rPr/>
        <w:t>de</w:t>
      </w:r>
      <w:r>
        <w:rPr>
          <w:spacing w:val="-14"/>
        </w:rPr>
        <w:t> </w:t>
      </w:r>
      <w:r>
        <w:rPr/>
        <w:t>cofinanciamiento</w:t>
      </w:r>
      <w:r>
        <w:rPr>
          <w:spacing w:val="-14"/>
        </w:rPr>
        <w:t> </w:t>
      </w:r>
      <w:r>
        <w:rPr/>
        <w:t>municipal</w:t>
      </w:r>
      <w:r>
        <w:rPr>
          <w:spacing w:val="-15"/>
        </w:rPr>
        <w:t> </w:t>
      </w:r>
      <w:r>
        <w:rPr/>
        <w:t>del</w:t>
      </w:r>
    </w:p>
    <w:p>
      <w:pPr>
        <w:spacing w:line="266" w:lineRule="auto" w:before="18"/>
        <w:ind w:left="344" w:right="107" w:hanging="227"/>
        <w:jc w:val="both"/>
        <w:rPr>
          <w:sz w:val="18"/>
        </w:rPr>
      </w:pPr>
      <w:r>
        <w:rPr>
          <w:position w:val="7"/>
          <w:sz w:val="11"/>
        </w:rPr>
        <w:t>63 </w:t>
      </w:r>
      <w:r>
        <w:rPr>
          <w:sz w:val="18"/>
        </w:rPr>
        <w:t>Información interpretada por el autor según base de datos indicada por la unidad de información pública gubernamental del poder ejecutivo del Estado de Hidalgo, solicitud con el número de expediente 00167010 del sistema INFOMEX Hidalgo, 14 de febrero del año 2011.</w:t>
      </w:r>
    </w:p>
    <w:p>
      <w:pPr>
        <w:spacing w:line="266" w:lineRule="auto" w:before="0"/>
        <w:ind w:left="344" w:right="108" w:hanging="227"/>
        <w:jc w:val="both"/>
        <w:rPr>
          <w:sz w:val="18"/>
        </w:rPr>
      </w:pPr>
      <w:r>
        <w:rPr>
          <w:position w:val="7"/>
          <w:sz w:val="11"/>
        </w:rPr>
        <w:t>64 </w:t>
      </w:r>
      <w:r>
        <w:rPr>
          <w:sz w:val="18"/>
        </w:rPr>
        <w:t>Información interpretada por el autor según base de datos proporcionada por la unidad de información pública gubernamental del ayuntamiento de Huichapan, solicitudes con números de expediente 00183410 y 00028311 del sistema INFOMEX Hidalgo, 27 de octubre del 2010</w:t>
      </w:r>
      <w:r>
        <w:rPr>
          <w:spacing w:val="-21"/>
          <w:sz w:val="18"/>
        </w:rPr>
        <w:t> </w:t>
      </w:r>
      <w:r>
        <w:rPr>
          <w:sz w:val="18"/>
        </w:rPr>
        <w:t>y 17 de marzo del 2011</w:t>
      </w:r>
      <w:r>
        <w:rPr>
          <w:spacing w:val="-8"/>
          <w:sz w:val="18"/>
        </w:rPr>
        <w:t> </w:t>
      </w:r>
      <w:r>
        <w:rPr>
          <w:sz w:val="18"/>
        </w:rPr>
        <w:t>respectivamente.</w:t>
      </w:r>
    </w:p>
    <w:p>
      <w:pPr>
        <w:spacing w:line="208" w:lineRule="exact" w:before="0"/>
        <w:ind w:left="117" w:right="0" w:firstLine="0"/>
        <w:jc w:val="left"/>
        <w:rPr>
          <w:i/>
          <w:sz w:val="18"/>
        </w:rPr>
      </w:pPr>
      <w:r>
        <w:rPr>
          <w:w w:val="105"/>
          <w:position w:val="7"/>
          <w:sz w:val="11"/>
        </w:rPr>
        <w:t>65  </w:t>
      </w:r>
      <w:r>
        <w:rPr>
          <w:i/>
          <w:w w:val="105"/>
          <w:sz w:val="18"/>
        </w:rPr>
        <w:t>Ibídem.</w:t>
      </w:r>
    </w:p>
    <w:p>
      <w:pPr>
        <w:spacing w:line="266" w:lineRule="auto" w:before="18"/>
        <w:ind w:left="344" w:right="108" w:hanging="227"/>
        <w:jc w:val="both"/>
        <w:rPr>
          <w:sz w:val="18"/>
        </w:rPr>
      </w:pPr>
      <w:r>
        <w:rPr>
          <w:position w:val="7"/>
          <w:sz w:val="11"/>
        </w:rPr>
        <w:t>66 </w:t>
      </w:r>
      <w:r>
        <w:rPr>
          <w:sz w:val="18"/>
        </w:rPr>
        <w:t>Información interpretada por el autor según base de datos proporcionada por la unidad de información pública gubernamental del ayuntamiento de Pachuca de Soto, solicitud con el número</w:t>
      </w:r>
      <w:r>
        <w:rPr>
          <w:spacing w:val="-7"/>
          <w:sz w:val="18"/>
        </w:rPr>
        <w:t> </w:t>
      </w:r>
      <w:r>
        <w:rPr>
          <w:sz w:val="18"/>
        </w:rPr>
        <w:t>de</w:t>
      </w:r>
      <w:r>
        <w:rPr>
          <w:spacing w:val="-6"/>
          <w:sz w:val="18"/>
        </w:rPr>
        <w:t> </w:t>
      </w:r>
      <w:r>
        <w:rPr>
          <w:sz w:val="18"/>
        </w:rPr>
        <w:t>expediente</w:t>
      </w:r>
      <w:r>
        <w:rPr>
          <w:spacing w:val="-7"/>
          <w:sz w:val="18"/>
        </w:rPr>
        <w:t> </w:t>
      </w:r>
      <w:r>
        <w:rPr>
          <w:sz w:val="18"/>
        </w:rPr>
        <w:t>00183610</w:t>
      </w:r>
      <w:r>
        <w:rPr>
          <w:spacing w:val="-6"/>
          <w:sz w:val="18"/>
        </w:rPr>
        <w:t> </w:t>
      </w:r>
      <w:r>
        <w:rPr>
          <w:sz w:val="18"/>
        </w:rPr>
        <w:t>del</w:t>
      </w:r>
      <w:r>
        <w:rPr>
          <w:spacing w:val="-6"/>
          <w:sz w:val="18"/>
        </w:rPr>
        <w:t> </w:t>
      </w:r>
      <w:r>
        <w:rPr>
          <w:sz w:val="18"/>
        </w:rPr>
        <w:t>sistema</w:t>
      </w:r>
      <w:r>
        <w:rPr>
          <w:spacing w:val="-7"/>
          <w:sz w:val="18"/>
        </w:rPr>
        <w:t> </w:t>
      </w:r>
      <w:r>
        <w:rPr>
          <w:sz w:val="18"/>
        </w:rPr>
        <w:t>INFOMEX</w:t>
      </w:r>
      <w:r>
        <w:rPr>
          <w:spacing w:val="-6"/>
          <w:sz w:val="18"/>
        </w:rPr>
        <w:t> </w:t>
      </w:r>
      <w:r>
        <w:rPr>
          <w:sz w:val="18"/>
        </w:rPr>
        <w:t>Hidalgo,</w:t>
      </w:r>
      <w:r>
        <w:rPr>
          <w:spacing w:val="-7"/>
          <w:sz w:val="18"/>
        </w:rPr>
        <w:t> </w:t>
      </w:r>
      <w:r>
        <w:rPr>
          <w:sz w:val="18"/>
        </w:rPr>
        <w:t>7</w:t>
      </w:r>
      <w:r>
        <w:rPr>
          <w:spacing w:val="-6"/>
          <w:sz w:val="18"/>
        </w:rPr>
        <w:t> </w:t>
      </w:r>
      <w:r>
        <w:rPr>
          <w:sz w:val="18"/>
        </w:rPr>
        <w:t>de</w:t>
      </w:r>
      <w:r>
        <w:rPr>
          <w:spacing w:val="-6"/>
          <w:sz w:val="18"/>
        </w:rPr>
        <w:t> </w:t>
      </w:r>
      <w:r>
        <w:rPr>
          <w:sz w:val="18"/>
        </w:rPr>
        <w:t>noviembre</w:t>
      </w:r>
      <w:r>
        <w:rPr>
          <w:spacing w:val="-7"/>
          <w:sz w:val="18"/>
        </w:rPr>
        <w:t> </w:t>
      </w:r>
      <w:r>
        <w:rPr>
          <w:sz w:val="18"/>
        </w:rPr>
        <w:t>del</w:t>
      </w:r>
      <w:r>
        <w:rPr>
          <w:spacing w:val="-7"/>
          <w:sz w:val="18"/>
        </w:rPr>
        <w:t> </w:t>
      </w:r>
      <w:r>
        <w:rPr>
          <w:sz w:val="18"/>
        </w:rPr>
        <w:t>año</w:t>
      </w:r>
      <w:r>
        <w:rPr>
          <w:spacing w:val="-6"/>
          <w:sz w:val="18"/>
        </w:rPr>
        <w:t> </w:t>
      </w:r>
      <w:r>
        <w:rPr>
          <w:sz w:val="18"/>
        </w:rPr>
        <w:t>2010.</w:t>
      </w:r>
    </w:p>
    <w:p>
      <w:pPr>
        <w:spacing w:line="266" w:lineRule="auto" w:before="0"/>
        <w:ind w:left="344" w:right="108" w:hanging="227"/>
        <w:jc w:val="both"/>
        <w:rPr>
          <w:sz w:val="18"/>
        </w:rPr>
      </w:pPr>
      <w:r>
        <w:rPr>
          <w:position w:val="7"/>
          <w:sz w:val="11"/>
        </w:rPr>
        <w:t>67 </w:t>
      </w:r>
      <w:r>
        <w:rPr>
          <w:sz w:val="18"/>
        </w:rPr>
        <w:t>Información interpretada por el autor según base de datos proporcionada por la unidad de información pública gubernamental del ayuntamiento de Pachuca de Soto, solicitud con el número de expediente 00022211 del sistema INFOMEX Hidalgo, 7 de marzo del año 2011.</w:t>
      </w:r>
    </w:p>
    <w:p>
      <w:pPr>
        <w:spacing w:line="266" w:lineRule="auto" w:before="0"/>
        <w:ind w:left="344" w:right="107" w:hanging="227"/>
        <w:jc w:val="both"/>
        <w:rPr>
          <w:sz w:val="18"/>
        </w:rPr>
      </w:pPr>
      <w:r>
        <w:rPr>
          <w:position w:val="7"/>
          <w:sz w:val="11"/>
        </w:rPr>
        <w:t>68 </w:t>
      </w:r>
      <w:r>
        <w:rPr>
          <w:sz w:val="18"/>
        </w:rPr>
        <w:t>Información interpretada por el autor según base de datos indicada por la unidad de información pública gubernamental del poder ejecutivo del Estado de Hidalgo, solicitud con el número de expediente 00167010 del sistema INFOMEX Hidalgo, 14 de febrero del año 2011.</w:t>
      </w:r>
    </w:p>
    <w:p>
      <w:pPr>
        <w:spacing w:after="0" w:line="266"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pStyle w:val="ListParagraph"/>
        <w:numPr>
          <w:ilvl w:val="1"/>
          <w:numId w:val="6"/>
        </w:numPr>
        <w:tabs>
          <w:tab w:pos="629" w:val="left" w:leader="none"/>
        </w:tabs>
        <w:spacing w:line="244" w:lineRule="auto" w:before="70" w:after="0"/>
        <w:ind w:left="110" w:right="114" w:firstLine="0"/>
        <w:jc w:val="both"/>
        <w:rPr>
          <w:sz w:val="23"/>
        </w:rPr>
      </w:pPr>
      <w:r>
        <w:rPr>
          <w:sz w:val="23"/>
        </w:rPr>
        <w:t>%. Los servicios atendidos fueron agua potable y saneamiento, calles, educación, electrificación y parques</w:t>
      </w:r>
      <w:r>
        <w:rPr>
          <w:position w:val="8"/>
          <w:sz w:val="13"/>
        </w:rPr>
        <w:t>69</w:t>
      </w:r>
      <w:r>
        <w:rPr>
          <w:sz w:val="23"/>
        </w:rPr>
        <w:t>; mientras que los servicios sin atender fueron carreteras o caminos, salud, seguridad pública, alumbrado público, transporte</w:t>
      </w:r>
      <w:r>
        <w:rPr>
          <w:spacing w:val="-6"/>
          <w:sz w:val="23"/>
        </w:rPr>
        <w:t> </w:t>
      </w:r>
      <w:r>
        <w:rPr>
          <w:sz w:val="23"/>
        </w:rPr>
        <w:t>público,</w:t>
      </w:r>
      <w:r>
        <w:rPr>
          <w:spacing w:val="-5"/>
          <w:sz w:val="23"/>
        </w:rPr>
        <w:t> </w:t>
      </w:r>
      <w:r>
        <w:rPr>
          <w:sz w:val="23"/>
        </w:rPr>
        <w:t>limpia</w:t>
      </w:r>
      <w:r>
        <w:rPr>
          <w:spacing w:val="-5"/>
          <w:sz w:val="23"/>
        </w:rPr>
        <w:t> </w:t>
      </w:r>
      <w:r>
        <w:rPr>
          <w:sz w:val="23"/>
        </w:rPr>
        <w:t>y</w:t>
      </w:r>
      <w:r>
        <w:rPr>
          <w:spacing w:val="-5"/>
          <w:sz w:val="23"/>
        </w:rPr>
        <w:t> </w:t>
      </w:r>
      <w:r>
        <w:rPr>
          <w:sz w:val="23"/>
        </w:rPr>
        <w:t>manejo</w:t>
      </w:r>
      <w:r>
        <w:rPr>
          <w:spacing w:val="-5"/>
          <w:sz w:val="23"/>
        </w:rPr>
        <w:t> </w:t>
      </w:r>
      <w:r>
        <w:rPr>
          <w:sz w:val="23"/>
        </w:rPr>
        <w:t>de</w:t>
      </w:r>
      <w:r>
        <w:rPr>
          <w:spacing w:val="-5"/>
          <w:sz w:val="23"/>
        </w:rPr>
        <w:t> </w:t>
      </w:r>
      <w:r>
        <w:rPr>
          <w:sz w:val="23"/>
        </w:rPr>
        <w:t>residuos</w:t>
      </w:r>
      <w:r>
        <w:rPr>
          <w:spacing w:val="-5"/>
          <w:sz w:val="23"/>
        </w:rPr>
        <w:t> </w:t>
      </w:r>
      <w:r>
        <w:rPr>
          <w:sz w:val="23"/>
        </w:rPr>
        <w:t>sólidos,</w:t>
      </w:r>
      <w:r>
        <w:rPr>
          <w:spacing w:val="-4"/>
          <w:sz w:val="23"/>
        </w:rPr>
        <w:t> </w:t>
      </w:r>
      <w:r>
        <w:rPr>
          <w:sz w:val="23"/>
        </w:rPr>
        <w:t>mercados,</w:t>
      </w:r>
      <w:r>
        <w:rPr>
          <w:spacing w:val="-5"/>
          <w:sz w:val="23"/>
        </w:rPr>
        <w:t> </w:t>
      </w:r>
      <w:r>
        <w:rPr>
          <w:sz w:val="23"/>
        </w:rPr>
        <w:t>panteones y</w:t>
      </w:r>
      <w:r>
        <w:rPr>
          <w:spacing w:val="4"/>
          <w:sz w:val="23"/>
        </w:rPr>
        <w:t> </w:t>
      </w:r>
      <w:r>
        <w:rPr>
          <w:sz w:val="23"/>
        </w:rPr>
        <w:t>rastros</w:t>
      </w:r>
      <w:r>
        <w:rPr>
          <w:position w:val="8"/>
          <w:sz w:val="13"/>
        </w:rPr>
        <w:t>70</w:t>
      </w:r>
      <w:r>
        <w:rPr>
          <w:sz w:val="23"/>
        </w:rPr>
        <w:t>.</w:t>
      </w:r>
    </w:p>
    <w:p>
      <w:pPr>
        <w:pStyle w:val="BodyText"/>
        <w:spacing w:before="5"/>
      </w:pPr>
    </w:p>
    <w:p>
      <w:pPr>
        <w:pStyle w:val="BodyText"/>
        <w:spacing w:line="244" w:lineRule="auto" w:before="1"/>
        <w:ind w:left="110" w:right="115"/>
        <w:jc w:val="both"/>
      </w:pPr>
      <w:r>
        <w:rPr/>
        <w:t>Sobre los casos municipales, resulta claro que los porcentajes de cofinan- ciamiento municipal son mayores que el porcentaje de cofinanciamiento estatal durante el mismo año 2009, lo que representa un esfuerzo mayor de las instancias municipales por complementar con recursos propios su gasto en servicios públicos, aunque las limitantes en cuanto al número de servicios atendidos también resultan evidentes.</w:t>
      </w:r>
    </w:p>
    <w:p>
      <w:pPr>
        <w:pStyle w:val="BodyText"/>
        <w:spacing w:before="6"/>
      </w:pPr>
    </w:p>
    <w:p>
      <w:pPr>
        <w:pStyle w:val="BodyText"/>
        <w:spacing w:line="244" w:lineRule="auto"/>
        <w:ind w:left="110" w:right="114"/>
        <w:jc w:val="both"/>
      </w:pPr>
      <w:r>
        <w:rPr/>
        <w:t>El factor determinante se refiere a que, además de cubrir los porcentajes normativos de los programas federales descentralizados, los municipios han constituido</w:t>
      </w:r>
      <w:r>
        <w:rPr>
          <w:spacing w:val="-17"/>
        </w:rPr>
        <w:t> </w:t>
      </w:r>
      <w:r>
        <w:rPr/>
        <w:t>fondos</w:t>
      </w:r>
      <w:r>
        <w:rPr>
          <w:spacing w:val="-16"/>
        </w:rPr>
        <w:t> </w:t>
      </w:r>
      <w:r>
        <w:rPr/>
        <w:t>de</w:t>
      </w:r>
      <w:r>
        <w:rPr>
          <w:spacing w:val="-17"/>
        </w:rPr>
        <w:t> </w:t>
      </w:r>
      <w:r>
        <w:rPr/>
        <w:t>recursos</w:t>
      </w:r>
      <w:r>
        <w:rPr>
          <w:spacing w:val="-16"/>
        </w:rPr>
        <w:t> </w:t>
      </w:r>
      <w:r>
        <w:rPr/>
        <w:t>propios</w:t>
      </w:r>
      <w:r>
        <w:rPr>
          <w:spacing w:val="-16"/>
        </w:rPr>
        <w:t> </w:t>
      </w:r>
      <w:r>
        <w:rPr/>
        <w:t>que</w:t>
      </w:r>
      <w:r>
        <w:rPr>
          <w:spacing w:val="-17"/>
        </w:rPr>
        <w:t> </w:t>
      </w:r>
      <w:r>
        <w:rPr/>
        <w:t>aplican</w:t>
      </w:r>
      <w:r>
        <w:rPr>
          <w:spacing w:val="-17"/>
        </w:rPr>
        <w:t> </w:t>
      </w:r>
      <w:r>
        <w:rPr/>
        <w:t>en</w:t>
      </w:r>
      <w:r>
        <w:rPr>
          <w:spacing w:val="-17"/>
        </w:rPr>
        <w:t> </w:t>
      </w:r>
      <w:r>
        <w:rPr/>
        <w:t>función</w:t>
      </w:r>
      <w:r>
        <w:rPr>
          <w:spacing w:val="-16"/>
        </w:rPr>
        <w:t> </w:t>
      </w:r>
      <w:r>
        <w:rPr/>
        <w:t>de</w:t>
      </w:r>
      <w:r>
        <w:rPr>
          <w:spacing w:val="-17"/>
        </w:rPr>
        <w:t> </w:t>
      </w:r>
      <w:r>
        <w:rPr/>
        <w:t>las</w:t>
      </w:r>
      <w:r>
        <w:rPr>
          <w:spacing w:val="-17"/>
        </w:rPr>
        <w:t> </w:t>
      </w:r>
      <w:r>
        <w:rPr/>
        <w:t>demandas y del grado de colaboración ciudadana, asunto que nos habrá de ocupar en el capítulo VII, siendo esto una virtud que lamentablemente no aplica a todos los municipios del estado ni al gobierno estatal. A manera de ejemplo, entre los municipios de mayor gasto que no dieron acceso a sus resultados de egreso, Tula de Allende cuenta con un Fondo de Recursos Propios (REPO) y Tulancingo de Bravo carece de</w:t>
      </w:r>
      <w:r>
        <w:rPr>
          <w:spacing w:val="-9"/>
        </w:rPr>
        <w:t> </w:t>
      </w:r>
      <w:r>
        <w:rPr/>
        <w:t>él.</w:t>
      </w:r>
    </w:p>
    <w:p>
      <w:pPr>
        <w:pStyle w:val="BodyText"/>
        <w:spacing w:before="6"/>
      </w:pPr>
    </w:p>
    <w:p>
      <w:pPr>
        <w:pStyle w:val="Heading3"/>
        <w:ind w:left="110"/>
      </w:pPr>
      <w:bookmarkStart w:name="_TOC_250024" w:id="19"/>
      <w:bookmarkEnd w:id="19"/>
      <w:r>
        <w:rPr/>
        <w:t>Conclusiones del Capítulo III.</w:t>
      </w:r>
    </w:p>
    <w:p>
      <w:pPr>
        <w:pStyle w:val="BodyText"/>
        <w:spacing w:before="11"/>
        <w:rPr>
          <w:b/>
        </w:rPr>
      </w:pPr>
    </w:p>
    <w:p>
      <w:pPr>
        <w:pStyle w:val="BodyText"/>
        <w:spacing w:line="244" w:lineRule="auto"/>
        <w:ind w:left="110" w:right="114"/>
        <w:jc w:val="both"/>
      </w:pPr>
      <w:r>
        <w:rPr/>
        <w:pict>
          <v:line style="position:absolute;mso-position-horizontal-relative:page;mso-position-vertical-relative:paragraph;z-index:2320;mso-wrap-distance-left:0;mso-wrap-distance-right:0" from="42.519699pt,114.825928pt" to="114.519699pt,114.825928pt" stroked="true" strokeweight="1pt" strokecolor="#000000">
            <w10:wrap type="topAndBottom"/>
          </v:line>
        </w:pict>
      </w:r>
      <w:r>
        <w:rPr/>
        <w:t>Según la escala de evaluación del gasto intergubernamental en servicios públicos, con una evaluación de 1.50 el gobierno del Estado de Hidalgo       se coloca por debajo de la media lograda en investigaciones anteriores (1.87). Nuestra propuesta establece que otra vertiente en la formación de   los funcionarios de la Secretaría de Finanzas hidalguense, necesariamente complementaria a la que se plasmó en el capítulo I, debe darse en cuanto a  la integración de fondos de recursos propios y de esquemas que incluyan la inversión privada. Como énfasis subsidiario, esos programas deben</w:t>
      </w:r>
      <w:r>
        <w:rPr>
          <w:spacing w:val="-5"/>
        </w:rPr>
        <w:t> </w:t>
      </w:r>
      <w:r>
        <w:rPr/>
        <w:t>propiciar</w:t>
      </w:r>
    </w:p>
    <w:p>
      <w:pPr>
        <w:spacing w:line="249" w:lineRule="auto" w:before="28"/>
        <w:ind w:left="337" w:right="115" w:hanging="227"/>
        <w:jc w:val="both"/>
        <w:rPr>
          <w:sz w:val="18"/>
        </w:rPr>
      </w:pPr>
      <w:r>
        <w:rPr>
          <w:position w:val="7"/>
          <w:sz w:val="11"/>
        </w:rPr>
        <w:t>69 </w:t>
      </w:r>
      <w:r>
        <w:rPr>
          <w:sz w:val="18"/>
        </w:rPr>
        <w:t>Información interpretada por el autor según base de datos proporcionada por la unidad de información pública gubernamental del ayuntamiento de Pachuca de Soto, solicitudes con números de expediente 00183610 y 00022211 del sistema INFOMEX Hidalgo, 7 de</w:t>
      </w:r>
      <w:r>
        <w:rPr>
          <w:spacing w:val="-19"/>
          <w:sz w:val="18"/>
        </w:rPr>
        <w:t> </w:t>
      </w:r>
      <w:r>
        <w:rPr>
          <w:sz w:val="18"/>
        </w:rPr>
        <w:t>noviembre del año 2010 y 7 de marzo del año 2011</w:t>
      </w:r>
      <w:r>
        <w:rPr>
          <w:spacing w:val="-11"/>
          <w:sz w:val="18"/>
        </w:rPr>
        <w:t> </w:t>
      </w:r>
      <w:r>
        <w:rPr>
          <w:sz w:val="18"/>
        </w:rPr>
        <w:t>respectivamente.</w:t>
      </w:r>
    </w:p>
    <w:p>
      <w:pPr>
        <w:spacing w:before="20"/>
        <w:ind w:left="110" w:right="0" w:firstLine="0"/>
        <w:jc w:val="left"/>
        <w:rPr>
          <w:i/>
          <w:sz w:val="18"/>
        </w:rPr>
      </w:pPr>
      <w:r>
        <w:rPr>
          <w:w w:val="105"/>
          <w:position w:val="7"/>
          <w:sz w:val="11"/>
        </w:rPr>
        <w:t>70  </w:t>
      </w:r>
      <w:r>
        <w:rPr>
          <w:i/>
          <w:w w:val="105"/>
          <w:sz w:val="18"/>
        </w:rPr>
        <w:t>Ibídem.</w:t>
      </w:r>
    </w:p>
    <w:p>
      <w:pPr>
        <w:spacing w:after="0"/>
        <w:jc w:val="left"/>
        <w:rPr>
          <w:sz w:val="18"/>
        </w:rPr>
        <w:sectPr>
          <w:pgSz w:w="9360" w:h="13040"/>
          <w:pgMar w:header="527" w:footer="514" w:top="720" w:bottom="700" w:left="740" w:right="1300"/>
        </w:sectPr>
      </w:pPr>
    </w:p>
    <w:p>
      <w:pPr>
        <w:pStyle w:val="BodyText"/>
        <w:spacing w:before="11"/>
        <w:rPr>
          <w:i/>
          <w:sz w:val="29"/>
        </w:rPr>
      </w:pPr>
    </w:p>
    <w:p>
      <w:pPr>
        <w:pStyle w:val="BodyText"/>
        <w:spacing w:line="244" w:lineRule="auto" w:before="70"/>
        <w:ind w:left="117" w:right="108"/>
        <w:jc w:val="both"/>
      </w:pPr>
      <w:r>
        <w:rPr/>
        <w:t>espacios de negociación de estructuras cofinancieras (evitar las limitantes sociales de los programas por reglas de operación), ponderando previamente las posibilidades financieras de las partes en función directa de los subsidios ofertados, y prever adicionalmente un proceso de evaluación.</w:t>
      </w:r>
    </w:p>
    <w:p>
      <w:pPr>
        <w:spacing w:after="0" w:line="244" w:lineRule="auto"/>
        <w:jc w:val="both"/>
        <w:sectPr>
          <w:pgSz w:w="9360" w:h="13040"/>
          <w:pgMar w:header="547" w:footer="514" w:top="940" w:bottom="700" w:left="1300" w:right="740"/>
        </w:sectPr>
      </w:pPr>
    </w:p>
    <w:p>
      <w:pPr>
        <w:pStyle w:val="BodyText"/>
        <w:spacing w:before="4"/>
        <w:rPr>
          <w:sz w:val="17"/>
        </w:rPr>
      </w:pPr>
    </w:p>
    <w:p>
      <w:pPr>
        <w:spacing w:after="0"/>
        <w:rPr>
          <w:sz w:val="17"/>
        </w:rPr>
        <w:sectPr>
          <w:headerReference w:type="default" r:id="rId147"/>
          <w:footerReference w:type="default" r:id="rId148"/>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1"/>
        <w:spacing w:before="54"/>
      </w:pPr>
      <w:bookmarkStart w:name="_TOC_250023" w:id="20"/>
      <w:bookmarkEnd w:id="20"/>
      <w:r>
        <w:rPr/>
        <w:t>SEGUNDA PARTE</w:t>
      </w:r>
    </w:p>
    <w:p>
      <w:pPr>
        <w:pStyle w:val="BodyText"/>
        <w:rPr>
          <w:b/>
          <w:sz w:val="36"/>
        </w:rPr>
      </w:pPr>
    </w:p>
    <w:p>
      <w:pPr>
        <w:pStyle w:val="BodyText"/>
        <w:spacing w:before="6"/>
        <w:rPr>
          <w:b/>
          <w:sz w:val="37"/>
        </w:rPr>
      </w:pPr>
    </w:p>
    <w:p>
      <w:pPr>
        <w:spacing w:before="0"/>
        <w:ind w:left="739" w:right="732" w:firstLine="0"/>
        <w:jc w:val="center"/>
        <w:rPr>
          <w:b/>
          <w:sz w:val="36"/>
        </w:rPr>
      </w:pPr>
      <w:r>
        <w:rPr>
          <w:b/>
          <w:sz w:val="36"/>
        </w:rPr>
        <w:t>Sentido Descendente o</w:t>
      </w:r>
    </w:p>
    <w:p>
      <w:pPr>
        <w:spacing w:line="487" w:lineRule="auto" w:before="6"/>
        <w:ind w:left="741" w:right="731" w:firstLine="0"/>
        <w:jc w:val="center"/>
        <w:rPr>
          <w:b/>
          <w:sz w:val="36"/>
        </w:rPr>
      </w:pPr>
      <w:r>
        <w:rPr>
          <w:b/>
          <w:sz w:val="36"/>
        </w:rPr>
        <w:t>del Estado Multijurisdiccional Políticas Públicas</w:t>
      </w:r>
    </w:p>
    <w:p>
      <w:pPr>
        <w:spacing w:after="0" w:line="487" w:lineRule="auto"/>
        <w:jc w:val="center"/>
        <w:rPr>
          <w:sz w:val="36"/>
        </w:rPr>
        <w:sectPr>
          <w:headerReference w:type="default" r:id="rId149"/>
          <w:footerReference w:type="default" r:id="rId150"/>
          <w:pgSz w:w="9360" w:h="13040"/>
          <w:pgMar w:header="0" w:footer="515" w:top="1200" w:bottom="700" w:left="1300" w:right="740"/>
          <w:pgNumType w:start="75"/>
        </w:sectPr>
      </w:pPr>
    </w:p>
    <w:p>
      <w:pPr>
        <w:pStyle w:val="BodyText"/>
        <w:spacing w:before="4"/>
        <w:rPr>
          <w:sz w:val="17"/>
        </w:rPr>
      </w:pPr>
    </w:p>
    <w:p>
      <w:pPr>
        <w:spacing w:after="0"/>
        <w:rPr>
          <w:sz w:val="17"/>
        </w:rPr>
        <w:sectPr>
          <w:headerReference w:type="default" r:id="rId151"/>
          <w:footerReference w:type="default" r:id="rId152"/>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1"/>
        </w:rPr>
      </w:pPr>
    </w:p>
    <w:p>
      <w:pPr>
        <w:pStyle w:val="BodyText"/>
        <w:ind w:left="117"/>
        <w:rPr>
          <w:sz w:val="20"/>
        </w:rPr>
      </w:pPr>
      <w:r>
        <w:rPr>
          <w:sz w:val="20"/>
        </w:rPr>
        <w:drawing>
          <wp:inline distT="0" distB="0" distL="0" distR="0">
            <wp:extent cx="4498848" cy="3346704"/>
            <wp:effectExtent l="0" t="0" r="0" b="0"/>
            <wp:docPr id="79" name="image91.png" descr=""/>
            <wp:cNvGraphicFramePr>
              <a:graphicFrameLocks noChangeAspect="1"/>
            </wp:cNvGraphicFramePr>
            <a:graphic>
              <a:graphicData uri="http://schemas.openxmlformats.org/drawingml/2006/picture">
                <pic:pic>
                  <pic:nvPicPr>
                    <pic:cNvPr id="80" name="image91.png"/>
                    <pic:cNvPicPr/>
                  </pic:nvPicPr>
                  <pic:blipFill>
                    <a:blip r:embed="rId155" cstate="print"/>
                    <a:stretch>
                      <a:fillRect/>
                    </a:stretch>
                  </pic:blipFill>
                  <pic:spPr>
                    <a:xfrm>
                      <a:off x="0" y="0"/>
                      <a:ext cx="4498848" cy="3346704"/>
                    </a:xfrm>
                    <a:prstGeom prst="rect">
                      <a:avLst/>
                    </a:prstGeom>
                  </pic:spPr>
                </pic:pic>
              </a:graphicData>
            </a:graphic>
          </wp:inline>
        </w:drawing>
      </w:r>
      <w:r>
        <w:rPr>
          <w:sz w:val="20"/>
        </w:rPr>
      </w:r>
    </w:p>
    <w:p>
      <w:pPr>
        <w:pStyle w:val="BodyText"/>
        <w:rPr>
          <w:sz w:val="20"/>
        </w:rPr>
      </w:pPr>
    </w:p>
    <w:p>
      <w:pPr>
        <w:pStyle w:val="BodyText"/>
        <w:spacing w:before="7"/>
        <w:rPr>
          <w:sz w:val="19"/>
        </w:rPr>
      </w:pPr>
    </w:p>
    <w:p>
      <w:pPr>
        <w:pStyle w:val="BodyText"/>
        <w:spacing w:before="71"/>
        <w:ind w:left="741" w:right="677"/>
        <w:jc w:val="center"/>
      </w:pPr>
      <w:r>
        <w:rPr/>
        <w:t>Molango de Escamilla.</w:t>
      </w:r>
    </w:p>
    <w:p>
      <w:pPr>
        <w:spacing w:after="0"/>
        <w:jc w:val="center"/>
        <w:sectPr>
          <w:headerReference w:type="default" r:id="rId153"/>
          <w:footerReference w:type="default" r:id="rId154"/>
          <w:pgSz w:w="9360" w:h="13040"/>
          <w:pgMar w:header="0" w:footer="515" w:top="1200" w:bottom="700" w:left="1300" w:right="740"/>
          <w:pgNumType w:start="77"/>
        </w:sectPr>
      </w:pPr>
    </w:p>
    <w:p>
      <w:pPr>
        <w:pStyle w:val="BodyText"/>
        <w:spacing w:before="4"/>
        <w:rPr>
          <w:sz w:val="17"/>
        </w:rPr>
      </w:pPr>
    </w:p>
    <w:p>
      <w:pPr>
        <w:spacing w:after="0"/>
        <w:rPr>
          <w:sz w:val="17"/>
        </w:rPr>
        <w:sectPr>
          <w:headerReference w:type="default" r:id="rId156"/>
          <w:footerReference w:type="default" r:id="rId157"/>
          <w:pgSz w:w="9360" w:h="13040"/>
          <w:pgMar w:header="0" w:footer="0" w:top="1200" w:bottom="280" w:left="1300" w:right="1300"/>
        </w:sectPr>
      </w:pPr>
    </w:p>
    <w:p>
      <w:pPr>
        <w:pStyle w:val="Heading2"/>
        <w:ind w:left="739"/>
      </w:pPr>
      <w:bookmarkStart w:name="_TOC_250022" w:id="21"/>
      <w:bookmarkEnd w:id="21"/>
      <w:r>
        <w:rPr/>
        <w:t>Capítulo IV.</w:t>
      </w:r>
    </w:p>
    <w:p>
      <w:pPr>
        <w:spacing w:before="4"/>
        <w:ind w:left="740" w:right="732" w:firstLine="0"/>
        <w:jc w:val="center"/>
        <w:rPr>
          <w:b/>
          <w:sz w:val="24"/>
        </w:rPr>
      </w:pPr>
      <w:r>
        <w:rPr>
          <w:b/>
          <w:sz w:val="24"/>
        </w:rPr>
        <w:t>La coordinación intergubernamental</w:t>
      </w:r>
    </w:p>
    <w:p>
      <w:pPr>
        <w:spacing w:line="242" w:lineRule="auto" w:before="4"/>
        <w:ind w:left="1287" w:right="1278" w:firstLine="0"/>
        <w:jc w:val="center"/>
        <w:rPr>
          <w:b/>
          <w:sz w:val="24"/>
        </w:rPr>
      </w:pPr>
      <w:r>
        <w:rPr>
          <w:b/>
          <w:sz w:val="24"/>
        </w:rPr>
        <w:t>en la planeación y el desarrollo regional del Estado de Hidalgo.</w:t>
      </w:r>
    </w:p>
    <w:p>
      <w:pPr>
        <w:pStyle w:val="BodyText"/>
        <w:rPr>
          <w:b/>
          <w:sz w:val="24"/>
        </w:rPr>
      </w:pPr>
    </w:p>
    <w:p>
      <w:pPr>
        <w:pStyle w:val="BodyText"/>
        <w:spacing w:before="11"/>
        <w:rPr>
          <w:b/>
          <w:sz w:val="20"/>
        </w:rPr>
      </w:pPr>
    </w:p>
    <w:p>
      <w:pPr>
        <w:pStyle w:val="Heading3"/>
        <w:spacing w:line="260" w:lineRule="exact"/>
        <w:ind w:right="108"/>
      </w:pPr>
      <w:r>
        <w:rPr/>
        <w:t>La disyuntiva entre la desconcentración del gasto sectorial federal o la coordinación estratégica.</w:t>
      </w:r>
    </w:p>
    <w:p>
      <w:pPr>
        <w:pStyle w:val="BodyText"/>
        <w:spacing w:before="7"/>
        <w:rPr>
          <w:b/>
          <w:sz w:val="22"/>
        </w:rPr>
      </w:pPr>
    </w:p>
    <w:p>
      <w:pPr>
        <w:pStyle w:val="BodyText"/>
        <w:spacing w:line="260" w:lineRule="exact"/>
        <w:ind w:left="117" w:right="107"/>
        <w:jc w:val="both"/>
      </w:pPr>
      <w:r>
        <w:rPr/>
        <w:t>Como ideal del federalismo subsidiario, el diseño y la implementación de políticas distributivas deben corresponder al orden de gobierno cuya escala geográfica se adecua al logro del bien común regional: el estatal. En la preferencia funcional descrita; la federación, los gobiernos municipales y otras estructuras sociales deberán colaborar al interior de las organizaciones que establezcan los gobiernos estatales.</w:t>
      </w:r>
    </w:p>
    <w:p>
      <w:pPr>
        <w:pStyle w:val="BodyText"/>
        <w:spacing w:before="7"/>
        <w:rPr>
          <w:sz w:val="22"/>
        </w:rPr>
      </w:pPr>
    </w:p>
    <w:p>
      <w:pPr>
        <w:pStyle w:val="BodyText"/>
        <w:spacing w:line="260" w:lineRule="exact"/>
        <w:ind w:left="117" w:right="105"/>
        <w:jc w:val="both"/>
      </w:pPr>
      <w:r>
        <w:rPr/>
        <w:t>Para el caso mexicano, se vive actualmente una coyuntura histórica en cuyo pasado el Presidente de la República constituía el único eje institucional para la implementación de proyectos de desarrollo regional. Posteriormente se pueden distinguir varias etapas, éstas van desde la difusión de los bienes públicos a solicitud de los gobiernos estatales durante el porfiriato (1876- 1911), hasta el concesionamiento y la construcción reciente (2003-2009) del tren suburbano Buenavista Cuautitlán en un contexto intergubernamental coordinado. Destacan en una etapa intermedia todos aquellos proyectos industriales y turísticos, algunos exitosos y otros de viabilidad cuestionable, implementados en los años setentas bajo la visión de la </w:t>
      </w:r>
      <w:r>
        <w:rPr>
          <w:i/>
        </w:rPr>
        <w:t>administración de la </w:t>
      </w:r>
      <w:r>
        <w:rPr>
          <w:i/>
        </w:rPr>
        <w:t>abundancia</w:t>
      </w:r>
      <w:r>
        <w:rPr/>
        <w:t>.</w:t>
      </w:r>
    </w:p>
    <w:p>
      <w:pPr>
        <w:pStyle w:val="BodyText"/>
        <w:spacing w:before="7"/>
        <w:rPr>
          <w:sz w:val="22"/>
        </w:rPr>
      </w:pPr>
    </w:p>
    <w:p>
      <w:pPr>
        <w:pStyle w:val="BodyText"/>
        <w:spacing w:line="260" w:lineRule="exact"/>
        <w:ind w:left="117" w:right="107"/>
        <w:jc w:val="both"/>
      </w:pPr>
      <w:r>
        <w:rPr/>
        <w:t>Hacia el presente existe una creciente actividad de los gobiernos estata-     les dirigida hacia el proyecto e instalación de emplazamientos industriales    y logísticos, para lo cual parten necesariamente de gestionar acciones con- juntas con la iniciativa privada y con otros niveles gubernamentales. Como reminiscencia porfirista renacida en 2005 a iniciativa de la </w:t>
      </w:r>
      <w:r>
        <w:rPr>
          <w:i/>
        </w:rPr>
        <w:t>Conferencia </w:t>
      </w:r>
      <w:r>
        <w:rPr>
          <w:i/>
        </w:rPr>
        <w:t>Nacional de Gobernadores</w:t>
      </w:r>
      <w:r>
        <w:rPr/>
        <w:t>, la Cámara de Diputados ha instaurado la reasignación anual de gasto sectorial federal hacia los estados, constituyendo así un mecanismo que atomiza el ejercicio presupuestal sin alcanzar a conformar una política conjunta de mayor objetividad. Las etapas recientes fueron ponderadas según su congruencia subsidiaria en la siguiente escala de evaluación.</w:t>
      </w:r>
    </w:p>
    <w:p>
      <w:pPr>
        <w:spacing w:after="0" w:line="260" w:lineRule="exact"/>
        <w:jc w:val="both"/>
        <w:sectPr>
          <w:headerReference w:type="default" r:id="rId158"/>
          <w:footerReference w:type="default" r:id="rId159"/>
          <w:footerReference w:type="even" r:id="rId160"/>
          <w:pgSz w:w="9360" w:h="13040"/>
          <w:pgMar w:header="0" w:footer="515" w:top="1200" w:bottom="700" w:left="1300" w:right="740"/>
          <w:pgNumType w:start="79"/>
        </w:sectPr>
      </w:pPr>
    </w:p>
    <w:p>
      <w:pPr>
        <w:pStyle w:val="BodyText"/>
        <w:rPr>
          <w:sz w:val="20"/>
        </w:rPr>
      </w:pPr>
    </w:p>
    <w:p>
      <w:pPr>
        <w:pStyle w:val="BodyText"/>
        <w:spacing w:before="9"/>
        <w:rPr>
          <w:sz w:val="28"/>
        </w:rPr>
      </w:pPr>
    </w:p>
    <w:p>
      <w:pPr>
        <w:spacing w:line="260" w:lineRule="exact" w:before="77"/>
        <w:ind w:left="110" w:right="0" w:firstLine="0"/>
        <w:jc w:val="left"/>
        <w:rPr>
          <w:b/>
          <w:i/>
          <w:sz w:val="23"/>
        </w:rPr>
      </w:pPr>
      <w:r>
        <w:rPr>
          <w:b/>
          <w:sz w:val="23"/>
        </w:rPr>
        <w:t>Escala de evaluación de las </w:t>
      </w:r>
      <w:r>
        <w:rPr>
          <w:b/>
          <w:i/>
          <w:sz w:val="23"/>
        </w:rPr>
        <w:t>políticas distributivas que gestionan los </w:t>
      </w:r>
      <w:r>
        <w:rPr>
          <w:b/>
          <w:i/>
          <w:sz w:val="23"/>
        </w:rPr>
        <w:t>gobiernos estatales.</w:t>
      </w:r>
    </w:p>
    <w:p>
      <w:pPr>
        <w:pStyle w:val="BodyText"/>
        <w:rPr>
          <w:b/>
          <w:i/>
          <w:sz w:val="25"/>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
        <w:gridCol w:w="1786"/>
        <w:gridCol w:w="1559"/>
        <w:gridCol w:w="1650"/>
        <w:gridCol w:w="1610"/>
      </w:tblGrid>
      <w:tr>
        <w:trPr>
          <w:trHeight w:val="452" w:hRule="exact"/>
        </w:trPr>
        <w:tc>
          <w:tcPr>
            <w:tcW w:w="482" w:type="dxa"/>
            <w:shd w:val="clear" w:color="auto" w:fill="D1D3D4"/>
          </w:tcPr>
          <w:p>
            <w:pPr/>
          </w:p>
        </w:tc>
        <w:tc>
          <w:tcPr>
            <w:tcW w:w="1786" w:type="dxa"/>
            <w:shd w:val="clear" w:color="auto" w:fill="D1D3D4"/>
          </w:tcPr>
          <w:p>
            <w:pPr>
              <w:pStyle w:val="TableParagraph"/>
              <w:spacing w:line="249" w:lineRule="auto" w:before="6"/>
              <w:ind w:left="470" w:right="341" w:hanging="111"/>
              <w:rPr>
                <w:b/>
                <w:sz w:val="18"/>
              </w:rPr>
            </w:pPr>
            <w:r>
              <w:rPr>
                <w:b/>
                <w:sz w:val="18"/>
              </w:rPr>
              <w:t>Capacidad de asociación.</w:t>
            </w:r>
          </w:p>
        </w:tc>
        <w:tc>
          <w:tcPr>
            <w:tcW w:w="1559" w:type="dxa"/>
            <w:shd w:val="clear" w:color="auto" w:fill="D1D3D4"/>
          </w:tcPr>
          <w:p>
            <w:pPr>
              <w:pStyle w:val="TableParagraph"/>
              <w:spacing w:line="249" w:lineRule="auto" w:before="6"/>
              <w:ind w:left="247" w:right="227" w:firstLine="92"/>
              <w:rPr>
                <w:b/>
                <w:sz w:val="18"/>
              </w:rPr>
            </w:pPr>
            <w:r>
              <w:rPr>
                <w:b/>
                <w:sz w:val="18"/>
              </w:rPr>
              <w:t>Restricción competencial.</w:t>
            </w:r>
          </w:p>
        </w:tc>
        <w:tc>
          <w:tcPr>
            <w:tcW w:w="1650" w:type="dxa"/>
            <w:shd w:val="clear" w:color="auto" w:fill="D1D3D4"/>
          </w:tcPr>
          <w:p>
            <w:pPr>
              <w:pStyle w:val="TableParagraph"/>
              <w:spacing w:line="249" w:lineRule="auto" w:before="6"/>
              <w:ind w:left="372" w:right="352" w:firstLine="17"/>
              <w:rPr>
                <w:b/>
                <w:sz w:val="18"/>
              </w:rPr>
            </w:pPr>
            <w:r>
              <w:rPr>
                <w:b/>
                <w:sz w:val="18"/>
              </w:rPr>
              <w:t>Evaluación subsidiaria.</w:t>
            </w:r>
          </w:p>
        </w:tc>
        <w:tc>
          <w:tcPr>
            <w:tcW w:w="1610" w:type="dxa"/>
            <w:shd w:val="clear" w:color="auto" w:fill="D1D3D4"/>
          </w:tcPr>
          <w:p>
            <w:pPr>
              <w:pStyle w:val="TableParagraph"/>
              <w:spacing w:line="249" w:lineRule="auto" w:before="6"/>
              <w:ind w:left="272" w:right="253" w:firstLine="249"/>
              <w:rPr>
                <w:b/>
                <w:sz w:val="18"/>
              </w:rPr>
            </w:pPr>
            <w:r>
              <w:rPr>
                <w:b/>
                <w:sz w:val="18"/>
              </w:rPr>
              <w:t>Avance competencial.</w:t>
            </w:r>
          </w:p>
        </w:tc>
      </w:tr>
      <w:tr>
        <w:trPr>
          <w:trHeight w:val="1967" w:hRule="exact"/>
        </w:trPr>
        <w:tc>
          <w:tcPr>
            <w:tcW w:w="482" w:type="dxa"/>
          </w:tcPr>
          <w:p>
            <w:pPr>
              <w:pStyle w:val="TableParagraph"/>
              <w:spacing w:before="6"/>
              <w:ind w:left="102"/>
              <w:rPr>
                <w:b/>
                <w:sz w:val="18"/>
              </w:rPr>
            </w:pPr>
            <w:r>
              <w:rPr>
                <w:b/>
                <w:sz w:val="18"/>
              </w:rPr>
              <w:t>8</w:t>
            </w:r>
          </w:p>
        </w:tc>
        <w:tc>
          <w:tcPr>
            <w:tcW w:w="1786" w:type="dxa"/>
          </w:tcPr>
          <w:p>
            <w:pPr>
              <w:pStyle w:val="TableParagraph"/>
              <w:spacing w:line="249" w:lineRule="auto"/>
              <w:ind w:left="102" w:right="100"/>
              <w:jc w:val="both"/>
              <w:rPr>
                <w:sz w:val="18"/>
              </w:rPr>
            </w:pPr>
            <w:r>
              <w:rPr>
                <w:sz w:val="18"/>
              </w:rPr>
              <w:t>Los gobiernos esta- tales diseñan políti- cas distributivas que orientan eficiente- mente la acción gu- bernamental conjunta y la privada.</w:t>
            </w:r>
          </w:p>
        </w:tc>
        <w:tc>
          <w:tcPr>
            <w:tcW w:w="1559" w:type="dxa"/>
          </w:tcPr>
          <w:p>
            <w:pPr>
              <w:pStyle w:val="TableParagraph"/>
              <w:spacing w:line="249" w:lineRule="auto"/>
              <w:ind w:left="102" w:right="100"/>
              <w:jc w:val="both"/>
              <w:rPr>
                <w:sz w:val="18"/>
              </w:rPr>
            </w:pPr>
            <w:r>
              <w:rPr>
                <w:sz w:val="18"/>
              </w:rPr>
              <w:t>Existencia exclu- siva de acuerdos estatales para la orientación efi- ciente de la acción gube rna m e nt a l conjunta y la pri- vada en las políti- cas distributivas.</w:t>
            </w:r>
          </w:p>
        </w:tc>
        <w:tc>
          <w:tcPr>
            <w:tcW w:w="1650" w:type="dxa"/>
          </w:tcPr>
          <w:p>
            <w:pPr>
              <w:pStyle w:val="TableParagraph"/>
              <w:spacing w:line="249" w:lineRule="auto"/>
              <w:ind w:left="102" w:right="101"/>
              <w:jc w:val="both"/>
              <w:rPr>
                <w:sz w:val="18"/>
              </w:rPr>
            </w:pPr>
            <w:r>
              <w:rPr>
                <w:sz w:val="18"/>
              </w:rPr>
              <w:t>Evaluación conti- nua e  integral  de  la acción guberna- mental conjunta y  la privada en las</w:t>
            </w:r>
            <w:r>
              <w:rPr>
                <w:spacing w:val="-28"/>
                <w:sz w:val="18"/>
              </w:rPr>
              <w:t> </w:t>
            </w:r>
            <w:r>
              <w:rPr>
                <w:sz w:val="18"/>
              </w:rPr>
              <w:t>po- líticas distributivas estatales.</w:t>
            </w:r>
          </w:p>
        </w:tc>
        <w:tc>
          <w:tcPr>
            <w:tcW w:w="1610" w:type="dxa"/>
          </w:tcPr>
          <w:p>
            <w:pPr>
              <w:pStyle w:val="TableParagraph"/>
              <w:spacing w:line="249" w:lineRule="auto"/>
              <w:ind w:left="102" w:right="101"/>
              <w:jc w:val="both"/>
              <w:rPr>
                <w:sz w:val="18"/>
              </w:rPr>
            </w:pPr>
            <w:r>
              <w:rPr>
                <w:sz w:val="18"/>
              </w:rPr>
              <w:t>Liderazgo de los gobiernos estata- les en el diseño de políticas distribu- tivas con acciones gubernamentales y privadas conjuntas.</w:t>
            </w:r>
          </w:p>
        </w:tc>
      </w:tr>
      <w:tr>
        <w:trPr>
          <w:trHeight w:val="1967" w:hRule="exact"/>
        </w:trPr>
        <w:tc>
          <w:tcPr>
            <w:tcW w:w="482" w:type="dxa"/>
            <w:shd w:val="clear" w:color="auto" w:fill="D1D3D4"/>
          </w:tcPr>
          <w:p>
            <w:pPr>
              <w:pStyle w:val="TableParagraph"/>
              <w:spacing w:before="6"/>
              <w:ind w:left="102"/>
              <w:rPr>
                <w:b/>
                <w:sz w:val="18"/>
              </w:rPr>
            </w:pPr>
            <w:r>
              <w:rPr>
                <w:b/>
                <w:sz w:val="18"/>
              </w:rPr>
              <w:t>7</w:t>
            </w:r>
          </w:p>
        </w:tc>
        <w:tc>
          <w:tcPr>
            <w:tcW w:w="1786" w:type="dxa"/>
            <w:shd w:val="clear" w:color="auto" w:fill="D1D3D4"/>
          </w:tcPr>
          <w:p>
            <w:pPr>
              <w:pStyle w:val="TableParagraph"/>
              <w:spacing w:line="249" w:lineRule="auto"/>
              <w:ind w:left="102" w:right="101"/>
              <w:jc w:val="both"/>
              <w:rPr>
                <w:sz w:val="18"/>
              </w:rPr>
            </w:pPr>
            <w:r>
              <w:rPr>
                <w:sz w:val="18"/>
              </w:rPr>
              <w:t>Los gobiernos federal y estatal diseñan</w:t>
            </w:r>
            <w:r>
              <w:rPr>
                <w:spacing w:val="-6"/>
                <w:sz w:val="18"/>
              </w:rPr>
              <w:t> </w:t>
            </w:r>
            <w:r>
              <w:rPr>
                <w:sz w:val="18"/>
              </w:rPr>
              <w:t>polí- ticas distributivas en paralelo, siendo</w:t>
            </w:r>
            <w:r>
              <w:rPr>
                <w:spacing w:val="-10"/>
                <w:sz w:val="18"/>
              </w:rPr>
              <w:t> </w:t>
            </w:r>
            <w:r>
              <w:rPr>
                <w:sz w:val="18"/>
              </w:rPr>
              <w:t>nece- sario negociar las in- tervenciones</w:t>
            </w:r>
            <w:r>
              <w:rPr>
                <w:spacing w:val="-1"/>
                <w:sz w:val="18"/>
              </w:rPr>
              <w:t> </w:t>
            </w:r>
            <w:r>
              <w:rPr>
                <w:sz w:val="18"/>
              </w:rPr>
              <w:t>mutuas.</w:t>
            </w:r>
          </w:p>
        </w:tc>
        <w:tc>
          <w:tcPr>
            <w:tcW w:w="1559" w:type="dxa"/>
            <w:shd w:val="clear" w:color="auto" w:fill="D1D3D4"/>
          </w:tcPr>
          <w:p>
            <w:pPr>
              <w:pStyle w:val="TableParagraph"/>
              <w:spacing w:line="249" w:lineRule="auto"/>
              <w:ind w:left="102" w:right="101"/>
              <w:jc w:val="both"/>
              <w:rPr>
                <w:sz w:val="18"/>
              </w:rPr>
            </w:pPr>
            <w:r>
              <w:rPr>
                <w:sz w:val="18"/>
              </w:rPr>
              <w:t>Existencia de acuerdos federales y estatales para la orientación de las acciones en cuan- to a sus interven- ciones recíprocas de carácter distri- butivo.</w:t>
            </w:r>
          </w:p>
        </w:tc>
        <w:tc>
          <w:tcPr>
            <w:tcW w:w="1650" w:type="dxa"/>
            <w:shd w:val="clear" w:color="auto" w:fill="D1D3D4"/>
          </w:tcPr>
          <w:p>
            <w:pPr>
              <w:pStyle w:val="TableParagraph"/>
              <w:spacing w:line="249" w:lineRule="auto"/>
              <w:ind w:left="102" w:right="101"/>
              <w:jc w:val="both"/>
              <w:rPr>
                <w:sz w:val="18"/>
              </w:rPr>
            </w:pPr>
            <w:r>
              <w:rPr>
                <w:sz w:val="18"/>
              </w:rPr>
              <w:t>Evaluación conti- nua e  integral  de  la intervención re- cíproca federal y estatal en cada una de sus políticas dis- tributivas.</w:t>
            </w:r>
          </w:p>
        </w:tc>
        <w:tc>
          <w:tcPr>
            <w:tcW w:w="1610" w:type="dxa"/>
            <w:shd w:val="clear" w:color="auto" w:fill="D1D3D4"/>
          </w:tcPr>
          <w:p>
            <w:pPr>
              <w:pStyle w:val="TableParagraph"/>
              <w:spacing w:line="249" w:lineRule="auto"/>
              <w:ind w:left="102" w:right="101"/>
              <w:jc w:val="both"/>
              <w:rPr>
                <w:sz w:val="18"/>
              </w:rPr>
            </w:pPr>
            <w:r>
              <w:rPr>
                <w:sz w:val="18"/>
              </w:rPr>
              <w:t>Participación  de los gobiernos esta- tales en el diseño de políticas distri- butivas en paralelo a las estrategias regionales del go- bierno federal.</w:t>
            </w:r>
          </w:p>
        </w:tc>
      </w:tr>
      <w:tr>
        <w:trPr>
          <w:trHeight w:val="1535" w:hRule="exact"/>
        </w:trPr>
        <w:tc>
          <w:tcPr>
            <w:tcW w:w="482" w:type="dxa"/>
          </w:tcPr>
          <w:p>
            <w:pPr>
              <w:pStyle w:val="TableParagraph"/>
              <w:spacing w:before="6"/>
              <w:ind w:left="102"/>
              <w:rPr>
                <w:b/>
                <w:sz w:val="18"/>
              </w:rPr>
            </w:pPr>
            <w:r>
              <w:rPr>
                <w:b/>
                <w:sz w:val="18"/>
              </w:rPr>
              <w:t>6</w:t>
            </w:r>
          </w:p>
        </w:tc>
        <w:tc>
          <w:tcPr>
            <w:tcW w:w="1786" w:type="dxa"/>
          </w:tcPr>
          <w:p>
            <w:pPr>
              <w:pStyle w:val="TableParagraph"/>
              <w:spacing w:line="249" w:lineRule="auto"/>
              <w:ind w:left="102" w:right="101"/>
              <w:jc w:val="both"/>
              <w:rPr>
                <w:sz w:val="18"/>
              </w:rPr>
            </w:pPr>
            <w:r>
              <w:rPr>
                <w:sz w:val="18"/>
              </w:rPr>
              <w:t>El gobierno federal diseña políticas dis- tributivas que dele- gan total o parcial- mente a los</w:t>
            </w:r>
            <w:r>
              <w:rPr>
                <w:spacing w:val="-6"/>
                <w:sz w:val="18"/>
              </w:rPr>
              <w:t> </w:t>
            </w:r>
            <w:r>
              <w:rPr>
                <w:sz w:val="18"/>
              </w:rPr>
              <w:t>gobiernos estatales.</w:t>
            </w:r>
          </w:p>
        </w:tc>
        <w:tc>
          <w:tcPr>
            <w:tcW w:w="1559" w:type="dxa"/>
          </w:tcPr>
          <w:p>
            <w:pPr>
              <w:pStyle w:val="TableParagraph"/>
              <w:spacing w:line="249" w:lineRule="auto"/>
              <w:ind w:left="102" w:right="101"/>
              <w:jc w:val="both"/>
              <w:rPr>
                <w:sz w:val="18"/>
              </w:rPr>
            </w:pPr>
            <w:r>
              <w:rPr>
                <w:sz w:val="18"/>
              </w:rPr>
              <w:t>Existencia exclu- siva de acuerdos federales de dele- gación de</w:t>
            </w:r>
            <w:r>
              <w:rPr>
                <w:spacing w:val="-8"/>
                <w:sz w:val="18"/>
              </w:rPr>
              <w:t> </w:t>
            </w:r>
            <w:r>
              <w:rPr>
                <w:sz w:val="18"/>
              </w:rPr>
              <w:t>políticas distributivas a los gobiernos estata- les.</w:t>
            </w:r>
          </w:p>
        </w:tc>
        <w:tc>
          <w:tcPr>
            <w:tcW w:w="1650" w:type="dxa"/>
          </w:tcPr>
          <w:p>
            <w:pPr>
              <w:pStyle w:val="TableParagraph"/>
              <w:spacing w:line="249" w:lineRule="auto"/>
              <w:ind w:left="102" w:right="101"/>
              <w:jc w:val="both"/>
              <w:rPr>
                <w:sz w:val="18"/>
              </w:rPr>
            </w:pPr>
            <w:r>
              <w:rPr>
                <w:sz w:val="18"/>
              </w:rPr>
              <w:t>Evaluación conti- nua e integral de la delegación de polí- ticas distributivas a los gobiernos esta- tales.</w:t>
            </w:r>
          </w:p>
        </w:tc>
        <w:tc>
          <w:tcPr>
            <w:tcW w:w="1610" w:type="dxa"/>
          </w:tcPr>
          <w:p>
            <w:pPr>
              <w:pStyle w:val="TableParagraph"/>
              <w:spacing w:line="249" w:lineRule="auto"/>
              <w:ind w:left="102" w:right="101"/>
              <w:jc w:val="both"/>
              <w:rPr>
                <w:sz w:val="18"/>
              </w:rPr>
            </w:pPr>
            <w:r>
              <w:rPr>
                <w:sz w:val="18"/>
              </w:rPr>
              <w:t>Participación  de los gobiernos es- tatales en las polí- ticas distributivas que le delegue el gobierno federal.</w:t>
            </w:r>
          </w:p>
        </w:tc>
      </w:tr>
      <w:tr>
        <w:trPr>
          <w:trHeight w:val="1535" w:hRule="exact"/>
        </w:trPr>
        <w:tc>
          <w:tcPr>
            <w:tcW w:w="482" w:type="dxa"/>
            <w:shd w:val="clear" w:color="auto" w:fill="D1D3D4"/>
          </w:tcPr>
          <w:p>
            <w:pPr>
              <w:pStyle w:val="TableParagraph"/>
              <w:spacing w:before="6"/>
              <w:ind w:left="102"/>
              <w:rPr>
                <w:b/>
                <w:sz w:val="18"/>
              </w:rPr>
            </w:pPr>
            <w:r>
              <w:rPr>
                <w:b/>
                <w:sz w:val="18"/>
              </w:rPr>
              <w:t>5</w:t>
            </w:r>
          </w:p>
        </w:tc>
        <w:tc>
          <w:tcPr>
            <w:tcW w:w="1786" w:type="dxa"/>
            <w:shd w:val="clear" w:color="auto" w:fill="D1D3D4"/>
          </w:tcPr>
          <w:p>
            <w:pPr>
              <w:pStyle w:val="TableParagraph"/>
              <w:spacing w:line="249" w:lineRule="auto"/>
              <w:ind w:left="102" w:right="101"/>
              <w:jc w:val="both"/>
              <w:rPr>
                <w:sz w:val="18"/>
              </w:rPr>
            </w:pPr>
            <w:r>
              <w:rPr>
                <w:sz w:val="18"/>
              </w:rPr>
              <w:t>El gobierno federal diseña políticas dis- tributivas que invo- lucran acciones de determinadas depen- dencias estatales.</w:t>
            </w:r>
          </w:p>
        </w:tc>
        <w:tc>
          <w:tcPr>
            <w:tcW w:w="1559" w:type="dxa"/>
            <w:shd w:val="clear" w:color="auto" w:fill="D1D3D4"/>
          </w:tcPr>
          <w:p>
            <w:pPr>
              <w:pStyle w:val="TableParagraph"/>
              <w:spacing w:line="249" w:lineRule="auto"/>
              <w:ind w:left="102" w:right="101"/>
              <w:jc w:val="both"/>
              <w:rPr>
                <w:sz w:val="18"/>
              </w:rPr>
            </w:pPr>
            <w:r>
              <w:rPr>
                <w:sz w:val="18"/>
              </w:rPr>
              <w:t>Existencia exclu- siva de acuerdos federales que in- volucren acciones estatales en las políticas distribu- tivas.</w:t>
            </w:r>
          </w:p>
        </w:tc>
        <w:tc>
          <w:tcPr>
            <w:tcW w:w="1650" w:type="dxa"/>
            <w:shd w:val="clear" w:color="auto" w:fill="D1D3D4"/>
          </w:tcPr>
          <w:p>
            <w:pPr>
              <w:pStyle w:val="TableParagraph"/>
              <w:spacing w:line="249" w:lineRule="auto"/>
              <w:ind w:left="102" w:right="101"/>
              <w:jc w:val="both"/>
              <w:rPr>
                <w:sz w:val="18"/>
              </w:rPr>
            </w:pPr>
            <w:r>
              <w:rPr>
                <w:sz w:val="18"/>
              </w:rPr>
              <w:t>Evaluación conti- nua e integral de</w:t>
            </w:r>
            <w:r>
              <w:rPr>
                <w:spacing w:val="-9"/>
                <w:sz w:val="18"/>
              </w:rPr>
              <w:t> </w:t>
            </w:r>
            <w:r>
              <w:rPr>
                <w:sz w:val="18"/>
              </w:rPr>
              <w:t>las acciones estatales en las políticas dis- tributivas</w:t>
            </w:r>
            <w:r>
              <w:rPr>
                <w:spacing w:val="-1"/>
                <w:sz w:val="18"/>
              </w:rPr>
              <w:t> </w:t>
            </w:r>
            <w:r>
              <w:rPr>
                <w:sz w:val="18"/>
              </w:rPr>
              <w:t>federales.</w:t>
            </w:r>
          </w:p>
        </w:tc>
        <w:tc>
          <w:tcPr>
            <w:tcW w:w="1610" w:type="dxa"/>
            <w:shd w:val="clear" w:color="auto" w:fill="D1D3D4"/>
          </w:tcPr>
          <w:p>
            <w:pPr>
              <w:pStyle w:val="TableParagraph"/>
              <w:spacing w:line="249" w:lineRule="auto"/>
              <w:ind w:left="102" w:right="101"/>
              <w:jc w:val="both"/>
              <w:rPr>
                <w:sz w:val="18"/>
              </w:rPr>
            </w:pPr>
            <w:r>
              <w:rPr>
                <w:sz w:val="18"/>
              </w:rPr>
              <w:t>Participación míni- ma de los gobier- nos estatales en las políticas distribu- tivas del gobierno federal.</w:t>
            </w:r>
          </w:p>
        </w:tc>
      </w:tr>
      <w:tr>
        <w:trPr>
          <w:trHeight w:val="1535" w:hRule="exact"/>
        </w:trPr>
        <w:tc>
          <w:tcPr>
            <w:tcW w:w="482" w:type="dxa"/>
          </w:tcPr>
          <w:p>
            <w:pPr>
              <w:pStyle w:val="TableParagraph"/>
              <w:spacing w:before="6"/>
              <w:ind w:left="102"/>
              <w:rPr>
                <w:b/>
                <w:sz w:val="18"/>
              </w:rPr>
            </w:pPr>
            <w:r>
              <w:rPr>
                <w:b/>
                <w:sz w:val="18"/>
              </w:rPr>
              <w:t>4</w:t>
            </w:r>
          </w:p>
        </w:tc>
        <w:tc>
          <w:tcPr>
            <w:tcW w:w="1786" w:type="dxa"/>
          </w:tcPr>
          <w:p>
            <w:pPr>
              <w:pStyle w:val="TableParagraph"/>
              <w:spacing w:line="249" w:lineRule="auto"/>
              <w:ind w:left="102" w:right="101"/>
              <w:jc w:val="both"/>
              <w:rPr>
                <w:sz w:val="18"/>
              </w:rPr>
            </w:pPr>
            <w:r>
              <w:rPr>
                <w:sz w:val="18"/>
              </w:rPr>
              <w:t>La gestión estatal de recursos PEF logra una coordinación in- tersectorial integral en el trámite y en la ejecución de los re- cursos</w:t>
            </w:r>
            <w:r>
              <w:rPr>
                <w:spacing w:val="2"/>
                <w:sz w:val="18"/>
              </w:rPr>
              <w:t> </w:t>
            </w:r>
            <w:r>
              <w:rPr>
                <w:spacing w:val="-5"/>
                <w:sz w:val="18"/>
              </w:rPr>
              <w:t>PEF.</w:t>
            </w:r>
          </w:p>
        </w:tc>
        <w:tc>
          <w:tcPr>
            <w:tcW w:w="1559" w:type="dxa"/>
          </w:tcPr>
          <w:p>
            <w:pPr>
              <w:pStyle w:val="TableParagraph"/>
              <w:spacing w:line="249" w:lineRule="auto"/>
              <w:ind w:left="102" w:right="101"/>
              <w:jc w:val="both"/>
              <w:rPr>
                <w:sz w:val="18"/>
              </w:rPr>
            </w:pPr>
            <w:r>
              <w:rPr>
                <w:sz w:val="18"/>
              </w:rPr>
              <w:t>Celebración de cuatro convenios sectoriales para la descentralización de recursos PEF.</w:t>
            </w:r>
          </w:p>
        </w:tc>
        <w:tc>
          <w:tcPr>
            <w:tcW w:w="1650" w:type="dxa"/>
          </w:tcPr>
          <w:p>
            <w:pPr>
              <w:pStyle w:val="TableParagraph"/>
              <w:spacing w:line="249" w:lineRule="auto"/>
              <w:ind w:left="102" w:right="101"/>
              <w:jc w:val="both"/>
              <w:rPr>
                <w:sz w:val="18"/>
              </w:rPr>
            </w:pPr>
            <w:r>
              <w:rPr>
                <w:sz w:val="18"/>
              </w:rPr>
              <w:t>Evaluación conti- nua de la coordina- ción intersectorial integral en el trámi- te y en la ejecución de los recursos</w:t>
            </w:r>
            <w:r>
              <w:rPr>
                <w:spacing w:val="-21"/>
                <w:sz w:val="18"/>
              </w:rPr>
              <w:t> </w:t>
            </w:r>
            <w:r>
              <w:rPr>
                <w:spacing w:val="-5"/>
                <w:sz w:val="18"/>
              </w:rPr>
              <w:t>PEF.</w:t>
            </w:r>
          </w:p>
        </w:tc>
        <w:tc>
          <w:tcPr>
            <w:tcW w:w="1610" w:type="dxa"/>
          </w:tcPr>
          <w:p>
            <w:pPr>
              <w:pStyle w:val="TableParagraph"/>
              <w:spacing w:line="249" w:lineRule="auto"/>
              <w:ind w:left="102" w:right="101"/>
              <w:jc w:val="both"/>
              <w:rPr>
                <w:sz w:val="18"/>
              </w:rPr>
            </w:pPr>
            <w:r>
              <w:rPr>
                <w:sz w:val="18"/>
              </w:rPr>
              <w:t>Ejercicio anual de los recursos PEF al 100%.</w:t>
            </w:r>
          </w:p>
        </w:tc>
      </w:tr>
    </w:tbl>
    <w:p>
      <w:pPr>
        <w:spacing w:after="0" w:line="249" w:lineRule="auto"/>
        <w:jc w:val="both"/>
        <w:rPr>
          <w:sz w:val="18"/>
        </w:rPr>
        <w:sectPr>
          <w:headerReference w:type="default" r:id="rId161"/>
          <w:headerReference w:type="even" r:id="rId162"/>
          <w:pgSz w:w="9360" w:h="13040"/>
          <w:pgMar w:header="527" w:footer="515" w:top="720" w:bottom="700" w:left="740" w:right="1300"/>
        </w:sectPr>
      </w:pPr>
    </w:p>
    <w:p>
      <w:pPr>
        <w:pStyle w:val="BodyText"/>
        <w:rPr>
          <w:b/>
          <w:i/>
          <w:sz w:val="20"/>
        </w:rPr>
      </w:pPr>
    </w:p>
    <w:p>
      <w:pPr>
        <w:pStyle w:val="BodyText"/>
        <w:spacing w:before="11"/>
        <w:rPr>
          <w:b/>
          <w:i/>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
        <w:gridCol w:w="1786"/>
        <w:gridCol w:w="1559"/>
        <w:gridCol w:w="1650"/>
        <w:gridCol w:w="1610"/>
      </w:tblGrid>
      <w:tr>
        <w:trPr>
          <w:trHeight w:val="1967" w:hRule="exact"/>
        </w:trPr>
        <w:tc>
          <w:tcPr>
            <w:tcW w:w="482" w:type="dxa"/>
            <w:shd w:val="clear" w:color="auto" w:fill="D1D3D4"/>
          </w:tcPr>
          <w:p>
            <w:pPr>
              <w:pStyle w:val="TableParagraph"/>
              <w:spacing w:before="6"/>
              <w:ind w:left="103"/>
              <w:rPr>
                <w:b/>
                <w:sz w:val="18"/>
              </w:rPr>
            </w:pPr>
            <w:r>
              <w:rPr>
                <w:b/>
                <w:sz w:val="18"/>
              </w:rPr>
              <w:t>3</w:t>
            </w:r>
          </w:p>
        </w:tc>
        <w:tc>
          <w:tcPr>
            <w:tcW w:w="1786" w:type="dxa"/>
            <w:shd w:val="clear" w:color="auto" w:fill="D1D3D4"/>
          </w:tcPr>
          <w:p>
            <w:pPr>
              <w:pStyle w:val="TableParagraph"/>
              <w:spacing w:line="249" w:lineRule="auto" w:before="8"/>
              <w:ind w:left="102" w:right="100"/>
              <w:jc w:val="both"/>
              <w:rPr>
                <w:sz w:val="18"/>
              </w:rPr>
            </w:pPr>
            <w:r>
              <w:rPr>
                <w:sz w:val="18"/>
              </w:rPr>
              <w:t>La  gestión   estatal de recursos PEF no cuenta con una coor- dinación intersecto- rial  para  el  trámite  y presenta una eje- cución de acciones parcialmente coordi- nada.</w:t>
            </w:r>
          </w:p>
        </w:tc>
        <w:tc>
          <w:tcPr>
            <w:tcW w:w="1559" w:type="dxa"/>
            <w:shd w:val="clear" w:color="auto" w:fill="D1D3D4"/>
          </w:tcPr>
          <w:p>
            <w:pPr>
              <w:pStyle w:val="TableParagraph"/>
              <w:spacing w:line="249" w:lineRule="auto" w:before="8"/>
              <w:ind w:left="102" w:right="100"/>
              <w:jc w:val="both"/>
              <w:rPr>
                <w:sz w:val="18"/>
              </w:rPr>
            </w:pPr>
            <w:r>
              <w:rPr>
                <w:sz w:val="18"/>
              </w:rPr>
              <w:t>Celebración de tres convenios sectoriales para la </w:t>
            </w:r>
            <w:r>
              <w:rPr>
                <w:spacing w:val="4"/>
                <w:sz w:val="18"/>
              </w:rPr>
              <w:t>descentralización </w:t>
            </w:r>
            <w:r>
              <w:rPr>
                <w:sz w:val="18"/>
              </w:rPr>
              <w:t>de recursos</w:t>
            </w:r>
            <w:r>
              <w:rPr>
                <w:spacing w:val="3"/>
                <w:sz w:val="18"/>
              </w:rPr>
              <w:t> </w:t>
            </w:r>
            <w:r>
              <w:rPr>
                <w:spacing w:val="-5"/>
                <w:sz w:val="18"/>
              </w:rPr>
              <w:t>PEF.</w:t>
            </w:r>
          </w:p>
        </w:tc>
        <w:tc>
          <w:tcPr>
            <w:tcW w:w="1650" w:type="dxa"/>
            <w:shd w:val="clear" w:color="auto" w:fill="D1D3D4"/>
          </w:tcPr>
          <w:p>
            <w:pPr>
              <w:pStyle w:val="TableParagraph"/>
              <w:spacing w:line="249" w:lineRule="auto" w:before="8"/>
              <w:ind w:left="102" w:right="102"/>
              <w:jc w:val="both"/>
              <w:rPr>
                <w:sz w:val="18"/>
              </w:rPr>
            </w:pPr>
            <w:r>
              <w:rPr>
                <w:sz w:val="18"/>
              </w:rPr>
              <w:t>Evaluación conti- nua de la coordina- ción intersectorial en la ejecución de los recursos PEF.</w:t>
            </w:r>
          </w:p>
        </w:tc>
        <w:tc>
          <w:tcPr>
            <w:tcW w:w="1610" w:type="dxa"/>
            <w:shd w:val="clear" w:color="auto" w:fill="D1D3D4"/>
          </w:tcPr>
          <w:p>
            <w:pPr>
              <w:pStyle w:val="TableParagraph"/>
              <w:spacing w:line="249" w:lineRule="auto" w:before="8"/>
              <w:ind w:left="102" w:right="101"/>
              <w:jc w:val="both"/>
              <w:rPr>
                <w:sz w:val="18"/>
              </w:rPr>
            </w:pPr>
            <w:r>
              <w:rPr>
                <w:sz w:val="18"/>
              </w:rPr>
              <w:t>Ejercicio anual de los recursos PEF al 75%.</w:t>
            </w:r>
          </w:p>
        </w:tc>
      </w:tr>
      <w:tr>
        <w:trPr>
          <w:trHeight w:val="1967" w:hRule="exact"/>
        </w:trPr>
        <w:tc>
          <w:tcPr>
            <w:tcW w:w="482" w:type="dxa"/>
          </w:tcPr>
          <w:p>
            <w:pPr>
              <w:pStyle w:val="TableParagraph"/>
              <w:spacing w:before="6"/>
              <w:ind w:left="102"/>
              <w:rPr>
                <w:b/>
                <w:sz w:val="18"/>
              </w:rPr>
            </w:pPr>
            <w:r>
              <w:rPr>
                <w:b/>
                <w:sz w:val="18"/>
              </w:rPr>
              <w:t>2</w:t>
            </w:r>
          </w:p>
        </w:tc>
        <w:tc>
          <w:tcPr>
            <w:tcW w:w="1786" w:type="dxa"/>
          </w:tcPr>
          <w:p>
            <w:pPr>
              <w:pStyle w:val="TableParagraph"/>
              <w:spacing w:line="249" w:lineRule="auto" w:before="8"/>
              <w:ind w:left="102" w:right="100"/>
              <w:jc w:val="both"/>
              <w:rPr>
                <w:sz w:val="18"/>
              </w:rPr>
            </w:pPr>
            <w:r>
              <w:rPr>
                <w:sz w:val="18"/>
              </w:rPr>
              <w:t>La  gestión   estatal de recursos PEF no cuenta con una coor- dinación intersecto- rial  para  el  trámite  y presenta una eje- cución de acciones centralizada en una dependencia.</w:t>
            </w:r>
          </w:p>
        </w:tc>
        <w:tc>
          <w:tcPr>
            <w:tcW w:w="1559" w:type="dxa"/>
          </w:tcPr>
          <w:p>
            <w:pPr>
              <w:pStyle w:val="TableParagraph"/>
              <w:spacing w:line="249" w:lineRule="auto" w:before="8"/>
              <w:ind w:left="102" w:right="100"/>
              <w:jc w:val="both"/>
              <w:rPr>
                <w:sz w:val="18"/>
              </w:rPr>
            </w:pPr>
            <w:r>
              <w:rPr>
                <w:sz w:val="18"/>
              </w:rPr>
              <w:t>Celebración de dos convenios sectoriales para la </w:t>
            </w:r>
            <w:r>
              <w:rPr>
                <w:spacing w:val="4"/>
                <w:sz w:val="18"/>
              </w:rPr>
              <w:t>descentralización </w:t>
            </w:r>
            <w:r>
              <w:rPr>
                <w:sz w:val="18"/>
              </w:rPr>
              <w:t>de recursos</w:t>
            </w:r>
            <w:r>
              <w:rPr>
                <w:spacing w:val="3"/>
                <w:sz w:val="18"/>
              </w:rPr>
              <w:t> </w:t>
            </w:r>
            <w:r>
              <w:rPr>
                <w:spacing w:val="-5"/>
                <w:sz w:val="18"/>
              </w:rPr>
              <w:t>PEF.</w:t>
            </w:r>
          </w:p>
        </w:tc>
        <w:tc>
          <w:tcPr>
            <w:tcW w:w="1650" w:type="dxa"/>
          </w:tcPr>
          <w:p>
            <w:pPr>
              <w:pStyle w:val="TableParagraph"/>
              <w:spacing w:line="249" w:lineRule="auto" w:before="8"/>
              <w:ind w:left="102" w:right="101"/>
              <w:jc w:val="both"/>
              <w:rPr>
                <w:sz w:val="18"/>
              </w:rPr>
            </w:pPr>
            <w:r>
              <w:rPr>
                <w:sz w:val="18"/>
              </w:rPr>
              <w:t>Evaluación conti- nua de la ejecución centralizada de los recursos PEF.</w:t>
            </w:r>
          </w:p>
        </w:tc>
        <w:tc>
          <w:tcPr>
            <w:tcW w:w="1610" w:type="dxa"/>
          </w:tcPr>
          <w:p>
            <w:pPr>
              <w:pStyle w:val="TableParagraph"/>
              <w:spacing w:line="249" w:lineRule="auto" w:before="8"/>
              <w:ind w:left="102" w:right="101"/>
              <w:jc w:val="both"/>
              <w:rPr>
                <w:sz w:val="18"/>
              </w:rPr>
            </w:pPr>
            <w:r>
              <w:rPr>
                <w:sz w:val="18"/>
              </w:rPr>
              <w:t>Ejercicio anual de los recursos PEF al 50%.</w:t>
            </w:r>
          </w:p>
        </w:tc>
      </w:tr>
      <w:tr>
        <w:trPr>
          <w:trHeight w:val="1751" w:hRule="exact"/>
        </w:trPr>
        <w:tc>
          <w:tcPr>
            <w:tcW w:w="482" w:type="dxa"/>
            <w:shd w:val="clear" w:color="auto" w:fill="D1D3D4"/>
          </w:tcPr>
          <w:p>
            <w:pPr>
              <w:pStyle w:val="TableParagraph"/>
              <w:spacing w:before="6"/>
              <w:ind w:left="102"/>
              <w:rPr>
                <w:b/>
                <w:sz w:val="18"/>
              </w:rPr>
            </w:pPr>
            <w:r>
              <w:rPr>
                <w:b/>
                <w:sz w:val="18"/>
              </w:rPr>
              <w:t>1</w:t>
            </w:r>
          </w:p>
        </w:tc>
        <w:tc>
          <w:tcPr>
            <w:tcW w:w="1786" w:type="dxa"/>
            <w:shd w:val="clear" w:color="auto" w:fill="D1D3D4"/>
          </w:tcPr>
          <w:p>
            <w:pPr>
              <w:pStyle w:val="TableParagraph"/>
              <w:spacing w:line="249" w:lineRule="auto"/>
              <w:ind w:left="102" w:right="101"/>
              <w:jc w:val="both"/>
              <w:rPr>
                <w:sz w:val="18"/>
              </w:rPr>
            </w:pPr>
            <w:r>
              <w:rPr>
                <w:sz w:val="18"/>
              </w:rPr>
              <w:t>La  gestión   estatal de recursos PEF no cuenta con una coor- dinación intersecto- rial para el trámite y presenta precariedad en la ejecución de los recursos.</w:t>
            </w:r>
          </w:p>
        </w:tc>
        <w:tc>
          <w:tcPr>
            <w:tcW w:w="1559" w:type="dxa"/>
            <w:shd w:val="clear" w:color="auto" w:fill="D1D3D4"/>
          </w:tcPr>
          <w:p>
            <w:pPr>
              <w:pStyle w:val="TableParagraph"/>
              <w:spacing w:line="249" w:lineRule="auto"/>
              <w:ind w:left="102" w:right="101"/>
              <w:jc w:val="both"/>
              <w:rPr>
                <w:sz w:val="18"/>
              </w:rPr>
            </w:pPr>
            <w:r>
              <w:rPr>
                <w:sz w:val="18"/>
              </w:rPr>
              <w:t>Celebración de un convenio sectorial para la descentra- lización de recur- sos PEF.</w:t>
            </w:r>
          </w:p>
        </w:tc>
        <w:tc>
          <w:tcPr>
            <w:tcW w:w="1650" w:type="dxa"/>
            <w:shd w:val="clear" w:color="auto" w:fill="D1D3D4"/>
          </w:tcPr>
          <w:p>
            <w:pPr>
              <w:pStyle w:val="TableParagraph"/>
              <w:spacing w:line="249" w:lineRule="auto"/>
              <w:ind w:left="102" w:right="101"/>
              <w:jc w:val="both"/>
              <w:rPr>
                <w:sz w:val="18"/>
              </w:rPr>
            </w:pPr>
            <w:r>
              <w:rPr>
                <w:sz w:val="18"/>
              </w:rPr>
              <w:t>Evaluación conti- nua del avance fí- sico de los recursos PEF.</w:t>
            </w:r>
          </w:p>
        </w:tc>
        <w:tc>
          <w:tcPr>
            <w:tcW w:w="1610" w:type="dxa"/>
            <w:shd w:val="clear" w:color="auto" w:fill="D1D3D4"/>
          </w:tcPr>
          <w:p>
            <w:pPr>
              <w:pStyle w:val="TableParagraph"/>
              <w:spacing w:line="249" w:lineRule="auto"/>
              <w:ind w:left="102" w:right="101"/>
              <w:jc w:val="both"/>
              <w:rPr>
                <w:sz w:val="18"/>
              </w:rPr>
            </w:pPr>
            <w:r>
              <w:rPr>
                <w:sz w:val="18"/>
              </w:rPr>
              <w:t>Ejercicio anual de los recursos PEF al 25%.</w:t>
            </w:r>
          </w:p>
        </w:tc>
      </w:tr>
      <w:tr>
        <w:trPr>
          <w:trHeight w:val="1103" w:hRule="exact"/>
        </w:trPr>
        <w:tc>
          <w:tcPr>
            <w:tcW w:w="482" w:type="dxa"/>
          </w:tcPr>
          <w:p>
            <w:pPr>
              <w:pStyle w:val="TableParagraph"/>
              <w:spacing w:before="6"/>
              <w:ind w:left="102"/>
              <w:rPr>
                <w:b/>
                <w:sz w:val="18"/>
              </w:rPr>
            </w:pPr>
            <w:r>
              <w:rPr>
                <w:b/>
                <w:sz w:val="18"/>
              </w:rPr>
              <w:t>0</w:t>
            </w:r>
          </w:p>
        </w:tc>
        <w:tc>
          <w:tcPr>
            <w:tcW w:w="1786" w:type="dxa"/>
          </w:tcPr>
          <w:p>
            <w:pPr>
              <w:pStyle w:val="TableParagraph"/>
              <w:spacing w:line="249" w:lineRule="auto"/>
              <w:ind w:left="102" w:right="101"/>
              <w:jc w:val="both"/>
              <w:rPr>
                <w:sz w:val="18"/>
              </w:rPr>
            </w:pPr>
            <w:r>
              <w:rPr>
                <w:sz w:val="18"/>
              </w:rPr>
              <w:t>Las acciones</w:t>
            </w:r>
            <w:r>
              <w:rPr>
                <w:spacing w:val="-11"/>
                <w:sz w:val="18"/>
              </w:rPr>
              <w:t> </w:t>
            </w:r>
            <w:r>
              <w:rPr>
                <w:sz w:val="18"/>
              </w:rPr>
              <w:t>distribu- tivas estatales no son coordinadas.</w:t>
            </w:r>
          </w:p>
        </w:tc>
        <w:tc>
          <w:tcPr>
            <w:tcW w:w="1559" w:type="dxa"/>
          </w:tcPr>
          <w:p>
            <w:pPr>
              <w:pStyle w:val="TableParagraph"/>
              <w:spacing w:line="249" w:lineRule="auto"/>
              <w:ind w:left="102" w:right="101"/>
              <w:jc w:val="both"/>
              <w:rPr>
                <w:sz w:val="18"/>
              </w:rPr>
            </w:pPr>
            <w:r>
              <w:rPr>
                <w:sz w:val="18"/>
              </w:rPr>
              <w:t>Celebración de ningún convenio sectorial para la descentralización de recursos PEF.</w:t>
            </w:r>
          </w:p>
        </w:tc>
        <w:tc>
          <w:tcPr>
            <w:tcW w:w="1650" w:type="dxa"/>
          </w:tcPr>
          <w:p>
            <w:pPr>
              <w:pStyle w:val="TableParagraph"/>
              <w:spacing w:line="249" w:lineRule="auto"/>
              <w:ind w:left="102" w:right="101"/>
              <w:jc w:val="both"/>
              <w:rPr>
                <w:sz w:val="18"/>
              </w:rPr>
            </w:pPr>
            <w:r>
              <w:rPr>
                <w:sz w:val="18"/>
              </w:rPr>
              <w:t>La evaluación no es factor para la depu- ración de las políti- cas distributivas.</w:t>
            </w:r>
          </w:p>
        </w:tc>
        <w:tc>
          <w:tcPr>
            <w:tcW w:w="1610" w:type="dxa"/>
          </w:tcPr>
          <w:p>
            <w:pPr>
              <w:pStyle w:val="TableParagraph"/>
              <w:spacing w:line="249" w:lineRule="auto"/>
              <w:ind w:left="102" w:right="101"/>
              <w:jc w:val="both"/>
              <w:rPr>
                <w:sz w:val="18"/>
              </w:rPr>
            </w:pPr>
            <w:r>
              <w:rPr>
                <w:sz w:val="18"/>
              </w:rPr>
              <w:t>Ejercicio anual de los  recursos  PEF al 0%.</w:t>
            </w:r>
          </w:p>
        </w:tc>
      </w:tr>
    </w:tbl>
    <w:p>
      <w:pPr>
        <w:pStyle w:val="BodyText"/>
        <w:spacing w:before="5"/>
        <w:rPr>
          <w:b/>
          <w:i/>
          <w:sz w:val="13"/>
        </w:rPr>
      </w:pPr>
    </w:p>
    <w:p>
      <w:pPr>
        <w:pStyle w:val="BodyText"/>
        <w:spacing w:line="235" w:lineRule="auto" w:before="75"/>
        <w:ind w:left="117" w:right="128"/>
        <w:jc w:val="both"/>
      </w:pPr>
      <w:r>
        <w:rPr/>
        <w:t>La escala anterior fue aplicada en el estudio que evaluó el desempeño de seis gobiernos estatales en función de sus políticas distributivas (Aguascalientes, Baja California, Guanajuato, Jalisco, Morelos y Querétaro), el promedio general</w:t>
      </w:r>
      <w:r>
        <w:rPr>
          <w:spacing w:val="-15"/>
        </w:rPr>
        <w:t> </w:t>
      </w:r>
      <w:r>
        <w:rPr/>
        <w:t>fue</w:t>
      </w:r>
      <w:r>
        <w:rPr>
          <w:spacing w:val="-15"/>
        </w:rPr>
        <w:t> </w:t>
      </w:r>
      <w:r>
        <w:rPr/>
        <w:t>de</w:t>
      </w:r>
      <w:r>
        <w:rPr>
          <w:spacing w:val="-15"/>
        </w:rPr>
        <w:t> </w:t>
      </w:r>
      <w:r>
        <w:rPr/>
        <w:t>3.08</w:t>
      </w:r>
      <w:r>
        <w:rPr>
          <w:spacing w:val="-15"/>
        </w:rPr>
        <w:t> </w:t>
      </w:r>
      <w:r>
        <w:rPr/>
        <w:t>y</w:t>
      </w:r>
      <w:r>
        <w:rPr>
          <w:spacing w:val="-15"/>
        </w:rPr>
        <w:t> </w:t>
      </w:r>
      <w:r>
        <w:rPr/>
        <w:t>las</w:t>
      </w:r>
      <w:r>
        <w:rPr>
          <w:spacing w:val="-15"/>
        </w:rPr>
        <w:t> </w:t>
      </w:r>
      <w:r>
        <w:rPr/>
        <w:t>capacidades</w:t>
      </w:r>
      <w:r>
        <w:rPr>
          <w:spacing w:val="-16"/>
        </w:rPr>
        <w:t> </w:t>
      </w:r>
      <w:r>
        <w:rPr/>
        <w:t>encontradas</w:t>
      </w:r>
      <w:r>
        <w:rPr>
          <w:spacing w:val="-16"/>
        </w:rPr>
        <w:t> </w:t>
      </w:r>
      <w:r>
        <w:rPr/>
        <w:t>fueron</w:t>
      </w:r>
      <w:r>
        <w:rPr>
          <w:spacing w:val="-15"/>
        </w:rPr>
        <w:t> </w:t>
      </w:r>
      <w:r>
        <w:rPr/>
        <w:t>del</w:t>
      </w:r>
      <w:r>
        <w:rPr>
          <w:spacing w:val="-15"/>
        </w:rPr>
        <w:t> </w:t>
      </w:r>
      <w:r>
        <w:rPr/>
        <w:t>siguiente</w:t>
      </w:r>
      <w:r>
        <w:rPr>
          <w:spacing w:val="-15"/>
        </w:rPr>
        <w:t> </w:t>
      </w:r>
      <w:r>
        <w:rPr/>
        <w:t>orden</w:t>
      </w:r>
      <w:r>
        <w:rPr>
          <w:position w:val="8"/>
          <w:sz w:val="13"/>
        </w:rPr>
        <w:t>71</w:t>
      </w:r>
      <w:r>
        <w:rPr/>
        <w:t>:</w:t>
      </w:r>
    </w:p>
    <w:p>
      <w:pPr>
        <w:pStyle w:val="BodyText"/>
        <w:spacing w:before="10"/>
        <w:rPr>
          <w:sz w:val="22"/>
        </w:rPr>
      </w:pPr>
    </w:p>
    <w:p>
      <w:pPr>
        <w:pStyle w:val="ListParagraph"/>
        <w:numPr>
          <w:ilvl w:val="2"/>
          <w:numId w:val="6"/>
        </w:numPr>
        <w:tabs>
          <w:tab w:pos="685" w:val="left" w:leader="none"/>
        </w:tabs>
        <w:spacing w:line="260" w:lineRule="exact" w:before="0" w:after="0"/>
        <w:ind w:left="684" w:right="128" w:hanging="284"/>
        <w:jc w:val="both"/>
        <w:rPr>
          <w:sz w:val="23"/>
        </w:rPr>
      </w:pPr>
      <w:r>
        <w:rPr/>
        <w:pict>
          <v:line style="position:absolute;mso-position-horizontal-relative:page;mso-position-vertical-relative:paragraph;z-index:2344;mso-wrap-distance-left:0;mso-wrap-distance-right:0" from="70.866096pt,70.973801pt" to="142.866096pt,70.973801pt" stroked="true" strokeweight="1pt" strokecolor="#000000">
            <w10:wrap type="topAndBottom"/>
          </v:line>
        </w:pict>
      </w:r>
      <w:r>
        <w:rPr>
          <w:sz w:val="23"/>
        </w:rPr>
        <w:t>Según la </w:t>
      </w:r>
      <w:r>
        <w:rPr>
          <w:i/>
          <w:sz w:val="23"/>
        </w:rPr>
        <w:t>capacidad intergubernamental  de  asociación  estratégica. </w:t>
      </w:r>
      <w:r>
        <w:rPr>
          <w:sz w:val="23"/>
        </w:rPr>
        <w:t>El enfoque subsidiario impulsa el reforzamiento preferentemente de   la organización estratégico-distributiva que establezcan los estados, promoviendo así su autonomía en la construcción del bien común regional.  No  obstante,  se  encontró  que  cuatro  de  seis  estados</w:t>
      </w:r>
      <w:r>
        <w:rPr>
          <w:spacing w:val="25"/>
          <w:sz w:val="23"/>
        </w:rPr>
        <w:t> </w:t>
      </w:r>
      <w:r>
        <w:rPr>
          <w:sz w:val="23"/>
        </w:rPr>
        <w:t>que</w:t>
      </w:r>
    </w:p>
    <w:p>
      <w:pPr>
        <w:spacing w:line="249" w:lineRule="auto" w:before="28"/>
        <w:ind w:left="344" w:right="0" w:hanging="227"/>
        <w:jc w:val="left"/>
        <w:rPr>
          <w:sz w:val="18"/>
        </w:rPr>
      </w:pPr>
      <w:r>
        <w:rPr>
          <w:position w:val="7"/>
          <w:sz w:val="11"/>
        </w:rPr>
        <w:t>71 </w:t>
      </w:r>
      <w:r>
        <w:rPr>
          <w:sz w:val="18"/>
        </w:rPr>
        <w:t>Los resultados de la investigación anterior pueden consultarse en: Mendoza Ruiz, Joel; </w:t>
      </w:r>
      <w:r>
        <w:rPr>
          <w:i/>
          <w:sz w:val="18"/>
        </w:rPr>
        <w:t>Op. Cit.</w:t>
      </w:r>
      <w:r>
        <w:rPr>
          <w:sz w:val="18"/>
        </w:rPr>
        <w:t>, pp. 140-141.</w:t>
      </w:r>
    </w:p>
    <w:p>
      <w:pPr>
        <w:spacing w:after="0" w:line="249" w:lineRule="auto"/>
        <w:jc w:val="left"/>
        <w:rPr>
          <w:sz w:val="18"/>
        </w:rPr>
        <w:sectPr>
          <w:pgSz w:w="9360" w:h="13040"/>
          <w:pgMar w:header="547" w:footer="514" w:top="940" w:bottom="700" w:left="1300" w:right="720"/>
        </w:sectPr>
      </w:pPr>
    </w:p>
    <w:p>
      <w:pPr>
        <w:pStyle w:val="BodyText"/>
        <w:rPr>
          <w:sz w:val="20"/>
        </w:rPr>
      </w:pPr>
    </w:p>
    <w:p>
      <w:pPr>
        <w:pStyle w:val="BodyText"/>
        <w:spacing w:before="1"/>
        <w:rPr>
          <w:sz w:val="29"/>
        </w:rPr>
      </w:pPr>
    </w:p>
    <w:p>
      <w:pPr>
        <w:pStyle w:val="BodyText"/>
        <w:spacing w:line="260" w:lineRule="exact" w:before="77"/>
        <w:ind w:left="677" w:right="114"/>
        <w:jc w:val="both"/>
      </w:pPr>
      <w:r>
        <w:rPr/>
        <w:t>integran la muestra presentaban exclusivamente la reasignación de gasto sectorial federal, careciendo así de una organización de mayor trascendencia para coordinar el desarrollo regional. Los dos estados restantes,</w:t>
      </w:r>
      <w:r>
        <w:rPr>
          <w:spacing w:val="-27"/>
        </w:rPr>
        <w:t> </w:t>
      </w:r>
      <w:r>
        <w:rPr/>
        <w:t>Baja</w:t>
      </w:r>
      <w:r>
        <w:rPr>
          <w:spacing w:val="-27"/>
        </w:rPr>
        <w:t> </w:t>
      </w:r>
      <w:r>
        <w:rPr/>
        <w:t>California</w:t>
      </w:r>
      <w:r>
        <w:rPr>
          <w:spacing w:val="-27"/>
        </w:rPr>
        <w:t> </w:t>
      </w:r>
      <w:r>
        <w:rPr/>
        <w:t>y</w:t>
      </w:r>
      <w:r>
        <w:rPr>
          <w:spacing w:val="-27"/>
        </w:rPr>
        <w:t> </w:t>
      </w:r>
      <w:r>
        <w:rPr/>
        <w:t>Guanajuato,</w:t>
      </w:r>
      <w:r>
        <w:rPr>
          <w:spacing w:val="-27"/>
        </w:rPr>
        <w:t> </w:t>
      </w:r>
      <w:r>
        <w:rPr/>
        <w:t>han</w:t>
      </w:r>
      <w:r>
        <w:rPr>
          <w:spacing w:val="-27"/>
        </w:rPr>
        <w:t> </w:t>
      </w:r>
      <w:r>
        <w:rPr/>
        <w:t>implementado</w:t>
      </w:r>
      <w:r>
        <w:rPr>
          <w:spacing w:val="-28"/>
        </w:rPr>
        <w:t> </w:t>
      </w:r>
      <w:r>
        <w:rPr/>
        <w:t>por</w:t>
      </w:r>
      <w:r>
        <w:rPr>
          <w:spacing w:val="-27"/>
        </w:rPr>
        <w:t> </w:t>
      </w:r>
      <w:r>
        <w:rPr/>
        <w:t>iniciativa propia</w:t>
      </w:r>
      <w:r>
        <w:rPr>
          <w:spacing w:val="-10"/>
        </w:rPr>
        <w:t> </w:t>
      </w:r>
      <w:r>
        <w:rPr/>
        <w:t>y</w:t>
      </w:r>
      <w:r>
        <w:rPr>
          <w:spacing w:val="-10"/>
        </w:rPr>
        <w:t> </w:t>
      </w:r>
      <w:r>
        <w:rPr/>
        <w:t>en</w:t>
      </w:r>
      <w:r>
        <w:rPr>
          <w:spacing w:val="-10"/>
        </w:rPr>
        <w:t> </w:t>
      </w:r>
      <w:r>
        <w:rPr/>
        <w:t>forma</w:t>
      </w:r>
      <w:r>
        <w:rPr>
          <w:spacing w:val="-10"/>
        </w:rPr>
        <w:t> </w:t>
      </w:r>
      <w:r>
        <w:rPr/>
        <w:t>adicional</w:t>
      </w:r>
      <w:r>
        <w:rPr>
          <w:spacing w:val="-11"/>
        </w:rPr>
        <w:t> </w:t>
      </w:r>
      <w:r>
        <w:rPr/>
        <w:t>a</w:t>
      </w:r>
      <w:r>
        <w:rPr>
          <w:spacing w:val="-10"/>
        </w:rPr>
        <w:t> </w:t>
      </w:r>
      <w:r>
        <w:rPr/>
        <w:t>la</w:t>
      </w:r>
      <w:r>
        <w:rPr>
          <w:spacing w:val="-10"/>
        </w:rPr>
        <w:t> </w:t>
      </w:r>
      <w:r>
        <w:rPr/>
        <w:t>reasignación</w:t>
      </w:r>
      <w:r>
        <w:rPr>
          <w:spacing w:val="-10"/>
        </w:rPr>
        <w:t> </w:t>
      </w:r>
      <w:r>
        <w:rPr/>
        <w:t>del</w:t>
      </w:r>
      <w:r>
        <w:rPr>
          <w:spacing w:val="-10"/>
        </w:rPr>
        <w:t> </w:t>
      </w:r>
      <w:r>
        <w:rPr/>
        <w:t>gasto</w:t>
      </w:r>
      <w:r>
        <w:rPr>
          <w:spacing w:val="-10"/>
        </w:rPr>
        <w:t> </w:t>
      </w:r>
      <w:r>
        <w:rPr/>
        <w:t>sectorial</w:t>
      </w:r>
      <w:r>
        <w:rPr>
          <w:spacing w:val="-10"/>
        </w:rPr>
        <w:t> </w:t>
      </w:r>
      <w:r>
        <w:rPr/>
        <w:t>federal, proyectos de desarrollo regional que han orientado la intervención    del gobierno federal, la planeación urbana de los ayuntamientos y la inversión</w:t>
      </w:r>
      <w:r>
        <w:rPr>
          <w:spacing w:val="-6"/>
        </w:rPr>
        <w:t> </w:t>
      </w:r>
      <w:r>
        <w:rPr/>
        <w:t>privada.</w:t>
      </w:r>
      <w:r>
        <w:rPr>
          <w:spacing w:val="-6"/>
        </w:rPr>
        <w:t> </w:t>
      </w:r>
      <w:r>
        <w:rPr/>
        <w:t>El</w:t>
      </w:r>
      <w:r>
        <w:rPr>
          <w:spacing w:val="-6"/>
        </w:rPr>
        <w:t> </w:t>
      </w:r>
      <w:r>
        <w:rPr/>
        <w:t>proyecto</w:t>
      </w:r>
      <w:r>
        <w:rPr>
          <w:spacing w:val="-6"/>
        </w:rPr>
        <w:t> </w:t>
      </w:r>
      <w:r>
        <w:rPr>
          <w:i/>
        </w:rPr>
        <w:t>Guanajuato</w:t>
      </w:r>
      <w:r>
        <w:rPr>
          <w:i/>
          <w:spacing w:val="-5"/>
        </w:rPr>
        <w:t> </w:t>
      </w:r>
      <w:r>
        <w:rPr>
          <w:i/>
        </w:rPr>
        <w:t>puerto</w:t>
      </w:r>
      <w:r>
        <w:rPr>
          <w:i/>
          <w:spacing w:val="-6"/>
        </w:rPr>
        <w:t> </w:t>
      </w:r>
      <w:r>
        <w:rPr>
          <w:i/>
        </w:rPr>
        <w:t>interior</w:t>
      </w:r>
      <w:r>
        <w:rPr>
          <w:i/>
          <w:spacing w:val="-6"/>
        </w:rPr>
        <w:t> </w:t>
      </w:r>
      <w:r>
        <w:rPr/>
        <w:t>(puerto</w:t>
      </w:r>
      <w:r>
        <w:rPr>
          <w:spacing w:val="-6"/>
        </w:rPr>
        <w:t> </w:t>
      </w:r>
      <w:r>
        <w:rPr/>
        <w:t>seco logístico) es el que más se distingue hasta el momento por ser el más desarrollado</w:t>
      </w:r>
      <w:r>
        <w:rPr>
          <w:spacing w:val="-6"/>
        </w:rPr>
        <w:t> </w:t>
      </w:r>
      <w:r>
        <w:rPr/>
        <w:t>y</w:t>
      </w:r>
      <w:r>
        <w:rPr>
          <w:spacing w:val="-6"/>
        </w:rPr>
        <w:t> </w:t>
      </w:r>
      <w:r>
        <w:rPr/>
        <w:t>el</w:t>
      </w:r>
      <w:r>
        <w:rPr>
          <w:spacing w:val="-6"/>
        </w:rPr>
        <w:t> </w:t>
      </w:r>
      <w:r>
        <w:rPr/>
        <w:t>que</w:t>
      </w:r>
      <w:r>
        <w:rPr>
          <w:spacing w:val="-6"/>
        </w:rPr>
        <w:t> </w:t>
      </w:r>
      <w:r>
        <w:rPr/>
        <w:t>involucra</w:t>
      </w:r>
      <w:r>
        <w:rPr>
          <w:spacing w:val="-6"/>
        </w:rPr>
        <w:t> </w:t>
      </w:r>
      <w:r>
        <w:rPr/>
        <w:t>la</w:t>
      </w:r>
      <w:r>
        <w:rPr>
          <w:spacing w:val="-6"/>
        </w:rPr>
        <w:t> </w:t>
      </w:r>
      <w:r>
        <w:rPr/>
        <w:t>coordinación</w:t>
      </w:r>
      <w:r>
        <w:rPr>
          <w:spacing w:val="-7"/>
        </w:rPr>
        <w:t> </w:t>
      </w:r>
      <w:r>
        <w:rPr/>
        <w:t>de</w:t>
      </w:r>
      <w:r>
        <w:rPr>
          <w:spacing w:val="-6"/>
        </w:rPr>
        <w:t> </w:t>
      </w:r>
      <w:r>
        <w:rPr/>
        <w:t>un</w:t>
      </w:r>
      <w:r>
        <w:rPr>
          <w:spacing w:val="-6"/>
        </w:rPr>
        <w:t> </w:t>
      </w:r>
      <w:r>
        <w:rPr/>
        <w:t>mayor</w:t>
      </w:r>
      <w:r>
        <w:rPr>
          <w:spacing w:val="-7"/>
        </w:rPr>
        <w:t> </w:t>
      </w:r>
      <w:r>
        <w:rPr/>
        <w:t>número</w:t>
      </w:r>
      <w:r>
        <w:rPr>
          <w:spacing w:val="-6"/>
        </w:rPr>
        <w:t> </w:t>
      </w:r>
      <w:r>
        <w:rPr/>
        <w:t>de entidades públicas y</w:t>
      </w:r>
      <w:r>
        <w:rPr>
          <w:spacing w:val="-1"/>
        </w:rPr>
        <w:t> </w:t>
      </w:r>
      <w:r>
        <w:rPr/>
        <w:t>privadas.</w:t>
      </w:r>
    </w:p>
    <w:p>
      <w:pPr>
        <w:pStyle w:val="BodyText"/>
        <w:spacing w:before="7"/>
        <w:rPr>
          <w:sz w:val="22"/>
        </w:rPr>
      </w:pPr>
    </w:p>
    <w:p>
      <w:pPr>
        <w:pStyle w:val="ListParagraph"/>
        <w:numPr>
          <w:ilvl w:val="2"/>
          <w:numId w:val="6"/>
        </w:numPr>
        <w:tabs>
          <w:tab w:pos="678" w:val="left" w:leader="none"/>
        </w:tabs>
        <w:spacing w:line="260" w:lineRule="exact" w:before="0" w:after="0"/>
        <w:ind w:left="677" w:right="114" w:hanging="284"/>
        <w:jc w:val="both"/>
        <w:rPr>
          <w:sz w:val="23"/>
        </w:rPr>
      </w:pPr>
      <w:r>
        <w:rPr>
          <w:sz w:val="23"/>
        </w:rPr>
        <w:t>Por la </w:t>
      </w:r>
      <w:r>
        <w:rPr>
          <w:i/>
          <w:sz w:val="23"/>
        </w:rPr>
        <w:t>restricción competencial de las formaciones sociales más </w:t>
      </w:r>
      <w:r>
        <w:rPr>
          <w:i/>
          <w:sz w:val="23"/>
        </w:rPr>
        <w:t>complejas</w:t>
      </w:r>
      <w:r>
        <w:rPr>
          <w:sz w:val="23"/>
        </w:rPr>
        <w:t>.  La  esencia  subsidiaria  también  consiste  en  evitar  en   lo razonable que el orden federal, como instancia superior, asuma directamente el diseño e implementación de políticas distributivas, debiéndose limitar a las intervenciones que soliciten los gobiernos estatales. En relación a lo anterior, los cuatro estados que presentaron exclusivamente</w:t>
      </w:r>
      <w:r>
        <w:rPr>
          <w:spacing w:val="-23"/>
          <w:sz w:val="23"/>
        </w:rPr>
        <w:t> </w:t>
      </w:r>
      <w:r>
        <w:rPr>
          <w:sz w:val="23"/>
        </w:rPr>
        <w:t>el</w:t>
      </w:r>
      <w:r>
        <w:rPr>
          <w:spacing w:val="-22"/>
          <w:sz w:val="23"/>
        </w:rPr>
        <w:t> </w:t>
      </w:r>
      <w:r>
        <w:rPr>
          <w:sz w:val="23"/>
        </w:rPr>
        <w:t>ejercicio</w:t>
      </w:r>
      <w:r>
        <w:rPr>
          <w:spacing w:val="-22"/>
          <w:sz w:val="23"/>
        </w:rPr>
        <w:t> </w:t>
      </w:r>
      <w:r>
        <w:rPr>
          <w:sz w:val="23"/>
        </w:rPr>
        <w:t>de</w:t>
      </w:r>
      <w:r>
        <w:rPr>
          <w:spacing w:val="-22"/>
          <w:sz w:val="23"/>
        </w:rPr>
        <w:t> </w:t>
      </w:r>
      <w:r>
        <w:rPr>
          <w:sz w:val="23"/>
        </w:rPr>
        <w:t>gasto</w:t>
      </w:r>
      <w:r>
        <w:rPr>
          <w:spacing w:val="-22"/>
          <w:sz w:val="23"/>
        </w:rPr>
        <w:t> </w:t>
      </w:r>
      <w:r>
        <w:rPr>
          <w:sz w:val="23"/>
        </w:rPr>
        <w:t>sectorial</w:t>
      </w:r>
      <w:r>
        <w:rPr>
          <w:spacing w:val="-21"/>
          <w:sz w:val="23"/>
        </w:rPr>
        <w:t> </w:t>
      </w:r>
      <w:r>
        <w:rPr>
          <w:sz w:val="23"/>
        </w:rPr>
        <w:t>reasignado</w:t>
      </w:r>
      <w:r>
        <w:rPr>
          <w:spacing w:val="-22"/>
          <w:sz w:val="23"/>
        </w:rPr>
        <w:t> </w:t>
      </w:r>
      <w:r>
        <w:rPr>
          <w:sz w:val="23"/>
        </w:rPr>
        <w:t>suscribieron</w:t>
      </w:r>
      <w:r>
        <w:rPr>
          <w:spacing w:val="-21"/>
          <w:sz w:val="23"/>
        </w:rPr>
        <w:t> </w:t>
      </w:r>
      <w:r>
        <w:rPr>
          <w:sz w:val="23"/>
        </w:rPr>
        <w:t>en 2008</w:t>
      </w:r>
      <w:r>
        <w:rPr>
          <w:spacing w:val="-7"/>
          <w:sz w:val="23"/>
        </w:rPr>
        <w:t> </w:t>
      </w:r>
      <w:r>
        <w:rPr>
          <w:sz w:val="23"/>
        </w:rPr>
        <w:t>de</w:t>
      </w:r>
      <w:r>
        <w:rPr>
          <w:spacing w:val="-7"/>
          <w:sz w:val="23"/>
        </w:rPr>
        <w:t> </w:t>
      </w:r>
      <w:r>
        <w:rPr>
          <w:sz w:val="23"/>
        </w:rPr>
        <w:t>dos</w:t>
      </w:r>
      <w:r>
        <w:rPr>
          <w:spacing w:val="-7"/>
          <w:sz w:val="23"/>
        </w:rPr>
        <w:t> </w:t>
      </w:r>
      <w:r>
        <w:rPr>
          <w:sz w:val="23"/>
        </w:rPr>
        <w:t>a</w:t>
      </w:r>
      <w:r>
        <w:rPr>
          <w:spacing w:val="-7"/>
          <w:sz w:val="23"/>
        </w:rPr>
        <w:t> </w:t>
      </w:r>
      <w:r>
        <w:rPr>
          <w:sz w:val="23"/>
        </w:rPr>
        <w:t>tres</w:t>
      </w:r>
      <w:r>
        <w:rPr>
          <w:spacing w:val="-8"/>
          <w:sz w:val="23"/>
        </w:rPr>
        <w:t> </w:t>
      </w:r>
      <w:r>
        <w:rPr>
          <w:sz w:val="23"/>
        </w:rPr>
        <w:t>convenios</w:t>
      </w:r>
      <w:r>
        <w:rPr>
          <w:spacing w:val="-8"/>
          <w:sz w:val="23"/>
        </w:rPr>
        <w:t> </w:t>
      </w:r>
      <w:r>
        <w:rPr>
          <w:sz w:val="23"/>
        </w:rPr>
        <w:t>relativos,</w:t>
      </w:r>
      <w:r>
        <w:rPr>
          <w:spacing w:val="-8"/>
          <w:sz w:val="23"/>
        </w:rPr>
        <w:t> </w:t>
      </w:r>
      <w:r>
        <w:rPr>
          <w:sz w:val="23"/>
        </w:rPr>
        <w:t>denotando,</w:t>
      </w:r>
      <w:r>
        <w:rPr>
          <w:spacing w:val="-8"/>
          <w:sz w:val="23"/>
        </w:rPr>
        <w:t> </w:t>
      </w:r>
      <w:r>
        <w:rPr>
          <w:sz w:val="23"/>
        </w:rPr>
        <w:t>a</w:t>
      </w:r>
      <w:r>
        <w:rPr>
          <w:spacing w:val="-7"/>
          <w:sz w:val="23"/>
        </w:rPr>
        <w:t> </w:t>
      </w:r>
      <w:r>
        <w:rPr>
          <w:sz w:val="23"/>
        </w:rPr>
        <w:t>juicio</w:t>
      </w:r>
      <w:r>
        <w:rPr>
          <w:spacing w:val="-7"/>
          <w:sz w:val="23"/>
        </w:rPr>
        <w:t> </w:t>
      </w:r>
      <w:r>
        <w:rPr>
          <w:sz w:val="23"/>
        </w:rPr>
        <w:t>del</w:t>
      </w:r>
      <w:r>
        <w:rPr>
          <w:spacing w:val="-7"/>
          <w:sz w:val="23"/>
        </w:rPr>
        <w:t> </w:t>
      </w:r>
      <w:r>
        <w:rPr>
          <w:sz w:val="23"/>
        </w:rPr>
        <w:t>gobierno federal,</w:t>
      </w:r>
      <w:r>
        <w:rPr>
          <w:spacing w:val="-8"/>
          <w:sz w:val="23"/>
        </w:rPr>
        <w:t> </w:t>
      </w:r>
      <w:r>
        <w:rPr>
          <w:sz w:val="23"/>
        </w:rPr>
        <w:t>factibilidades</w:t>
      </w:r>
      <w:r>
        <w:rPr>
          <w:spacing w:val="-8"/>
          <w:sz w:val="23"/>
        </w:rPr>
        <w:t> </w:t>
      </w:r>
      <w:r>
        <w:rPr>
          <w:sz w:val="23"/>
        </w:rPr>
        <w:t>diversas</w:t>
      </w:r>
      <w:r>
        <w:rPr>
          <w:spacing w:val="-8"/>
          <w:sz w:val="23"/>
        </w:rPr>
        <w:t> </w:t>
      </w:r>
      <w:r>
        <w:rPr>
          <w:sz w:val="23"/>
        </w:rPr>
        <w:t>para</w:t>
      </w:r>
      <w:r>
        <w:rPr>
          <w:spacing w:val="-8"/>
          <w:sz w:val="23"/>
        </w:rPr>
        <w:t> </w:t>
      </w:r>
      <w:r>
        <w:rPr>
          <w:sz w:val="23"/>
        </w:rPr>
        <w:t>la</w:t>
      </w:r>
      <w:r>
        <w:rPr>
          <w:spacing w:val="-8"/>
          <w:sz w:val="23"/>
        </w:rPr>
        <w:t> </w:t>
      </w:r>
      <w:r>
        <w:rPr>
          <w:sz w:val="23"/>
        </w:rPr>
        <w:t>descentralización</w:t>
      </w:r>
      <w:r>
        <w:rPr>
          <w:spacing w:val="-8"/>
          <w:sz w:val="23"/>
        </w:rPr>
        <w:t> </w:t>
      </w:r>
      <w:r>
        <w:rPr>
          <w:sz w:val="23"/>
        </w:rPr>
        <w:t>de</w:t>
      </w:r>
      <w:r>
        <w:rPr>
          <w:spacing w:val="-8"/>
          <w:sz w:val="23"/>
        </w:rPr>
        <w:t> </w:t>
      </w:r>
      <w:r>
        <w:rPr>
          <w:sz w:val="23"/>
        </w:rPr>
        <w:t>ese</w:t>
      </w:r>
      <w:r>
        <w:rPr>
          <w:spacing w:val="-8"/>
          <w:sz w:val="23"/>
        </w:rPr>
        <w:t> </w:t>
      </w:r>
      <w:r>
        <w:rPr>
          <w:sz w:val="23"/>
        </w:rPr>
        <w:t>rubro</w:t>
      </w:r>
      <w:r>
        <w:rPr>
          <w:spacing w:val="-8"/>
          <w:sz w:val="23"/>
        </w:rPr>
        <w:t> </w:t>
      </w:r>
      <w:r>
        <w:rPr>
          <w:sz w:val="23"/>
        </w:rPr>
        <w:t>de gasto. Mientras que los dos estados que han implementado proyectos estratégicos propios, presentaron diferentes avances en la intervención de instancias públicas y privadas que habían sido capaces de convocar al momento de su</w:t>
      </w:r>
      <w:r>
        <w:rPr>
          <w:spacing w:val="-2"/>
          <w:sz w:val="23"/>
        </w:rPr>
        <w:t> </w:t>
      </w:r>
      <w:r>
        <w:rPr>
          <w:sz w:val="23"/>
        </w:rPr>
        <w:t>estudio.</w:t>
      </w:r>
    </w:p>
    <w:p>
      <w:pPr>
        <w:pStyle w:val="BodyText"/>
        <w:spacing w:before="7"/>
        <w:rPr>
          <w:sz w:val="22"/>
        </w:rPr>
      </w:pPr>
    </w:p>
    <w:p>
      <w:pPr>
        <w:pStyle w:val="ListParagraph"/>
        <w:numPr>
          <w:ilvl w:val="2"/>
          <w:numId w:val="6"/>
        </w:numPr>
        <w:tabs>
          <w:tab w:pos="678" w:val="left" w:leader="none"/>
        </w:tabs>
        <w:spacing w:line="260" w:lineRule="exact" w:before="0" w:after="0"/>
        <w:ind w:left="677" w:right="114" w:hanging="284"/>
        <w:jc w:val="both"/>
        <w:rPr>
          <w:sz w:val="23"/>
        </w:rPr>
      </w:pPr>
      <w:r>
        <w:rPr>
          <w:sz w:val="23"/>
        </w:rPr>
        <w:t>En atención a la </w:t>
      </w:r>
      <w:r>
        <w:rPr>
          <w:i/>
          <w:sz w:val="23"/>
        </w:rPr>
        <w:t>evaluación de las sociedades más simples para el </w:t>
      </w:r>
      <w:r>
        <w:rPr>
          <w:i/>
          <w:sz w:val="23"/>
        </w:rPr>
        <w:t>ejercicio subsidiario</w:t>
      </w:r>
      <w:r>
        <w:rPr>
          <w:sz w:val="23"/>
        </w:rPr>
        <w:t>. La perspectiva subsidiaria incluye valorar por  su naturaleza y circunstancias la eficiencia de los estados en cuanto     a la planeación, coordinación e instrumentación directa del desarrollo regional.</w:t>
      </w:r>
      <w:r>
        <w:rPr>
          <w:spacing w:val="-9"/>
          <w:sz w:val="23"/>
        </w:rPr>
        <w:t> </w:t>
      </w:r>
      <w:r>
        <w:rPr>
          <w:sz w:val="23"/>
        </w:rPr>
        <w:t>Sin</w:t>
      </w:r>
      <w:r>
        <w:rPr>
          <w:spacing w:val="-9"/>
          <w:sz w:val="23"/>
        </w:rPr>
        <w:t> </w:t>
      </w:r>
      <w:r>
        <w:rPr>
          <w:sz w:val="23"/>
        </w:rPr>
        <w:t>embargo,</w:t>
      </w:r>
      <w:r>
        <w:rPr>
          <w:spacing w:val="-9"/>
          <w:sz w:val="23"/>
        </w:rPr>
        <w:t> </w:t>
      </w:r>
      <w:r>
        <w:rPr>
          <w:sz w:val="23"/>
        </w:rPr>
        <w:t>no</w:t>
      </w:r>
      <w:r>
        <w:rPr>
          <w:spacing w:val="-9"/>
          <w:sz w:val="23"/>
        </w:rPr>
        <w:t> </w:t>
      </w:r>
      <w:r>
        <w:rPr>
          <w:sz w:val="23"/>
        </w:rPr>
        <w:t>se</w:t>
      </w:r>
      <w:r>
        <w:rPr>
          <w:spacing w:val="-9"/>
          <w:sz w:val="23"/>
        </w:rPr>
        <w:t> </w:t>
      </w:r>
      <w:r>
        <w:rPr>
          <w:sz w:val="23"/>
        </w:rPr>
        <w:t>detectaron</w:t>
      </w:r>
      <w:r>
        <w:rPr>
          <w:spacing w:val="-9"/>
          <w:sz w:val="23"/>
        </w:rPr>
        <w:t> </w:t>
      </w:r>
      <w:r>
        <w:rPr>
          <w:sz w:val="23"/>
        </w:rPr>
        <w:t>evaluaciones</w:t>
      </w:r>
      <w:r>
        <w:rPr>
          <w:spacing w:val="-9"/>
          <w:sz w:val="23"/>
        </w:rPr>
        <w:t> </w:t>
      </w:r>
      <w:r>
        <w:rPr>
          <w:sz w:val="23"/>
        </w:rPr>
        <w:t>oficiales</w:t>
      </w:r>
      <w:r>
        <w:rPr>
          <w:spacing w:val="-9"/>
          <w:sz w:val="23"/>
        </w:rPr>
        <w:t> </w:t>
      </w:r>
      <w:r>
        <w:rPr>
          <w:sz w:val="23"/>
        </w:rPr>
        <w:t>sobre</w:t>
      </w:r>
      <w:r>
        <w:rPr>
          <w:spacing w:val="-9"/>
          <w:sz w:val="23"/>
        </w:rPr>
        <w:t> </w:t>
      </w:r>
      <w:r>
        <w:rPr>
          <w:sz w:val="23"/>
        </w:rPr>
        <w:t>las capacidades subsidiarias de los</w:t>
      </w:r>
      <w:r>
        <w:rPr>
          <w:spacing w:val="-13"/>
          <w:sz w:val="23"/>
        </w:rPr>
        <w:t> </w:t>
      </w:r>
      <w:r>
        <w:rPr>
          <w:sz w:val="23"/>
        </w:rPr>
        <w:t>estados.</w:t>
      </w:r>
    </w:p>
    <w:p>
      <w:pPr>
        <w:pStyle w:val="BodyText"/>
        <w:spacing w:before="7"/>
        <w:rPr>
          <w:sz w:val="22"/>
        </w:rPr>
      </w:pPr>
    </w:p>
    <w:p>
      <w:pPr>
        <w:pStyle w:val="ListParagraph"/>
        <w:numPr>
          <w:ilvl w:val="2"/>
          <w:numId w:val="6"/>
        </w:numPr>
        <w:tabs>
          <w:tab w:pos="678" w:val="left" w:leader="none"/>
        </w:tabs>
        <w:spacing w:line="260" w:lineRule="exact" w:before="0" w:after="0"/>
        <w:ind w:left="677" w:right="114" w:hanging="284"/>
        <w:jc w:val="both"/>
        <w:rPr>
          <w:sz w:val="23"/>
        </w:rPr>
      </w:pPr>
      <w:r>
        <w:rPr>
          <w:sz w:val="23"/>
        </w:rPr>
        <w:t>Con</w:t>
      </w:r>
      <w:r>
        <w:rPr>
          <w:spacing w:val="-6"/>
          <w:sz w:val="23"/>
        </w:rPr>
        <w:t> </w:t>
      </w:r>
      <w:r>
        <w:rPr>
          <w:sz w:val="23"/>
        </w:rPr>
        <w:t>relación</w:t>
      </w:r>
      <w:r>
        <w:rPr>
          <w:spacing w:val="-6"/>
          <w:sz w:val="23"/>
        </w:rPr>
        <w:t> </w:t>
      </w:r>
      <w:r>
        <w:rPr>
          <w:sz w:val="23"/>
        </w:rPr>
        <w:t>al</w:t>
      </w:r>
      <w:r>
        <w:rPr>
          <w:spacing w:val="-7"/>
          <w:sz w:val="23"/>
        </w:rPr>
        <w:t> </w:t>
      </w:r>
      <w:r>
        <w:rPr>
          <w:i/>
          <w:sz w:val="23"/>
        </w:rPr>
        <w:t>avance</w:t>
      </w:r>
      <w:r>
        <w:rPr>
          <w:i/>
          <w:spacing w:val="-7"/>
          <w:sz w:val="23"/>
        </w:rPr>
        <w:t> </w:t>
      </w:r>
      <w:r>
        <w:rPr>
          <w:i/>
          <w:sz w:val="23"/>
        </w:rPr>
        <w:t>competencial</w:t>
      </w:r>
      <w:r>
        <w:rPr>
          <w:i/>
          <w:spacing w:val="-7"/>
          <w:sz w:val="23"/>
        </w:rPr>
        <w:t> </w:t>
      </w:r>
      <w:r>
        <w:rPr>
          <w:i/>
          <w:sz w:val="23"/>
        </w:rPr>
        <w:t>de</w:t>
      </w:r>
      <w:r>
        <w:rPr>
          <w:i/>
          <w:spacing w:val="-7"/>
          <w:sz w:val="23"/>
        </w:rPr>
        <w:t> </w:t>
      </w:r>
      <w:r>
        <w:rPr>
          <w:i/>
          <w:sz w:val="23"/>
        </w:rPr>
        <w:t>las</w:t>
      </w:r>
      <w:r>
        <w:rPr>
          <w:i/>
          <w:spacing w:val="-7"/>
          <w:sz w:val="23"/>
        </w:rPr>
        <w:t> </w:t>
      </w:r>
      <w:r>
        <w:rPr>
          <w:i/>
          <w:sz w:val="23"/>
        </w:rPr>
        <w:t>sociedades</w:t>
      </w:r>
      <w:r>
        <w:rPr>
          <w:i/>
          <w:spacing w:val="-6"/>
          <w:sz w:val="23"/>
        </w:rPr>
        <w:t> </w:t>
      </w:r>
      <w:r>
        <w:rPr>
          <w:i/>
          <w:sz w:val="23"/>
        </w:rPr>
        <w:t>más</w:t>
      </w:r>
      <w:r>
        <w:rPr>
          <w:i/>
          <w:spacing w:val="-6"/>
          <w:sz w:val="23"/>
        </w:rPr>
        <w:t> </w:t>
      </w:r>
      <w:r>
        <w:rPr>
          <w:i/>
          <w:sz w:val="23"/>
        </w:rPr>
        <w:t>simples.</w:t>
      </w:r>
      <w:r>
        <w:rPr>
          <w:i/>
          <w:spacing w:val="-6"/>
          <w:sz w:val="23"/>
        </w:rPr>
        <w:t> </w:t>
      </w:r>
      <w:r>
        <w:rPr>
          <w:sz w:val="23"/>
        </w:rPr>
        <w:t>El punto</w:t>
      </w:r>
      <w:r>
        <w:rPr>
          <w:spacing w:val="-5"/>
          <w:sz w:val="23"/>
        </w:rPr>
        <w:t> </w:t>
      </w:r>
      <w:r>
        <w:rPr>
          <w:sz w:val="23"/>
        </w:rPr>
        <w:t>de</w:t>
      </w:r>
      <w:r>
        <w:rPr>
          <w:spacing w:val="-5"/>
          <w:sz w:val="23"/>
        </w:rPr>
        <w:t> </w:t>
      </w:r>
      <w:r>
        <w:rPr>
          <w:sz w:val="23"/>
        </w:rPr>
        <w:t>vista</w:t>
      </w:r>
      <w:r>
        <w:rPr>
          <w:spacing w:val="-5"/>
          <w:sz w:val="23"/>
        </w:rPr>
        <w:t> </w:t>
      </w:r>
      <w:r>
        <w:rPr>
          <w:sz w:val="23"/>
        </w:rPr>
        <w:t>subsidiario</w:t>
      </w:r>
      <w:r>
        <w:rPr>
          <w:spacing w:val="-4"/>
          <w:sz w:val="23"/>
        </w:rPr>
        <w:t> </w:t>
      </w:r>
      <w:r>
        <w:rPr>
          <w:sz w:val="23"/>
        </w:rPr>
        <w:t>prescribe</w:t>
      </w:r>
      <w:r>
        <w:rPr>
          <w:spacing w:val="-5"/>
          <w:sz w:val="23"/>
        </w:rPr>
        <w:t> </w:t>
      </w:r>
      <w:r>
        <w:rPr>
          <w:sz w:val="23"/>
        </w:rPr>
        <w:t>que</w:t>
      </w:r>
      <w:r>
        <w:rPr>
          <w:spacing w:val="-5"/>
          <w:sz w:val="23"/>
        </w:rPr>
        <w:t> </w:t>
      </w:r>
      <w:r>
        <w:rPr>
          <w:sz w:val="23"/>
        </w:rPr>
        <w:t>los</w:t>
      </w:r>
      <w:r>
        <w:rPr>
          <w:spacing w:val="-5"/>
          <w:sz w:val="23"/>
        </w:rPr>
        <w:t> </w:t>
      </w:r>
      <w:r>
        <w:rPr>
          <w:sz w:val="23"/>
        </w:rPr>
        <w:t>estados</w:t>
      </w:r>
      <w:r>
        <w:rPr>
          <w:spacing w:val="-5"/>
          <w:sz w:val="23"/>
        </w:rPr>
        <w:t> </w:t>
      </w:r>
      <w:r>
        <w:rPr>
          <w:sz w:val="23"/>
        </w:rPr>
        <w:t>deberán</w:t>
      </w:r>
      <w:r>
        <w:rPr>
          <w:spacing w:val="-5"/>
          <w:sz w:val="23"/>
        </w:rPr>
        <w:t> </w:t>
      </w:r>
      <w:r>
        <w:rPr>
          <w:sz w:val="23"/>
        </w:rPr>
        <w:t>procurar</w:t>
      </w:r>
      <w:r>
        <w:rPr>
          <w:spacing w:val="-5"/>
          <w:sz w:val="23"/>
        </w:rPr>
        <w:t> </w:t>
      </w:r>
      <w:r>
        <w:rPr>
          <w:sz w:val="23"/>
        </w:rPr>
        <w:t>la ejecución</w:t>
      </w:r>
      <w:r>
        <w:rPr>
          <w:spacing w:val="-14"/>
          <w:sz w:val="23"/>
        </w:rPr>
        <w:t> </w:t>
      </w:r>
      <w:r>
        <w:rPr>
          <w:sz w:val="23"/>
        </w:rPr>
        <w:t>directa</w:t>
      </w:r>
      <w:r>
        <w:rPr>
          <w:spacing w:val="-13"/>
          <w:sz w:val="23"/>
        </w:rPr>
        <w:t> </w:t>
      </w:r>
      <w:r>
        <w:rPr>
          <w:sz w:val="23"/>
        </w:rPr>
        <w:t>del</w:t>
      </w:r>
      <w:r>
        <w:rPr>
          <w:spacing w:val="-14"/>
          <w:sz w:val="23"/>
        </w:rPr>
        <w:t> </w:t>
      </w:r>
      <w:r>
        <w:rPr>
          <w:sz w:val="23"/>
        </w:rPr>
        <w:t>diseño</w:t>
      </w:r>
      <w:r>
        <w:rPr>
          <w:spacing w:val="-13"/>
          <w:sz w:val="23"/>
        </w:rPr>
        <w:t> </w:t>
      </w:r>
      <w:r>
        <w:rPr>
          <w:sz w:val="23"/>
        </w:rPr>
        <w:t>e</w:t>
      </w:r>
      <w:r>
        <w:rPr>
          <w:spacing w:val="-13"/>
          <w:sz w:val="23"/>
        </w:rPr>
        <w:t> </w:t>
      </w:r>
      <w:r>
        <w:rPr>
          <w:sz w:val="23"/>
        </w:rPr>
        <w:t>implementación</w:t>
      </w:r>
      <w:r>
        <w:rPr>
          <w:spacing w:val="-14"/>
          <w:sz w:val="23"/>
        </w:rPr>
        <w:t> </w:t>
      </w:r>
      <w:r>
        <w:rPr>
          <w:sz w:val="23"/>
        </w:rPr>
        <w:t>de</w:t>
      </w:r>
      <w:r>
        <w:rPr>
          <w:spacing w:val="-13"/>
          <w:sz w:val="23"/>
        </w:rPr>
        <w:t> </w:t>
      </w:r>
      <w:r>
        <w:rPr>
          <w:sz w:val="23"/>
        </w:rPr>
        <w:t>políticas</w:t>
      </w:r>
      <w:r>
        <w:rPr>
          <w:spacing w:val="-13"/>
          <w:sz w:val="23"/>
        </w:rPr>
        <w:t> </w:t>
      </w:r>
      <w:r>
        <w:rPr>
          <w:sz w:val="23"/>
        </w:rPr>
        <w:t>distributivas, o bien, la federación podrá subsidiar tales funciones sólo por tiempo y circunstancias</w:t>
      </w:r>
      <w:r>
        <w:rPr>
          <w:spacing w:val="-19"/>
          <w:sz w:val="23"/>
        </w:rPr>
        <w:t> </w:t>
      </w:r>
      <w:r>
        <w:rPr>
          <w:sz w:val="23"/>
        </w:rPr>
        <w:t>determinadas.</w:t>
      </w:r>
      <w:r>
        <w:rPr>
          <w:spacing w:val="-30"/>
          <w:sz w:val="23"/>
        </w:rPr>
        <w:t> </w:t>
      </w:r>
      <w:r>
        <w:rPr>
          <w:sz w:val="23"/>
        </w:rPr>
        <w:t>Adicionalmente,</w:t>
      </w:r>
      <w:r>
        <w:rPr>
          <w:spacing w:val="-18"/>
          <w:sz w:val="23"/>
        </w:rPr>
        <w:t> </w:t>
      </w:r>
      <w:r>
        <w:rPr>
          <w:sz w:val="23"/>
        </w:rPr>
        <w:t>para</w:t>
      </w:r>
      <w:r>
        <w:rPr>
          <w:spacing w:val="-19"/>
          <w:sz w:val="23"/>
        </w:rPr>
        <w:t> </w:t>
      </w:r>
      <w:r>
        <w:rPr>
          <w:sz w:val="23"/>
        </w:rPr>
        <w:t>la</w:t>
      </w:r>
      <w:r>
        <w:rPr>
          <w:spacing w:val="-19"/>
          <w:sz w:val="23"/>
        </w:rPr>
        <w:t> </w:t>
      </w:r>
      <w:r>
        <w:rPr>
          <w:sz w:val="23"/>
        </w:rPr>
        <w:t>iniciativa</w:t>
      </w:r>
      <w:r>
        <w:rPr>
          <w:spacing w:val="-19"/>
          <w:sz w:val="23"/>
        </w:rPr>
        <w:t> </w:t>
      </w:r>
      <w:r>
        <w:rPr>
          <w:sz w:val="23"/>
        </w:rPr>
        <w:t>privada, la</w:t>
      </w:r>
      <w:r>
        <w:rPr>
          <w:spacing w:val="42"/>
          <w:sz w:val="23"/>
        </w:rPr>
        <w:t> </w:t>
      </w:r>
      <w:r>
        <w:rPr>
          <w:sz w:val="23"/>
        </w:rPr>
        <w:t>autoridad</w:t>
      </w:r>
      <w:r>
        <w:rPr>
          <w:spacing w:val="42"/>
          <w:sz w:val="23"/>
        </w:rPr>
        <w:t> </w:t>
      </w:r>
      <w:r>
        <w:rPr>
          <w:sz w:val="23"/>
        </w:rPr>
        <w:t>estatal</w:t>
      </w:r>
      <w:r>
        <w:rPr>
          <w:spacing w:val="42"/>
          <w:sz w:val="23"/>
        </w:rPr>
        <w:t> </w:t>
      </w:r>
      <w:r>
        <w:rPr>
          <w:sz w:val="23"/>
        </w:rPr>
        <w:t>deberá</w:t>
      </w:r>
      <w:r>
        <w:rPr>
          <w:spacing w:val="42"/>
          <w:sz w:val="23"/>
        </w:rPr>
        <w:t> </w:t>
      </w:r>
      <w:r>
        <w:rPr>
          <w:sz w:val="23"/>
        </w:rPr>
        <w:t>definir</w:t>
      </w:r>
      <w:r>
        <w:rPr>
          <w:spacing w:val="43"/>
          <w:sz w:val="23"/>
        </w:rPr>
        <w:t> </w:t>
      </w:r>
      <w:r>
        <w:rPr>
          <w:sz w:val="23"/>
        </w:rPr>
        <w:t>acciones</w:t>
      </w:r>
      <w:r>
        <w:rPr>
          <w:spacing w:val="42"/>
          <w:sz w:val="23"/>
        </w:rPr>
        <w:t> </w:t>
      </w:r>
      <w:r>
        <w:rPr>
          <w:sz w:val="23"/>
        </w:rPr>
        <w:t>económicas</w:t>
      </w:r>
      <w:r>
        <w:rPr>
          <w:spacing w:val="43"/>
          <w:sz w:val="23"/>
        </w:rPr>
        <w:t> </w:t>
      </w:r>
      <w:r>
        <w:rPr>
          <w:sz w:val="23"/>
        </w:rPr>
        <w:t>subsidiarias</w:t>
      </w:r>
    </w:p>
    <w:p>
      <w:pPr>
        <w:spacing w:after="0" w:line="260" w:lineRule="exact"/>
        <w:jc w:val="both"/>
        <w:rPr>
          <w:sz w:val="23"/>
        </w:rPr>
        <w:sectPr>
          <w:pgSz w:w="9360" w:h="13040"/>
          <w:pgMar w:header="527" w:footer="515" w:top="720" w:bottom="700" w:left="740" w:right="1300"/>
        </w:sectPr>
      </w:pPr>
    </w:p>
    <w:p>
      <w:pPr>
        <w:pStyle w:val="BodyText"/>
        <w:spacing w:before="11"/>
        <w:rPr>
          <w:sz w:val="29"/>
        </w:rPr>
      </w:pPr>
    </w:p>
    <w:p>
      <w:pPr>
        <w:pStyle w:val="BodyText"/>
        <w:spacing w:line="260" w:lineRule="exact" w:before="77"/>
        <w:ind w:left="684" w:right="107"/>
        <w:jc w:val="both"/>
      </w:pPr>
      <w:r>
        <w:rPr/>
        <w:t>para estimularla, regularla y complementarla sin remplazarla. La revisión del desempeño estatal permite determinar inicialmente una clasificación según el avance físico de las obras del gasto sectorial reasignado a fines del ejercicio 2008: Aguascalientes suscribió tres convenios y registró un avance del 77%, Jalisco y Guanajuato también suscribieron</w:t>
      </w:r>
      <w:r>
        <w:rPr>
          <w:spacing w:val="-7"/>
        </w:rPr>
        <w:t> </w:t>
      </w:r>
      <w:r>
        <w:rPr/>
        <w:t>tres</w:t>
      </w:r>
      <w:r>
        <w:rPr>
          <w:spacing w:val="-8"/>
        </w:rPr>
        <w:t> </w:t>
      </w:r>
      <w:r>
        <w:rPr/>
        <w:t>convenios</w:t>
      </w:r>
      <w:r>
        <w:rPr>
          <w:spacing w:val="-9"/>
        </w:rPr>
        <w:t> </w:t>
      </w:r>
      <w:r>
        <w:rPr/>
        <w:t>pero</w:t>
      </w:r>
      <w:r>
        <w:rPr>
          <w:spacing w:val="-8"/>
        </w:rPr>
        <w:t> </w:t>
      </w:r>
      <w:r>
        <w:rPr/>
        <w:t>el</w:t>
      </w:r>
      <w:r>
        <w:rPr>
          <w:spacing w:val="-8"/>
        </w:rPr>
        <w:t> </w:t>
      </w:r>
      <w:r>
        <w:rPr/>
        <w:t>avance</w:t>
      </w:r>
      <w:r>
        <w:rPr>
          <w:spacing w:val="-8"/>
        </w:rPr>
        <w:t> </w:t>
      </w:r>
      <w:r>
        <w:rPr/>
        <w:t>fue</w:t>
      </w:r>
      <w:r>
        <w:rPr>
          <w:spacing w:val="-8"/>
        </w:rPr>
        <w:t> </w:t>
      </w:r>
      <w:r>
        <w:rPr/>
        <w:t>del</w:t>
      </w:r>
      <w:r>
        <w:rPr>
          <w:spacing w:val="-8"/>
        </w:rPr>
        <w:t> </w:t>
      </w:r>
      <w:r>
        <w:rPr/>
        <w:t>50%,</w:t>
      </w:r>
      <w:r>
        <w:rPr>
          <w:spacing w:val="-8"/>
        </w:rPr>
        <w:t> </w:t>
      </w:r>
      <w:r>
        <w:rPr/>
        <w:t>Baja</w:t>
      </w:r>
      <w:r>
        <w:rPr>
          <w:spacing w:val="-8"/>
        </w:rPr>
        <w:t> </w:t>
      </w:r>
      <w:r>
        <w:rPr/>
        <w:t>California registró el mismo avance pero sólo con dos convenios celebrados, Morelos</w:t>
      </w:r>
      <w:r>
        <w:rPr>
          <w:spacing w:val="-10"/>
        </w:rPr>
        <w:t> </w:t>
      </w:r>
      <w:r>
        <w:rPr/>
        <w:t>contó</w:t>
      </w:r>
      <w:r>
        <w:rPr>
          <w:spacing w:val="-10"/>
        </w:rPr>
        <w:t> </w:t>
      </w:r>
      <w:r>
        <w:rPr/>
        <w:t>con</w:t>
      </w:r>
      <w:r>
        <w:rPr>
          <w:spacing w:val="-10"/>
        </w:rPr>
        <w:t> </w:t>
      </w:r>
      <w:r>
        <w:rPr/>
        <w:t>tres</w:t>
      </w:r>
      <w:r>
        <w:rPr>
          <w:spacing w:val="-10"/>
        </w:rPr>
        <w:t> </w:t>
      </w:r>
      <w:r>
        <w:rPr/>
        <w:t>convenios</w:t>
      </w:r>
      <w:r>
        <w:rPr>
          <w:spacing w:val="-11"/>
        </w:rPr>
        <w:t> </w:t>
      </w:r>
      <w:r>
        <w:rPr/>
        <w:t>y</w:t>
      </w:r>
      <w:r>
        <w:rPr>
          <w:spacing w:val="-10"/>
        </w:rPr>
        <w:t> </w:t>
      </w:r>
      <w:r>
        <w:rPr/>
        <w:t>su</w:t>
      </w:r>
      <w:r>
        <w:rPr>
          <w:spacing w:val="-10"/>
        </w:rPr>
        <w:t> </w:t>
      </w:r>
      <w:r>
        <w:rPr/>
        <w:t>avance</w:t>
      </w:r>
      <w:r>
        <w:rPr>
          <w:spacing w:val="-11"/>
        </w:rPr>
        <w:t> </w:t>
      </w:r>
      <w:r>
        <w:rPr/>
        <w:t>fue</w:t>
      </w:r>
      <w:r>
        <w:rPr>
          <w:spacing w:val="-10"/>
        </w:rPr>
        <w:t> </w:t>
      </w:r>
      <w:r>
        <w:rPr/>
        <w:t>del</w:t>
      </w:r>
      <w:r>
        <w:rPr>
          <w:spacing w:val="-10"/>
        </w:rPr>
        <w:t> </w:t>
      </w:r>
      <w:r>
        <w:rPr/>
        <w:t>33%,</w:t>
      </w:r>
      <w:r>
        <w:rPr>
          <w:spacing w:val="-10"/>
        </w:rPr>
        <w:t> </w:t>
      </w:r>
      <w:r>
        <w:rPr/>
        <w:t>y</w:t>
      </w:r>
      <w:r>
        <w:rPr>
          <w:spacing w:val="-10"/>
        </w:rPr>
        <w:t> </w:t>
      </w:r>
      <w:r>
        <w:rPr/>
        <w:t>Querétaro sólo celebró dos convenios para alcanzar un avance del 3%. Por su parte,</w:t>
      </w:r>
      <w:r>
        <w:rPr>
          <w:spacing w:val="-5"/>
        </w:rPr>
        <w:t> </w:t>
      </w:r>
      <w:r>
        <w:rPr/>
        <w:t>como</w:t>
      </w:r>
      <w:r>
        <w:rPr>
          <w:spacing w:val="-5"/>
        </w:rPr>
        <w:t> </w:t>
      </w:r>
      <w:r>
        <w:rPr/>
        <w:t>líderes</w:t>
      </w:r>
      <w:r>
        <w:rPr>
          <w:spacing w:val="-5"/>
        </w:rPr>
        <w:t> </w:t>
      </w:r>
      <w:r>
        <w:rPr/>
        <w:t>en</w:t>
      </w:r>
      <w:r>
        <w:rPr>
          <w:spacing w:val="-5"/>
        </w:rPr>
        <w:t> </w:t>
      </w:r>
      <w:r>
        <w:rPr/>
        <w:t>cuanto</w:t>
      </w:r>
      <w:r>
        <w:rPr>
          <w:spacing w:val="-5"/>
        </w:rPr>
        <w:t> </w:t>
      </w:r>
      <w:r>
        <w:rPr/>
        <w:t>a</w:t>
      </w:r>
      <w:r>
        <w:rPr>
          <w:spacing w:val="-5"/>
        </w:rPr>
        <w:t> </w:t>
      </w:r>
      <w:r>
        <w:rPr/>
        <w:t>su</w:t>
      </w:r>
      <w:r>
        <w:rPr>
          <w:spacing w:val="-5"/>
        </w:rPr>
        <w:t> </w:t>
      </w:r>
      <w:r>
        <w:rPr>
          <w:i/>
        </w:rPr>
        <w:t>avance</w:t>
      </w:r>
      <w:r>
        <w:rPr>
          <w:i/>
          <w:spacing w:val="-5"/>
        </w:rPr>
        <w:t> </w:t>
      </w:r>
      <w:r>
        <w:rPr>
          <w:i/>
        </w:rPr>
        <w:t>competencial</w:t>
      </w:r>
      <w:r>
        <w:rPr/>
        <w:t>,</w:t>
      </w:r>
      <w:r>
        <w:rPr>
          <w:spacing w:val="-5"/>
        </w:rPr>
        <w:t> </w:t>
      </w:r>
      <w:r>
        <w:rPr/>
        <w:t>las</w:t>
      </w:r>
      <w:r>
        <w:rPr>
          <w:spacing w:val="-5"/>
        </w:rPr>
        <w:t> </w:t>
      </w:r>
      <w:r>
        <w:rPr/>
        <w:t>diferencias de metas alcanzadas entre los proyectos estratégicos de Baja</w:t>
      </w:r>
      <w:r>
        <w:rPr>
          <w:spacing w:val="-32"/>
        </w:rPr>
        <w:t> </w:t>
      </w:r>
      <w:r>
        <w:rPr/>
        <w:t>California y Guanajuato ha impedido determinar el mejor desempeño al respecto. La realidad fue que la crisis económica internacional del 2009 rezagó el proyecto bajacaliforniano del puerto marítimo logístico en </w:t>
      </w:r>
      <w:r>
        <w:rPr>
          <w:i/>
        </w:rPr>
        <w:t>Punta </w:t>
      </w:r>
      <w:r>
        <w:rPr>
          <w:i/>
        </w:rPr>
        <w:t>Colonet</w:t>
      </w:r>
      <w:r>
        <w:rPr/>
        <w:t>, una comparativa más precisa debe aguardar a que el proyecto se concrete, se adecúe o se</w:t>
      </w:r>
      <w:r>
        <w:rPr>
          <w:spacing w:val="-5"/>
        </w:rPr>
        <w:t> </w:t>
      </w:r>
      <w:r>
        <w:rPr/>
        <w:t>cancele.</w:t>
      </w:r>
    </w:p>
    <w:p>
      <w:pPr>
        <w:pStyle w:val="BodyText"/>
        <w:rPr>
          <w:sz w:val="22"/>
        </w:rPr>
      </w:pPr>
    </w:p>
    <w:p>
      <w:pPr>
        <w:pStyle w:val="Heading3"/>
      </w:pPr>
      <w:bookmarkStart w:name="_TOC_250021" w:id="22"/>
      <w:bookmarkEnd w:id="22"/>
      <w:r>
        <w:rPr/>
        <w:t>El gasto sectorial reasignado al gobierno del Estado de Hidalgo.</w:t>
      </w:r>
    </w:p>
    <w:p>
      <w:pPr>
        <w:pStyle w:val="BodyText"/>
        <w:spacing w:before="6"/>
        <w:rPr>
          <w:b/>
          <w:sz w:val="22"/>
        </w:rPr>
      </w:pPr>
    </w:p>
    <w:p>
      <w:pPr>
        <w:pStyle w:val="BodyText"/>
        <w:spacing w:line="235" w:lineRule="auto" w:before="1"/>
        <w:ind w:left="117" w:right="107"/>
        <w:jc w:val="both"/>
      </w:pPr>
      <w:r>
        <w:rPr/>
        <w:pict>
          <v:line style="position:absolute;mso-position-horizontal-relative:page;mso-position-vertical-relative:paragraph;z-index:2368;mso-wrap-distance-left:0;mso-wrap-distance-right:0" from="70.866096pt,223.906219pt" to="142.866096pt,223.906219pt" stroked="true" strokeweight="1pt" strokecolor="#000000">
            <w10:wrap type="topAndBottom"/>
          </v:line>
        </w:pict>
      </w:r>
      <w:r>
        <w:rPr/>
        <w:t>Para conocer las particularidades del gasto federal reasignado al gobierno</w:t>
      </w:r>
      <w:r>
        <w:rPr>
          <w:spacing w:val="-23"/>
        </w:rPr>
        <w:t> </w:t>
      </w:r>
      <w:r>
        <w:rPr/>
        <w:t>del Estado</w:t>
      </w:r>
      <w:r>
        <w:rPr>
          <w:spacing w:val="-12"/>
        </w:rPr>
        <w:t> </w:t>
      </w:r>
      <w:r>
        <w:rPr/>
        <w:t>de</w:t>
      </w:r>
      <w:r>
        <w:rPr>
          <w:spacing w:val="-12"/>
        </w:rPr>
        <w:t> </w:t>
      </w:r>
      <w:r>
        <w:rPr/>
        <w:t>Hidalgo,</w:t>
      </w:r>
      <w:r>
        <w:rPr>
          <w:spacing w:val="-11"/>
        </w:rPr>
        <w:t> </w:t>
      </w:r>
      <w:r>
        <w:rPr/>
        <w:t>se</w:t>
      </w:r>
      <w:r>
        <w:rPr>
          <w:spacing w:val="-12"/>
        </w:rPr>
        <w:t> </w:t>
      </w:r>
      <w:r>
        <w:rPr/>
        <w:t>revisaron</w:t>
      </w:r>
      <w:r>
        <w:rPr>
          <w:spacing w:val="-12"/>
        </w:rPr>
        <w:t> </w:t>
      </w:r>
      <w:r>
        <w:rPr/>
        <w:t>los</w:t>
      </w:r>
      <w:r>
        <w:rPr>
          <w:spacing w:val="-12"/>
        </w:rPr>
        <w:t> </w:t>
      </w:r>
      <w:r>
        <w:rPr/>
        <w:t>instrumentos</w:t>
      </w:r>
      <w:r>
        <w:rPr>
          <w:spacing w:val="-13"/>
        </w:rPr>
        <w:t> </w:t>
      </w:r>
      <w:r>
        <w:rPr/>
        <w:t>correspondientes</w:t>
      </w:r>
      <w:r>
        <w:rPr>
          <w:spacing w:val="-13"/>
        </w:rPr>
        <w:t> </w:t>
      </w:r>
      <w:r>
        <w:rPr/>
        <w:t>al</w:t>
      </w:r>
      <w:r>
        <w:rPr>
          <w:spacing w:val="-12"/>
        </w:rPr>
        <w:t> </w:t>
      </w:r>
      <w:r>
        <w:rPr/>
        <w:t>ejercicio 2008 de los sectores comunicaciones, salud y turismo. En el primero de los casos,</w:t>
      </w:r>
      <w:r>
        <w:rPr>
          <w:spacing w:val="-13"/>
        </w:rPr>
        <w:t> </w:t>
      </w:r>
      <w:r>
        <w:rPr/>
        <w:t>la</w:t>
      </w:r>
      <w:r>
        <w:rPr>
          <w:spacing w:val="-13"/>
        </w:rPr>
        <w:t> </w:t>
      </w:r>
      <w:r>
        <w:rPr/>
        <w:t>Secretaría</w:t>
      </w:r>
      <w:r>
        <w:rPr>
          <w:spacing w:val="-13"/>
        </w:rPr>
        <w:t> </w:t>
      </w:r>
      <w:r>
        <w:rPr/>
        <w:t>de</w:t>
      </w:r>
      <w:r>
        <w:rPr>
          <w:spacing w:val="-13"/>
        </w:rPr>
        <w:t> </w:t>
      </w:r>
      <w:r>
        <w:rPr/>
        <w:t>Comunicaciones</w:t>
      </w:r>
      <w:r>
        <w:rPr>
          <w:spacing w:val="-13"/>
        </w:rPr>
        <w:t> </w:t>
      </w:r>
      <w:r>
        <w:rPr/>
        <w:t>y</w:t>
      </w:r>
      <w:r>
        <w:rPr>
          <w:spacing w:val="-17"/>
        </w:rPr>
        <w:t> </w:t>
      </w:r>
      <w:r>
        <w:rPr/>
        <w:t>Transportes</w:t>
      </w:r>
      <w:r>
        <w:rPr>
          <w:spacing w:val="-13"/>
        </w:rPr>
        <w:t> </w:t>
      </w:r>
      <w:r>
        <w:rPr>
          <w:spacing w:val="-4"/>
        </w:rPr>
        <w:t>(SCT,</w:t>
      </w:r>
      <w:r>
        <w:rPr>
          <w:spacing w:val="-13"/>
        </w:rPr>
        <w:t> </w:t>
      </w:r>
      <w:r>
        <w:rPr/>
        <w:t>federal)</w:t>
      </w:r>
      <w:r>
        <w:rPr>
          <w:spacing w:val="-13"/>
        </w:rPr>
        <w:t> </w:t>
      </w:r>
      <w:r>
        <w:rPr/>
        <w:t>transfirió cuatrocientos catorce millones de pesos al gobierno estatal para la ejecución de diecisiete obras, cinco de las cuales eran entronques carreteros y doce ampliaciones</w:t>
      </w:r>
      <w:r>
        <w:rPr>
          <w:spacing w:val="-28"/>
        </w:rPr>
        <w:t> </w:t>
      </w:r>
      <w:r>
        <w:rPr/>
        <w:t>o</w:t>
      </w:r>
      <w:r>
        <w:rPr>
          <w:spacing w:val="-27"/>
        </w:rPr>
        <w:t> </w:t>
      </w:r>
      <w:r>
        <w:rPr/>
        <w:t>modernizaciones</w:t>
      </w:r>
      <w:r>
        <w:rPr>
          <w:spacing w:val="-28"/>
        </w:rPr>
        <w:t> </w:t>
      </w:r>
      <w:r>
        <w:rPr/>
        <w:t>de</w:t>
      </w:r>
      <w:r>
        <w:rPr>
          <w:spacing w:val="-27"/>
        </w:rPr>
        <w:t> </w:t>
      </w:r>
      <w:r>
        <w:rPr/>
        <w:t>caminos</w:t>
      </w:r>
      <w:r>
        <w:rPr>
          <w:position w:val="8"/>
          <w:sz w:val="13"/>
        </w:rPr>
        <w:t>72</w:t>
      </w:r>
      <w:r>
        <w:rPr/>
        <w:t>.</w:t>
      </w:r>
      <w:r>
        <w:rPr>
          <w:spacing w:val="-27"/>
        </w:rPr>
        <w:t> </w:t>
      </w:r>
      <w:r>
        <w:rPr/>
        <w:t>Para</w:t>
      </w:r>
      <w:r>
        <w:rPr>
          <w:spacing w:val="-27"/>
        </w:rPr>
        <w:t> </w:t>
      </w:r>
      <w:r>
        <w:rPr/>
        <w:t>formalizar</w:t>
      </w:r>
      <w:r>
        <w:rPr>
          <w:spacing w:val="-27"/>
        </w:rPr>
        <w:t> </w:t>
      </w:r>
      <w:r>
        <w:rPr/>
        <w:t>la</w:t>
      </w:r>
      <w:r>
        <w:rPr>
          <w:spacing w:val="-27"/>
        </w:rPr>
        <w:t> </w:t>
      </w:r>
      <w:r>
        <w:rPr/>
        <w:t>transferencia, el</w:t>
      </w:r>
      <w:r>
        <w:rPr>
          <w:spacing w:val="-4"/>
        </w:rPr>
        <w:t> </w:t>
      </w:r>
      <w:r>
        <w:rPr/>
        <w:t>28</w:t>
      </w:r>
      <w:r>
        <w:rPr>
          <w:spacing w:val="-4"/>
        </w:rPr>
        <w:t> </w:t>
      </w:r>
      <w:r>
        <w:rPr/>
        <w:t>de</w:t>
      </w:r>
      <w:r>
        <w:rPr>
          <w:spacing w:val="-4"/>
        </w:rPr>
        <w:t> </w:t>
      </w:r>
      <w:r>
        <w:rPr/>
        <w:t>marzo</w:t>
      </w:r>
      <w:r>
        <w:rPr>
          <w:spacing w:val="-5"/>
        </w:rPr>
        <w:t> </w:t>
      </w:r>
      <w:r>
        <w:rPr/>
        <w:t>del</w:t>
      </w:r>
      <w:r>
        <w:rPr>
          <w:spacing w:val="-4"/>
        </w:rPr>
        <w:t> </w:t>
      </w:r>
      <w:r>
        <w:rPr/>
        <w:t>2008</w:t>
      </w:r>
      <w:r>
        <w:rPr>
          <w:spacing w:val="-4"/>
        </w:rPr>
        <w:t> </w:t>
      </w:r>
      <w:r>
        <w:rPr/>
        <w:t>fue</w:t>
      </w:r>
      <w:r>
        <w:rPr>
          <w:spacing w:val="-4"/>
        </w:rPr>
        <w:t> </w:t>
      </w:r>
      <w:r>
        <w:rPr/>
        <w:t>suscrito</w:t>
      </w:r>
      <w:r>
        <w:rPr>
          <w:spacing w:val="-4"/>
        </w:rPr>
        <w:t> </w:t>
      </w:r>
      <w:r>
        <w:rPr/>
        <w:t>un</w:t>
      </w:r>
      <w:r>
        <w:rPr>
          <w:spacing w:val="-4"/>
        </w:rPr>
        <w:t> </w:t>
      </w:r>
      <w:r>
        <w:rPr/>
        <w:t>convenio</w:t>
      </w:r>
      <w:r>
        <w:rPr>
          <w:spacing w:val="-5"/>
        </w:rPr>
        <w:t> </w:t>
      </w:r>
      <w:r>
        <w:rPr/>
        <w:t>de</w:t>
      </w:r>
      <w:r>
        <w:rPr>
          <w:spacing w:val="-4"/>
        </w:rPr>
        <w:t> </w:t>
      </w:r>
      <w:r>
        <w:rPr/>
        <w:t>reasignación</w:t>
      </w:r>
      <w:r>
        <w:rPr>
          <w:spacing w:val="-4"/>
        </w:rPr>
        <w:t> </w:t>
      </w:r>
      <w:r>
        <w:rPr/>
        <w:t>de</w:t>
      </w:r>
      <w:r>
        <w:rPr>
          <w:spacing w:val="-4"/>
        </w:rPr>
        <w:t> </w:t>
      </w:r>
      <w:r>
        <w:rPr/>
        <w:t>recursos entre la SCT y el gobierno estatal, el siguiente 21 de octubre cinco obras    en lo específico recibieron una ampliación presupuestal, y el 3 de diciembre del mismo año fue celebrado un convenio modificatorio para ajustar en lo particular los montos de cada obra</w:t>
      </w:r>
      <w:r>
        <w:rPr>
          <w:position w:val="8"/>
          <w:sz w:val="13"/>
        </w:rPr>
        <w:t>73</w:t>
      </w:r>
      <w:r>
        <w:rPr/>
        <w:t>. Las obras consideraban una estructura presupuestal</w:t>
      </w:r>
      <w:r>
        <w:rPr>
          <w:spacing w:val="-12"/>
        </w:rPr>
        <w:t> </w:t>
      </w:r>
      <w:r>
        <w:rPr/>
        <w:t>del</w:t>
      </w:r>
      <w:r>
        <w:rPr>
          <w:spacing w:val="-13"/>
        </w:rPr>
        <w:t> </w:t>
      </w:r>
      <w:r>
        <w:rPr/>
        <w:t>100%</w:t>
      </w:r>
      <w:r>
        <w:rPr>
          <w:spacing w:val="-13"/>
        </w:rPr>
        <w:t> </w:t>
      </w:r>
      <w:r>
        <w:rPr/>
        <w:t>de</w:t>
      </w:r>
      <w:r>
        <w:rPr>
          <w:spacing w:val="-13"/>
        </w:rPr>
        <w:t> </w:t>
      </w:r>
      <w:r>
        <w:rPr/>
        <w:t>recursos</w:t>
      </w:r>
      <w:r>
        <w:rPr>
          <w:spacing w:val="-13"/>
        </w:rPr>
        <w:t> </w:t>
      </w:r>
      <w:r>
        <w:rPr/>
        <w:t>federales,</w:t>
      </w:r>
      <w:r>
        <w:rPr>
          <w:spacing w:val="-12"/>
        </w:rPr>
        <w:t> </w:t>
      </w:r>
      <w:r>
        <w:rPr/>
        <w:t>en</w:t>
      </w:r>
      <w:r>
        <w:rPr>
          <w:spacing w:val="-13"/>
        </w:rPr>
        <w:t> </w:t>
      </w:r>
      <w:r>
        <w:rPr/>
        <w:t>cuyo</w:t>
      </w:r>
      <w:r>
        <w:rPr>
          <w:spacing w:val="-13"/>
        </w:rPr>
        <w:t> </w:t>
      </w:r>
      <w:r>
        <w:rPr/>
        <w:t>caso,</w:t>
      </w:r>
      <w:r>
        <w:rPr>
          <w:spacing w:val="-13"/>
        </w:rPr>
        <w:t> </w:t>
      </w:r>
      <w:r>
        <w:rPr/>
        <w:t>según</w:t>
      </w:r>
      <w:r>
        <w:rPr>
          <w:spacing w:val="-12"/>
        </w:rPr>
        <w:t> </w:t>
      </w:r>
      <w:r>
        <w:rPr/>
        <w:t>la</w:t>
      </w:r>
      <w:r>
        <w:rPr>
          <w:spacing w:val="-13"/>
        </w:rPr>
        <w:t> </w:t>
      </w:r>
      <w:r>
        <w:rPr/>
        <w:t>secuencia de</w:t>
      </w:r>
      <w:r>
        <w:rPr>
          <w:spacing w:val="-30"/>
        </w:rPr>
        <w:t> </w:t>
      </w:r>
      <w:r>
        <w:rPr/>
        <w:t>autorizaciones,</w:t>
      </w:r>
      <w:r>
        <w:rPr>
          <w:spacing w:val="-30"/>
        </w:rPr>
        <w:t> </w:t>
      </w:r>
      <w:r>
        <w:rPr>
          <w:spacing w:val="3"/>
        </w:rPr>
        <w:t>lamayor</w:t>
      </w:r>
      <w:r>
        <w:rPr>
          <w:spacing w:val="-30"/>
        </w:rPr>
        <w:t> </w:t>
      </w:r>
      <w:r>
        <w:rPr/>
        <w:t>parte</w:t>
      </w:r>
      <w:r>
        <w:rPr>
          <w:spacing w:val="-30"/>
        </w:rPr>
        <w:t> </w:t>
      </w:r>
      <w:r>
        <w:rPr/>
        <w:t>del</w:t>
      </w:r>
      <w:r>
        <w:rPr>
          <w:spacing w:val="-30"/>
        </w:rPr>
        <w:t> </w:t>
      </w:r>
      <w:r>
        <w:rPr/>
        <w:t>año</w:t>
      </w:r>
      <w:r>
        <w:rPr>
          <w:spacing w:val="-30"/>
        </w:rPr>
        <w:t> </w:t>
      </w:r>
      <w:r>
        <w:rPr/>
        <w:t>fue</w:t>
      </w:r>
      <w:r>
        <w:rPr>
          <w:spacing w:val="-30"/>
        </w:rPr>
        <w:t> </w:t>
      </w:r>
      <w:r>
        <w:rPr/>
        <w:t>ocupada</w:t>
      </w:r>
      <w:r>
        <w:rPr>
          <w:spacing w:val="-30"/>
        </w:rPr>
        <w:t> </w:t>
      </w:r>
      <w:r>
        <w:rPr>
          <w:spacing w:val="6"/>
        </w:rPr>
        <w:t>enla</w:t>
      </w:r>
      <w:r>
        <w:rPr>
          <w:spacing w:val="-30"/>
        </w:rPr>
        <w:t> </w:t>
      </w:r>
      <w:r>
        <w:rPr/>
        <w:t>realización</w:t>
      </w:r>
      <w:r>
        <w:rPr>
          <w:spacing w:val="-30"/>
        </w:rPr>
        <w:t> </w:t>
      </w:r>
      <w:r>
        <w:rPr/>
        <w:t>de</w:t>
      </w:r>
      <w:r>
        <w:rPr>
          <w:spacing w:val="-30"/>
        </w:rPr>
        <w:t> </w:t>
      </w:r>
      <w:r>
        <w:rPr/>
        <w:t>ajustes presupuestales.</w:t>
      </w:r>
      <w:r>
        <w:rPr>
          <w:spacing w:val="-9"/>
        </w:rPr>
        <w:t> </w:t>
      </w:r>
      <w:r>
        <w:rPr/>
        <w:t>Con</w:t>
      </w:r>
      <w:r>
        <w:rPr>
          <w:spacing w:val="-9"/>
        </w:rPr>
        <w:t> </w:t>
      </w:r>
      <w:r>
        <w:rPr/>
        <w:t>respecto</w:t>
      </w:r>
      <w:r>
        <w:rPr>
          <w:spacing w:val="-9"/>
        </w:rPr>
        <w:t> </w:t>
      </w:r>
      <w:r>
        <w:rPr/>
        <w:t>al</w:t>
      </w:r>
      <w:r>
        <w:rPr>
          <w:spacing w:val="-9"/>
        </w:rPr>
        <w:t> </w:t>
      </w:r>
      <w:r>
        <w:rPr/>
        <w:t>avance</w:t>
      </w:r>
      <w:r>
        <w:rPr>
          <w:spacing w:val="-9"/>
        </w:rPr>
        <w:t> </w:t>
      </w:r>
      <w:r>
        <w:rPr/>
        <w:t>físico</w:t>
      </w:r>
      <w:r>
        <w:rPr>
          <w:spacing w:val="-9"/>
        </w:rPr>
        <w:t> </w:t>
      </w:r>
      <w:r>
        <w:rPr/>
        <w:t>se</w:t>
      </w:r>
      <w:r>
        <w:rPr>
          <w:spacing w:val="-9"/>
        </w:rPr>
        <w:t> </w:t>
      </w:r>
      <w:r>
        <w:rPr/>
        <w:t>señala</w:t>
      </w:r>
      <w:r>
        <w:rPr>
          <w:spacing w:val="-8"/>
        </w:rPr>
        <w:t> </w:t>
      </w:r>
      <w:r>
        <w:rPr/>
        <w:t>que</w:t>
      </w:r>
      <w:r>
        <w:rPr>
          <w:spacing w:val="-9"/>
        </w:rPr>
        <w:t> </w:t>
      </w:r>
      <w:r>
        <w:rPr/>
        <w:t>el</w:t>
      </w:r>
      <w:r>
        <w:rPr>
          <w:spacing w:val="-9"/>
        </w:rPr>
        <w:t> </w:t>
      </w:r>
      <w:r>
        <w:rPr/>
        <w:t>gobierno</w:t>
      </w:r>
      <w:r>
        <w:rPr>
          <w:spacing w:val="-9"/>
        </w:rPr>
        <w:t> </w:t>
      </w:r>
      <w:r>
        <w:rPr/>
        <w:t>estatal no permitió el acceso a los avances de obra, sin embargo, por lo prolongado de la etapa de planeación presupuestal, y al indicarse que las   </w:t>
      </w:r>
      <w:r>
        <w:rPr>
          <w:spacing w:val="12"/>
        </w:rPr>
        <w:t> </w:t>
      </w:r>
      <w:r>
        <w:rPr/>
        <w:t>transferencias</w:t>
      </w:r>
    </w:p>
    <w:p>
      <w:pPr>
        <w:spacing w:line="200" w:lineRule="exact" w:before="1"/>
        <w:ind w:left="344" w:right="108" w:hanging="227"/>
        <w:jc w:val="both"/>
        <w:rPr>
          <w:sz w:val="18"/>
        </w:rPr>
      </w:pPr>
      <w:r>
        <w:rPr>
          <w:position w:val="7"/>
          <w:sz w:val="11"/>
        </w:rPr>
        <w:t>72</w:t>
      </w:r>
      <w:r>
        <w:rPr>
          <w:spacing w:val="16"/>
          <w:position w:val="7"/>
          <w:sz w:val="11"/>
        </w:rPr>
        <w:t> </w:t>
      </w:r>
      <w:r>
        <w:rPr>
          <w:sz w:val="18"/>
        </w:rPr>
        <w:t>Información proporcionada por la secretaría de comunicaciones y transportes, según solicitud al sistema</w:t>
      </w:r>
      <w:r>
        <w:rPr>
          <w:spacing w:val="-8"/>
          <w:sz w:val="18"/>
        </w:rPr>
        <w:t> </w:t>
      </w:r>
      <w:r>
        <w:rPr>
          <w:sz w:val="18"/>
        </w:rPr>
        <w:t>INFOMEX</w:t>
      </w:r>
      <w:r>
        <w:rPr>
          <w:spacing w:val="-8"/>
          <w:sz w:val="18"/>
        </w:rPr>
        <w:t> </w:t>
      </w:r>
      <w:r>
        <w:rPr>
          <w:sz w:val="18"/>
        </w:rPr>
        <w:t>gobierno</w:t>
      </w:r>
      <w:r>
        <w:rPr>
          <w:spacing w:val="-8"/>
          <w:sz w:val="18"/>
        </w:rPr>
        <w:t> </w:t>
      </w:r>
      <w:r>
        <w:rPr>
          <w:sz w:val="18"/>
        </w:rPr>
        <w:t>federal</w:t>
      </w:r>
      <w:r>
        <w:rPr>
          <w:spacing w:val="-8"/>
          <w:sz w:val="18"/>
        </w:rPr>
        <w:t> </w:t>
      </w:r>
      <w:r>
        <w:rPr>
          <w:sz w:val="18"/>
        </w:rPr>
        <w:t>con</w:t>
      </w:r>
      <w:r>
        <w:rPr>
          <w:spacing w:val="-8"/>
          <w:sz w:val="18"/>
        </w:rPr>
        <w:t> </w:t>
      </w:r>
      <w:r>
        <w:rPr>
          <w:sz w:val="18"/>
        </w:rPr>
        <w:t>número</w:t>
      </w:r>
      <w:r>
        <w:rPr>
          <w:spacing w:val="-8"/>
          <w:sz w:val="18"/>
        </w:rPr>
        <w:t> </w:t>
      </w:r>
      <w:r>
        <w:rPr>
          <w:sz w:val="18"/>
        </w:rPr>
        <w:t>de</w:t>
      </w:r>
      <w:r>
        <w:rPr>
          <w:spacing w:val="-8"/>
          <w:sz w:val="18"/>
        </w:rPr>
        <w:t> </w:t>
      </w:r>
      <w:r>
        <w:rPr>
          <w:sz w:val="18"/>
        </w:rPr>
        <w:t>folio</w:t>
      </w:r>
      <w:r>
        <w:rPr>
          <w:spacing w:val="-8"/>
          <w:sz w:val="18"/>
        </w:rPr>
        <w:t> </w:t>
      </w:r>
      <w:r>
        <w:rPr>
          <w:sz w:val="18"/>
        </w:rPr>
        <w:t>0000900014611,</w:t>
      </w:r>
      <w:r>
        <w:rPr>
          <w:spacing w:val="-8"/>
          <w:sz w:val="18"/>
        </w:rPr>
        <w:t> </w:t>
      </w:r>
      <w:r>
        <w:rPr>
          <w:sz w:val="18"/>
        </w:rPr>
        <w:t>2</w:t>
      </w:r>
      <w:r>
        <w:rPr>
          <w:spacing w:val="-8"/>
          <w:sz w:val="18"/>
        </w:rPr>
        <w:t> </w:t>
      </w:r>
      <w:r>
        <w:rPr>
          <w:sz w:val="18"/>
        </w:rPr>
        <w:t>de</w:t>
      </w:r>
      <w:r>
        <w:rPr>
          <w:spacing w:val="-8"/>
          <w:sz w:val="18"/>
        </w:rPr>
        <w:t> </w:t>
      </w:r>
      <w:r>
        <w:rPr>
          <w:sz w:val="18"/>
        </w:rPr>
        <w:t>marzo</w:t>
      </w:r>
      <w:r>
        <w:rPr>
          <w:spacing w:val="-8"/>
          <w:sz w:val="18"/>
        </w:rPr>
        <w:t> </w:t>
      </w:r>
      <w:r>
        <w:rPr>
          <w:sz w:val="18"/>
        </w:rPr>
        <w:t>del</w:t>
      </w:r>
      <w:r>
        <w:rPr>
          <w:spacing w:val="-8"/>
          <w:sz w:val="18"/>
        </w:rPr>
        <w:t> </w:t>
      </w:r>
      <w:r>
        <w:rPr>
          <w:sz w:val="18"/>
        </w:rPr>
        <w:t>2011. Véase cuadro elaborado por el autor en los</w:t>
      </w:r>
      <w:r>
        <w:rPr>
          <w:spacing w:val="-9"/>
          <w:sz w:val="18"/>
        </w:rPr>
        <w:t> </w:t>
      </w:r>
      <w:r>
        <w:rPr>
          <w:sz w:val="18"/>
        </w:rPr>
        <w:t>anexos.</w:t>
      </w:r>
    </w:p>
    <w:p>
      <w:pPr>
        <w:spacing w:before="27"/>
        <w:ind w:left="117" w:right="0" w:firstLine="0"/>
        <w:jc w:val="both"/>
        <w:rPr>
          <w:i/>
          <w:sz w:val="18"/>
        </w:rPr>
      </w:pPr>
      <w:r>
        <w:rPr>
          <w:w w:val="105"/>
          <w:position w:val="7"/>
          <w:sz w:val="11"/>
        </w:rPr>
        <w:t>73  </w:t>
      </w:r>
      <w:r>
        <w:rPr>
          <w:i/>
          <w:w w:val="105"/>
          <w:sz w:val="18"/>
        </w:rPr>
        <w:t>Ibídem.</w:t>
      </w:r>
    </w:p>
    <w:p>
      <w:pPr>
        <w:spacing w:after="0"/>
        <w:jc w:val="both"/>
        <w:rPr>
          <w:sz w:val="18"/>
        </w:rPr>
        <w:sectPr>
          <w:pgSz w:w="9360" w:h="13040"/>
          <w:pgMar w:header="547" w:footer="514" w:top="940" w:bottom="700" w:left="1300" w:right="740"/>
        </w:sectPr>
      </w:pPr>
    </w:p>
    <w:p>
      <w:pPr>
        <w:pStyle w:val="BodyText"/>
        <w:rPr>
          <w:i/>
          <w:sz w:val="20"/>
        </w:rPr>
      </w:pPr>
    </w:p>
    <w:p>
      <w:pPr>
        <w:pStyle w:val="BodyText"/>
        <w:spacing w:before="1"/>
        <w:rPr>
          <w:i/>
          <w:sz w:val="29"/>
        </w:rPr>
      </w:pPr>
    </w:p>
    <w:p>
      <w:pPr>
        <w:spacing w:line="235" w:lineRule="auto" w:before="75"/>
        <w:ind w:left="110" w:right="114" w:firstLine="0"/>
        <w:jc w:val="both"/>
        <w:rPr>
          <w:sz w:val="23"/>
        </w:rPr>
      </w:pPr>
      <w:r>
        <w:rPr>
          <w:sz w:val="23"/>
        </w:rPr>
        <w:t>aplican para </w:t>
      </w:r>
      <w:r>
        <w:rPr>
          <w:i/>
          <w:sz w:val="23"/>
        </w:rPr>
        <w:t>aquellas obras que con anterioridad se tenían en proceso por </w:t>
      </w:r>
      <w:r>
        <w:rPr>
          <w:i/>
          <w:sz w:val="23"/>
        </w:rPr>
        <w:t>esta entidad</w:t>
      </w:r>
      <w:r>
        <w:rPr>
          <w:position w:val="8"/>
          <w:sz w:val="13"/>
        </w:rPr>
        <w:t>74</w:t>
      </w:r>
      <w:r>
        <w:rPr>
          <w:i/>
          <w:sz w:val="23"/>
        </w:rPr>
        <w:t>, </w:t>
      </w:r>
      <w:r>
        <w:rPr>
          <w:sz w:val="23"/>
        </w:rPr>
        <w:t>puede deducirse que las obras se realizan generalmente con el financiamiento extemporáneo de varios ejercicios presupuestales</w:t>
      </w:r>
      <w:r>
        <w:rPr>
          <w:i/>
          <w:sz w:val="23"/>
        </w:rPr>
        <w:t>. </w:t>
      </w:r>
      <w:r>
        <w:rPr>
          <w:sz w:val="23"/>
        </w:rPr>
        <w:t>Al cierre del</w:t>
      </w:r>
      <w:r>
        <w:rPr>
          <w:spacing w:val="-6"/>
          <w:sz w:val="23"/>
        </w:rPr>
        <w:t> </w:t>
      </w:r>
      <w:r>
        <w:rPr>
          <w:sz w:val="23"/>
        </w:rPr>
        <w:t>ejercicio</w:t>
      </w:r>
      <w:r>
        <w:rPr>
          <w:spacing w:val="-6"/>
          <w:sz w:val="23"/>
        </w:rPr>
        <w:t> </w:t>
      </w:r>
      <w:r>
        <w:rPr>
          <w:sz w:val="23"/>
        </w:rPr>
        <w:t>2008</w:t>
      </w:r>
      <w:r>
        <w:rPr>
          <w:spacing w:val="-6"/>
          <w:sz w:val="23"/>
        </w:rPr>
        <w:t> </w:t>
      </w:r>
      <w:r>
        <w:rPr>
          <w:sz w:val="23"/>
        </w:rPr>
        <w:t>acontecieron</w:t>
      </w:r>
      <w:r>
        <w:rPr>
          <w:spacing w:val="-7"/>
          <w:sz w:val="23"/>
        </w:rPr>
        <w:t> </w:t>
      </w:r>
      <w:r>
        <w:rPr>
          <w:sz w:val="23"/>
        </w:rPr>
        <w:t>divergencias</w:t>
      </w:r>
      <w:r>
        <w:rPr>
          <w:spacing w:val="-6"/>
          <w:sz w:val="23"/>
        </w:rPr>
        <w:t> </w:t>
      </w:r>
      <w:r>
        <w:rPr>
          <w:sz w:val="23"/>
        </w:rPr>
        <w:t>en</w:t>
      </w:r>
      <w:r>
        <w:rPr>
          <w:spacing w:val="-6"/>
          <w:sz w:val="23"/>
        </w:rPr>
        <w:t> </w:t>
      </w:r>
      <w:r>
        <w:rPr>
          <w:sz w:val="23"/>
        </w:rPr>
        <w:t>la</w:t>
      </w:r>
      <w:r>
        <w:rPr>
          <w:spacing w:val="-6"/>
          <w:sz w:val="23"/>
        </w:rPr>
        <w:t> </w:t>
      </w:r>
      <w:r>
        <w:rPr>
          <w:sz w:val="23"/>
        </w:rPr>
        <w:t>descentralización</w:t>
      </w:r>
      <w:r>
        <w:rPr>
          <w:spacing w:val="-6"/>
          <w:sz w:val="23"/>
        </w:rPr>
        <w:t> </w:t>
      </w:r>
      <w:r>
        <w:rPr>
          <w:sz w:val="23"/>
        </w:rPr>
        <w:t>del</w:t>
      </w:r>
      <w:r>
        <w:rPr>
          <w:spacing w:val="-6"/>
          <w:sz w:val="23"/>
        </w:rPr>
        <w:t> </w:t>
      </w:r>
      <w:r>
        <w:rPr>
          <w:sz w:val="23"/>
        </w:rPr>
        <w:t>gasto en comunicaciones, pues </w:t>
      </w:r>
      <w:r>
        <w:rPr>
          <w:i/>
          <w:sz w:val="23"/>
        </w:rPr>
        <w:t>en 2009 no se suscribió convenio de reasignación </w:t>
      </w:r>
      <w:r>
        <w:rPr>
          <w:i/>
          <w:sz w:val="23"/>
        </w:rPr>
        <w:t>de recursos con el</w:t>
      </w:r>
      <w:r>
        <w:rPr>
          <w:i/>
          <w:spacing w:val="-8"/>
          <w:sz w:val="23"/>
        </w:rPr>
        <w:t> </w:t>
      </w:r>
      <w:r>
        <w:rPr>
          <w:i/>
          <w:sz w:val="23"/>
        </w:rPr>
        <w:t>estado</w:t>
      </w:r>
      <w:r>
        <w:rPr>
          <w:position w:val="8"/>
          <w:sz w:val="13"/>
        </w:rPr>
        <w:t>75</w:t>
      </w:r>
      <w:r>
        <w:rPr>
          <w:sz w:val="23"/>
        </w:rPr>
        <w:t>.</w:t>
      </w:r>
    </w:p>
    <w:p>
      <w:pPr>
        <w:pStyle w:val="BodyText"/>
        <w:spacing w:before="7"/>
        <w:rPr>
          <w:sz w:val="22"/>
        </w:rPr>
      </w:pPr>
    </w:p>
    <w:p>
      <w:pPr>
        <w:pStyle w:val="BodyText"/>
        <w:spacing w:line="235" w:lineRule="auto" w:before="1"/>
        <w:ind w:left="110" w:right="114"/>
        <w:jc w:val="both"/>
      </w:pPr>
      <w:r>
        <w:rPr/>
        <w:t>La Secretaría de Salud (SSA, federal), por su parte, transfirió al gobierno hidalguense, mediante convenio de fecha 28 de marzo del 2008, noventa y cuatro millones cuatrocientos veintiséis mil ciento siete pesos, mismos que fueron aplicados a siete acciones relativas a la construcción o ampliación    de clínicas y hospitales</w:t>
      </w:r>
      <w:r>
        <w:rPr>
          <w:position w:val="8"/>
          <w:sz w:val="13"/>
        </w:rPr>
        <w:t>76</w:t>
      </w:r>
      <w:r>
        <w:rPr/>
        <w:t>. La mayor parte de las obras consideraban una estructura presupuestal del 100% de recursos federales, sólo dos de ellas contaban con recursos estatales en un promedio del 27.12%</w:t>
      </w:r>
      <w:r>
        <w:rPr>
          <w:position w:val="8"/>
          <w:sz w:val="13"/>
        </w:rPr>
        <w:t>77</w:t>
      </w:r>
      <w:r>
        <w:rPr/>
        <w:t>. Las obras     del sector salud fueron francamente planeadas para su ejecución en varios ejercicios presupuestales, de tal modo que la duración media de las siete fue de casi cuatro años, con una asignación promedio por ejercicio (aunque no constante) del 33.42% del total</w:t>
      </w:r>
      <w:r>
        <w:rPr>
          <w:spacing w:val="1"/>
        </w:rPr>
        <w:t> </w:t>
      </w:r>
      <w:r>
        <w:rPr/>
        <w:t>federal</w:t>
      </w:r>
      <w:r>
        <w:rPr>
          <w:position w:val="8"/>
          <w:sz w:val="13"/>
        </w:rPr>
        <w:t>78</w:t>
      </w:r>
      <w:r>
        <w:rPr/>
        <w:t>.</w:t>
      </w:r>
    </w:p>
    <w:p>
      <w:pPr>
        <w:pStyle w:val="BodyText"/>
        <w:spacing w:before="7"/>
        <w:rPr>
          <w:sz w:val="22"/>
        </w:rPr>
      </w:pPr>
    </w:p>
    <w:p>
      <w:pPr>
        <w:pStyle w:val="BodyText"/>
        <w:spacing w:line="235" w:lineRule="auto" w:before="1"/>
        <w:ind w:left="110" w:right="114"/>
        <w:jc w:val="both"/>
      </w:pPr>
      <w:r>
        <w:rPr/>
        <w:t>La Secretaría de Turismo (SECTUR, federal) también realizó transferencias al gobierno del Estado de Hidalgo en 2008, en este caso por noventa y nueve millones doscientos cuarenta y dos mil pesos para once acciones, diez de las cuales eran obras de rehabilitación de imagen urbana</w:t>
      </w:r>
      <w:r>
        <w:rPr>
          <w:position w:val="8"/>
          <w:sz w:val="13"/>
        </w:rPr>
        <w:t>79</w:t>
      </w:r>
      <w:r>
        <w:rPr/>
        <w:t>. En forma similar al ajuste presupuestal realizado en el convenio con la </w:t>
      </w:r>
      <w:r>
        <w:rPr>
          <w:spacing w:val="-5"/>
        </w:rPr>
        <w:t>SCT, </w:t>
      </w:r>
      <w:r>
        <w:rPr/>
        <w:t>el 31 de marzo del 2008 fue suscrito un convenio de reasignación de recursos entre la SECTUR y el gobierno estatal, y el 24 de septiembre del mismo año fue celebrado     un convenio modificatorio para ajustar en lo particular los montos de cada obra</w:t>
      </w:r>
      <w:r>
        <w:rPr>
          <w:position w:val="8"/>
          <w:sz w:val="13"/>
        </w:rPr>
        <w:t>80</w:t>
      </w:r>
      <w:r>
        <w:rPr/>
        <w:t>. Como diferencia significativa, las obras consideraron una estructura presupuestal</w:t>
      </w:r>
      <w:r>
        <w:rPr>
          <w:spacing w:val="-18"/>
        </w:rPr>
        <w:t> </w:t>
      </w:r>
      <w:r>
        <w:rPr/>
        <w:t>cofinanciada</w:t>
      </w:r>
      <w:r>
        <w:rPr>
          <w:spacing w:val="-18"/>
        </w:rPr>
        <w:t> </w:t>
      </w:r>
      <w:r>
        <w:rPr/>
        <w:t>por</w:t>
      </w:r>
      <w:r>
        <w:rPr>
          <w:spacing w:val="-18"/>
        </w:rPr>
        <w:t> </w:t>
      </w:r>
      <w:r>
        <w:rPr/>
        <w:t>la</w:t>
      </w:r>
      <w:r>
        <w:rPr>
          <w:spacing w:val="-18"/>
        </w:rPr>
        <w:t> </w:t>
      </w:r>
      <w:r>
        <w:rPr/>
        <w:t>federación</w:t>
      </w:r>
      <w:r>
        <w:rPr>
          <w:spacing w:val="-18"/>
        </w:rPr>
        <w:t> </w:t>
      </w:r>
      <w:r>
        <w:rPr/>
        <w:t>y</w:t>
      </w:r>
      <w:r>
        <w:rPr>
          <w:spacing w:val="-18"/>
        </w:rPr>
        <w:t> </w:t>
      </w:r>
      <w:r>
        <w:rPr/>
        <w:t>el</w:t>
      </w:r>
      <w:r>
        <w:rPr>
          <w:spacing w:val="-18"/>
        </w:rPr>
        <w:t> </w:t>
      </w:r>
      <w:r>
        <w:rPr/>
        <w:t>gobierno</w:t>
      </w:r>
      <w:r>
        <w:rPr>
          <w:spacing w:val="-18"/>
        </w:rPr>
        <w:t> </w:t>
      </w:r>
      <w:r>
        <w:rPr/>
        <w:t>estatal</w:t>
      </w:r>
      <w:r>
        <w:rPr>
          <w:spacing w:val="-18"/>
        </w:rPr>
        <w:t> </w:t>
      </w:r>
      <w:r>
        <w:rPr/>
        <w:t>en</w:t>
      </w:r>
      <w:r>
        <w:rPr>
          <w:spacing w:val="-18"/>
        </w:rPr>
        <w:t> </w:t>
      </w:r>
      <w:r>
        <w:rPr/>
        <w:t>proporción</w:t>
      </w:r>
    </w:p>
    <w:p>
      <w:pPr>
        <w:pStyle w:val="BodyText"/>
        <w:spacing w:before="8"/>
        <w:rPr>
          <w:sz w:val="10"/>
        </w:rPr>
      </w:pPr>
      <w:r>
        <w:rPr/>
        <w:pict>
          <v:line style="position:absolute;mso-position-horizontal-relative:page;mso-position-vertical-relative:paragraph;z-index:2392;mso-wrap-distance-left:0;mso-wrap-distance-right:0" from="42.519699pt,8.6186pt" to="114.519699pt,8.6186pt" stroked="true" strokeweight="1pt" strokecolor="#000000">
            <w10:wrap type="topAndBottom"/>
          </v:line>
        </w:pict>
      </w:r>
    </w:p>
    <w:p>
      <w:pPr>
        <w:spacing w:before="28"/>
        <w:ind w:left="110" w:right="0" w:firstLine="0"/>
        <w:jc w:val="left"/>
        <w:rPr>
          <w:i/>
          <w:sz w:val="18"/>
        </w:rPr>
      </w:pPr>
      <w:r>
        <w:rPr>
          <w:w w:val="105"/>
          <w:position w:val="7"/>
          <w:sz w:val="11"/>
        </w:rPr>
        <w:t>74  </w:t>
      </w:r>
      <w:r>
        <w:rPr>
          <w:i/>
          <w:w w:val="105"/>
          <w:sz w:val="18"/>
        </w:rPr>
        <w:t>Ibídem.</w:t>
      </w:r>
    </w:p>
    <w:p>
      <w:pPr>
        <w:spacing w:before="28"/>
        <w:ind w:left="110" w:right="0" w:firstLine="0"/>
        <w:jc w:val="left"/>
        <w:rPr>
          <w:i/>
          <w:sz w:val="18"/>
        </w:rPr>
      </w:pPr>
      <w:r>
        <w:rPr>
          <w:w w:val="105"/>
          <w:position w:val="7"/>
          <w:sz w:val="11"/>
        </w:rPr>
        <w:t>75  </w:t>
      </w:r>
      <w:r>
        <w:rPr>
          <w:i/>
          <w:w w:val="105"/>
          <w:sz w:val="18"/>
        </w:rPr>
        <w:t>Ibídem.</w:t>
      </w:r>
    </w:p>
    <w:p>
      <w:pPr>
        <w:spacing w:line="249" w:lineRule="auto" w:before="28"/>
        <w:ind w:left="337" w:right="114" w:hanging="227"/>
        <w:jc w:val="both"/>
        <w:rPr>
          <w:sz w:val="18"/>
        </w:rPr>
      </w:pPr>
      <w:r>
        <w:rPr>
          <w:position w:val="7"/>
          <w:sz w:val="11"/>
        </w:rPr>
        <w:t>76 </w:t>
      </w:r>
      <w:r>
        <w:rPr>
          <w:sz w:val="18"/>
        </w:rPr>
        <w:t>Información proporcionada por la secretaría de salud, según solicitud al sistema INFOMEX gobierno federal con número de folio 0001200018211, 28 de febrero del 2011. Véase cuadro elaborado por el autor en los anexos.</w:t>
      </w:r>
    </w:p>
    <w:p>
      <w:pPr>
        <w:spacing w:before="20"/>
        <w:ind w:left="110" w:right="0" w:firstLine="0"/>
        <w:jc w:val="left"/>
        <w:rPr>
          <w:i/>
          <w:sz w:val="18"/>
        </w:rPr>
      </w:pPr>
      <w:r>
        <w:rPr>
          <w:w w:val="105"/>
          <w:position w:val="7"/>
          <w:sz w:val="11"/>
        </w:rPr>
        <w:t>77  </w:t>
      </w:r>
      <w:r>
        <w:rPr>
          <w:i/>
          <w:w w:val="105"/>
          <w:sz w:val="18"/>
        </w:rPr>
        <w:t>Ibídem.</w:t>
      </w:r>
    </w:p>
    <w:p>
      <w:pPr>
        <w:spacing w:before="28"/>
        <w:ind w:left="110" w:right="0" w:firstLine="0"/>
        <w:jc w:val="left"/>
        <w:rPr>
          <w:i/>
          <w:sz w:val="18"/>
        </w:rPr>
      </w:pPr>
      <w:r>
        <w:rPr>
          <w:w w:val="105"/>
          <w:position w:val="7"/>
          <w:sz w:val="11"/>
        </w:rPr>
        <w:t>78  </w:t>
      </w:r>
      <w:r>
        <w:rPr>
          <w:i/>
          <w:w w:val="105"/>
          <w:sz w:val="18"/>
        </w:rPr>
        <w:t>Ibídem.</w:t>
      </w:r>
    </w:p>
    <w:p>
      <w:pPr>
        <w:spacing w:line="249" w:lineRule="auto" w:before="28"/>
        <w:ind w:left="337" w:right="114" w:hanging="227"/>
        <w:jc w:val="both"/>
        <w:rPr>
          <w:sz w:val="18"/>
        </w:rPr>
      </w:pPr>
      <w:r>
        <w:rPr>
          <w:position w:val="7"/>
          <w:sz w:val="11"/>
        </w:rPr>
        <w:t>79 </w:t>
      </w:r>
      <w:r>
        <w:rPr>
          <w:sz w:val="18"/>
        </w:rPr>
        <w:t>Información proporcionada por la secretaría de turismo, según solicitud al sistema INFOMEX gobierno federal con número de folio 0002100001511, 31 de enero del 2011. Véase cuadro elaborado por el autor en los anexos.</w:t>
      </w:r>
    </w:p>
    <w:p>
      <w:pPr>
        <w:spacing w:before="20"/>
        <w:ind w:left="110" w:right="0" w:firstLine="0"/>
        <w:jc w:val="left"/>
        <w:rPr>
          <w:i/>
          <w:sz w:val="18"/>
        </w:rPr>
      </w:pPr>
      <w:r>
        <w:rPr>
          <w:w w:val="105"/>
          <w:position w:val="7"/>
          <w:sz w:val="11"/>
        </w:rPr>
        <w:t>80  </w:t>
      </w:r>
      <w:r>
        <w:rPr>
          <w:i/>
          <w:w w:val="105"/>
          <w:sz w:val="18"/>
        </w:rPr>
        <w:t>Ibídem.</w:t>
      </w:r>
    </w:p>
    <w:p>
      <w:pPr>
        <w:spacing w:after="0"/>
        <w:jc w:val="left"/>
        <w:rPr>
          <w:sz w:val="18"/>
        </w:rPr>
        <w:sectPr>
          <w:pgSz w:w="9360" w:h="13040"/>
          <w:pgMar w:header="527" w:footer="515" w:top="720" w:bottom="700" w:left="740" w:right="1300"/>
        </w:sectPr>
      </w:pPr>
    </w:p>
    <w:p>
      <w:pPr>
        <w:pStyle w:val="BodyText"/>
        <w:spacing w:before="11"/>
        <w:rPr>
          <w:i/>
          <w:sz w:val="29"/>
        </w:rPr>
      </w:pPr>
    </w:p>
    <w:p>
      <w:pPr>
        <w:pStyle w:val="BodyText"/>
        <w:spacing w:line="235" w:lineRule="auto" w:before="74"/>
        <w:ind w:left="117" w:right="108"/>
        <w:jc w:val="both"/>
      </w:pPr>
      <w:r>
        <w:rPr/>
        <w:t>50-50. Sobre los avances de obra, al 31 de diciembre del 2008, el adelanto físico promedio en las obras era del 47.86%, mientras que el financiero era del</w:t>
      </w:r>
      <w:r>
        <w:rPr>
          <w:spacing w:val="-6"/>
        </w:rPr>
        <w:t> </w:t>
      </w:r>
      <w:r>
        <w:rPr/>
        <w:t>50.73%</w:t>
      </w:r>
      <w:r>
        <w:rPr>
          <w:position w:val="8"/>
          <w:sz w:val="13"/>
        </w:rPr>
        <w:t>81</w:t>
      </w:r>
      <w:r>
        <w:rPr/>
        <w:t>.</w:t>
      </w:r>
      <w:r>
        <w:rPr>
          <w:spacing w:val="-6"/>
        </w:rPr>
        <w:t> </w:t>
      </w:r>
      <w:r>
        <w:rPr/>
        <w:t>En</w:t>
      </w:r>
      <w:r>
        <w:rPr>
          <w:spacing w:val="-6"/>
        </w:rPr>
        <w:t> </w:t>
      </w:r>
      <w:r>
        <w:rPr/>
        <w:t>general,</w:t>
      </w:r>
      <w:r>
        <w:rPr>
          <w:spacing w:val="-6"/>
        </w:rPr>
        <w:t> </w:t>
      </w:r>
      <w:r>
        <w:rPr/>
        <w:t>las</w:t>
      </w:r>
      <w:r>
        <w:rPr>
          <w:spacing w:val="-6"/>
        </w:rPr>
        <w:t> </w:t>
      </w:r>
      <w:r>
        <w:rPr/>
        <w:t>obras</w:t>
      </w:r>
      <w:r>
        <w:rPr>
          <w:spacing w:val="-6"/>
        </w:rPr>
        <w:t> </w:t>
      </w:r>
      <w:r>
        <w:rPr/>
        <w:t>alcanzaron</w:t>
      </w:r>
      <w:r>
        <w:rPr>
          <w:spacing w:val="-6"/>
        </w:rPr>
        <w:t> </w:t>
      </w:r>
      <w:r>
        <w:rPr/>
        <w:t>el</w:t>
      </w:r>
      <w:r>
        <w:rPr>
          <w:spacing w:val="-6"/>
        </w:rPr>
        <w:t> </w:t>
      </w:r>
      <w:r>
        <w:rPr/>
        <w:t>100%</w:t>
      </w:r>
      <w:r>
        <w:rPr>
          <w:spacing w:val="-6"/>
        </w:rPr>
        <w:t> </w:t>
      </w:r>
      <w:r>
        <w:rPr/>
        <w:t>de</w:t>
      </w:r>
      <w:r>
        <w:rPr>
          <w:spacing w:val="-6"/>
        </w:rPr>
        <w:t> </w:t>
      </w:r>
      <w:r>
        <w:rPr/>
        <w:t>sus</w:t>
      </w:r>
      <w:r>
        <w:rPr>
          <w:spacing w:val="-6"/>
        </w:rPr>
        <w:t> </w:t>
      </w:r>
      <w:r>
        <w:rPr/>
        <w:t>avances</w:t>
      </w:r>
      <w:r>
        <w:rPr>
          <w:spacing w:val="-7"/>
        </w:rPr>
        <w:t> </w:t>
      </w:r>
      <w:r>
        <w:rPr/>
        <w:t>físicos y financieros hasta el 31 de mayo del 2010, esto es, diecisiete meses después de que concluyó el ejercicio presupuestal 2008. Adicionalmente, al igual que sucedió en los convenios SCT y SSA, las obras se realizan generalmente con el</w:t>
      </w:r>
      <w:r>
        <w:rPr>
          <w:spacing w:val="-13"/>
        </w:rPr>
        <w:t> </w:t>
      </w:r>
      <w:r>
        <w:rPr/>
        <w:t>financiamiento</w:t>
      </w:r>
      <w:r>
        <w:rPr>
          <w:spacing w:val="-13"/>
        </w:rPr>
        <w:t> </w:t>
      </w:r>
      <w:r>
        <w:rPr/>
        <w:t>extemporáneo</w:t>
      </w:r>
      <w:r>
        <w:rPr>
          <w:spacing w:val="-13"/>
        </w:rPr>
        <w:t> </w:t>
      </w:r>
      <w:r>
        <w:rPr/>
        <w:t>de</w:t>
      </w:r>
      <w:r>
        <w:rPr>
          <w:spacing w:val="-13"/>
        </w:rPr>
        <w:t> </w:t>
      </w:r>
      <w:r>
        <w:rPr/>
        <w:t>varios</w:t>
      </w:r>
      <w:r>
        <w:rPr>
          <w:spacing w:val="-13"/>
        </w:rPr>
        <w:t> </w:t>
      </w:r>
      <w:r>
        <w:rPr/>
        <w:t>ejercicios</w:t>
      </w:r>
      <w:r>
        <w:rPr>
          <w:spacing w:val="-13"/>
        </w:rPr>
        <w:t> </w:t>
      </w:r>
      <w:r>
        <w:rPr/>
        <w:t>presupuestales,</w:t>
      </w:r>
      <w:r>
        <w:rPr>
          <w:spacing w:val="-13"/>
        </w:rPr>
        <w:t> </w:t>
      </w:r>
      <w:r>
        <w:rPr/>
        <w:t>ya</w:t>
      </w:r>
      <w:r>
        <w:rPr>
          <w:spacing w:val="-13"/>
        </w:rPr>
        <w:t> </w:t>
      </w:r>
      <w:r>
        <w:rPr/>
        <w:t>que</w:t>
      </w:r>
      <w:r>
        <w:rPr>
          <w:spacing w:val="-13"/>
        </w:rPr>
        <w:t> </w:t>
      </w:r>
      <w:r>
        <w:rPr/>
        <w:t>en el</w:t>
      </w:r>
      <w:r>
        <w:rPr>
          <w:spacing w:val="-7"/>
        </w:rPr>
        <w:t> </w:t>
      </w:r>
      <w:r>
        <w:rPr/>
        <w:t>ejercicio</w:t>
      </w:r>
      <w:r>
        <w:rPr>
          <w:spacing w:val="-8"/>
        </w:rPr>
        <w:t> </w:t>
      </w:r>
      <w:r>
        <w:rPr/>
        <w:t>2008</w:t>
      </w:r>
      <w:r>
        <w:rPr>
          <w:spacing w:val="-7"/>
        </w:rPr>
        <w:t> </w:t>
      </w:r>
      <w:r>
        <w:rPr/>
        <w:t>dos</w:t>
      </w:r>
      <w:r>
        <w:rPr>
          <w:spacing w:val="-7"/>
        </w:rPr>
        <w:t> </w:t>
      </w:r>
      <w:r>
        <w:rPr/>
        <w:t>obras</w:t>
      </w:r>
      <w:r>
        <w:rPr>
          <w:spacing w:val="-7"/>
        </w:rPr>
        <w:t> </w:t>
      </w:r>
      <w:r>
        <w:rPr/>
        <w:t>estaban</w:t>
      </w:r>
      <w:r>
        <w:rPr>
          <w:spacing w:val="-8"/>
        </w:rPr>
        <w:t> </w:t>
      </w:r>
      <w:r>
        <w:rPr/>
        <w:t>en</w:t>
      </w:r>
      <w:r>
        <w:rPr>
          <w:spacing w:val="-7"/>
        </w:rPr>
        <w:t> </w:t>
      </w:r>
      <w:r>
        <w:rPr/>
        <w:t>su</w:t>
      </w:r>
      <w:r>
        <w:rPr>
          <w:spacing w:val="-7"/>
        </w:rPr>
        <w:t> </w:t>
      </w:r>
      <w:r>
        <w:rPr/>
        <w:t>primera</w:t>
      </w:r>
      <w:r>
        <w:rPr>
          <w:spacing w:val="-7"/>
        </w:rPr>
        <w:t> </w:t>
      </w:r>
      <w:r>
        <w:rPr/>
        <w:t>etapa,</w:t>
      </w:r>
      <w:r>
        <w:rPr>
          <w:spacing w:val="-7"/>
        </w:rPr>
        <w:t> </w:t>
      </w:r>
      <w:r>
        <w:rPr/>
        <w:t>cuatro</w:t>
      </w:r>
      <w:r>
        <w:rPr>
          <w:spacing w:val="-7"/>
        </w:rPr>
        <w:t> </w:t>
      </w:r>
      <w:r>
        <w:rPr/>
        <w:t>en</w:t>
      </w:r>
      <w:r>
        <w:rPr>
          <w:spacing w:val="-7"/>
        </w:rPr>
        <w:t> </w:t>
      </w:r>
      <w:r>
        <w:rPr/>
        <w:t>su</w:t>
      </w:r>
      <w:r>
        <w:rPr>
          <w:spacing w:val="-7"/>
        </w:rPr>
        <w:t> </w:t>
      </w:r>
      <w:r>
        <w:rPr/>
        <w:t>segunda, dos en su tercera, una en su quinta y una en su</w:t>
      </w:r>
      <w:r>
        <w:rPr>
          <w:spacing w:val="-5"/>
        </w:rPr>
        <w:t> </w:t>
      </w:r>
      <w:r>
        <w:rPr/>
        <w:t>octava</w:t>
      </w:r>
      <w:r>
        <w:rPr>
          <w:position w:val="8"/>
          <w:sz w:val="13"/>
        </w:rPr>
        <w:t>82</w:t>
      </w:r>
      <w:r>
        <w:rPr/>
        <w:t>.</w:t>
      </w:r>
    </w:p>
    <w:p>
      <w:pPr>
        <w:pStyle w:val="BodyText"/>
        <w:spacing w:before="3"/>
        <w:rPr>
          <w:sz w:val="22"/>
        </w:rPr>
      </w:pPr>
    </w:p>
    <w:p>
      <w:pPr>
        <w:pStyle w:val="Heading3"/>
      </w:pPr>
      <w:bookmarkStart w:name="_TOC_250020" w:id="23"/>
      <w:bookmarkEnd w:id="23"/>
      <w:r>
        <w:rPr/>
        <w:t>La nueva refinería petrolera de Tula.</w:t>
      </w:r>
    </w:p>
    <w:p>
      <w:pPr>
        <w:pStyle w:val="BodyText"/>
        <w:spacing w:before="6"/>
        <w:rPr>
          <w:b/>
          <w:sz w:val="22"/>
        </w:rPr>
      </w:pPr>
    </w:p>
    <w:p>
      <w:pPr>
        <w:pStyle w:val="BodyText"/>
        <w:spacing w:line="235" w:lineRule="auto" w:before="1"/>
        <w:ind w:left="117" w:right="107"/>
        <w:jc w:val="both"/>
      </w:pPr>
      <w:r>
        <w:rPr/>
        <w:pict>
          <v:line style="position:absolute;mso-position-horizontal-relative:page;mso-position-vertical-relative:paragraph;z-index:2416;mso-wrap-distance-left:0;mso-wrap-distance-right:0" from="70.866096pt,149.883102pt" to="142.866096pt,149.883102pt" stroked="true" strokeweight="1pt" strokecolor="#000000">
            <w10:wrap type="topAndBottom"/>
          </v:line>
        </w:pict>
      </w:r>
      <w:r>
        <w:rPr/>
        <w:t>El origen de este proyecto obedece a la iniciativa sexenal (2006-2012) de    la entidad paraestatal </w:t>
      </w:r>
      <w:r>
        <w:rPr>
          <w:i/>
        </w:rPr>
        <w:t>Petróleos Mexicanos </w:t>
      </w:r>
      <w:r>
        <w:rPr/>
        <w:t>(PEMEX), sobre la construcción de una nueva refinería para cubrir las necesidades nacionales de derivados petroleros. Como antecedente, algunos empleados de PEMEX afirman que desde el principio resultaba obvio construir una nueva refinería en </w:t>
      </w:r>
      <w:r>
        <w:rPr>
          <w:spacing w:val="-3"/>
        </w:rPr>
        <w:t>Tula </w:t>
      </w:r>
      <w:r>
        <w:rPr/>
        <w:t>Hi- dalgo</w:t>
      </w:r>
      <w:r>
        <w:rPr>
          <w:position w:val="8"/>
          <w:sz w:val="13"/>
        </w:rPr>
        <w:t>83</w:t>
      </w:r>
      <w:r>
        <w:rPr/>
        <w:t>. Las razones eran la ubicación geográfica con respecto a la zona de mayor consumo nacional, la accesibilidad, la existencia de una refinería en  la región (refinería Miguel Hidalgo, Tula), y el asentimiento del director de PEMEX</w:t>
      </w:r>
      <w:r>
        <w:rPr>
          <w:position w:val="8"/>
          <w:sz w:val="13"/>
        </w:rPr>
        <w:t>84</w:t>
      </w:r>
      <w:r>
        <w:rPr/>
        <w:t>. Sin embargo, por presiones de varios gobiernos estatales hacia    la autoridad federal, durante el año 2009 se celebró un proceso de selección entre</w:t>
      </w:r>
      <w:r>
        <w:rPr>
          <w:spacing w:val="-18"/>
        </w:rPr>
        <w:t> </w:t>
      </w:r>
      <w:r>
        <w:rPr/>
        <w:t>once</w:t>
      </w:r>
      <w:r>
        <w:rPr>
          <w:spacing w:val="-18"/>
        </w:rPr>
        <w:t> </w:t>
      </w:r>
      <w:r>
        <w:rPr/>
        <w:t>propuestas</w:t>
      </w:r>
      <w:r>
        <w:rPr>
          <w:spacing w:val="-18"/>
        </w:rPr>
        <w:t> </w:t>
      </w:r>
      <w:r>
        <w:rPr/>
        <w:t>estatales</w:t>
      </w:r>
      <w:r>
        <w:rPr>
          <w:position w:val="8"/>
          <w:sz w:val="13"/>
        </w:rPr>
        <w:t>85</w:t>
      </w:r>
      <w:r>
        <w:rPr/>
        <w:t>,</w:t>
      </w:r>
      <w:r>
        <w:rPr>
          <w:spacing w:val="-18"/>
        </w:rPr>
        <w:t> </w:t>
      </w:r>
      <w:r>
        <w:rPr/>
        <w:t>y</w:t>
      </w:r>
      <w:r>
        <w:rPr>
          <w:spacing w:val="-18"/>
        </w:rPr>
        <w:t> </w:t>
      </w:r>
      <w:r>
        <w:rPr/>
        <w:t>según</w:t>
      </w:r>
      <w:r>
        <w:rPr>
          <w:spacing w:val="-18"/>
        </w:rPr>
        <w:t> </w:t>
      </w:r>
      <w:r>
        <w:rPr/>
        <w:t>algunos</w:t>
      </w:r>
      <w:r>
        <w:rPr>
          <w:spacing w:val="-19"/>
        </w:rPr>
        <w:t> </w:t>
      </w:r>
      <w:r>
        <w:rPr/>
        <w:t>funcionarios</w:t>
      </w:r>
      <w:r>
        <w:rPr>
          <w:spacing w:val="-18"/>
        </w:rPr>
        <w:t> </w:t>
      </w:r>
      <w:r>
        <w:rPr/>
        <w:t>hidalguenses</w:t>
      </w:r>
      <w:r>
        <w:rPr>
          <w:spacing w:val="-18"/>
        </w:rPr>
        <w:t> </w:t>
      </w:r>
      <w:r>
        <w:rPr/>
        <w:t>el</w:t>
      </w:r>
    </w:p>
    <w:p>
      <w:pPr>
        <w:spacing w:before="28"/>
        <w:ind w:left="117" w:right="0" w:firstLine="0"/>
        <w:jc w:val="left"/>
        <w:rPr>
          <w:i/>
          <w:sz w:val="18"/>
        </w:rPr>
      </w:pPr>
      <w:r>
        <w:rPr>
          <w:w w:val="105"/>
          <w:position w:val="7"/>
          <w:sz w:val="11"/>
        </w:rPr>
        <w:t>81  </w:t>
      </w:r>
      <w:r>
        <w:rPr>
          <w:i/>
          <w:w w:val="105"/>
          <w:sz w:val="18"/>
        </w:rPr>
        <w:t>Ibídem.</w:t>
      </w:r>
    </w:p>
    <w:p>
      <w:pPr>
        <w:spacing w:before="28"/>
        <w:ind w:left="117" w:right="0" w:firstLine="0"/>
        <w:jc w:val="left"/>
        <w:rPr>
          <w:i/>
          <w:sz w:val="18"/>
        </w:rPr>
      </w:pPr>
      <w:r>
        <w:rPr>
          <w:w w:val="105"/>
          <w:position w:val="7"/>
          <w:sz w:val="11"/>
        </w:rPr>
        <w:t>82  </w:t>
      </w:r>
      <w:r>
        <w:rPr>
          <w:i/>
          <w:w w:val="105"/>
          <w:sz w:val="18"/>
        </w:rPr>
        <w:t>Ibídem.</w:t>
      </w:r>
    </w:p>
    <w:p>
      <w:pPr>
        <w:spacing w:before="28"/>
        <w:ind w:left="117" w:right="0" w:firstLine="0"/>
        <w:jc w:val="left"/>
        <w:rPr>
          <w:sz w:val="18"/>
        </w:rPr>
      </w:pPr>
      <w:r>
        <w:rPr>
          <w:position w:val="7"/>
          <w:sz w:val="11"/>
        </w:rPr>
        <w:t>83   </w:t>
      </w:r>
      <w:r>
        <w:rPr>
          <w:sz w:val="18"/>
        </w:rPr>
        <w:t>Información proporcionada para esta investigación en entrevista con el subgerente de evaluación</w:t>
      </w:r>
    </w:p>
    <w:p>
      <w:pPr>
        <w:spacing w:before="9"/>
        <w:ind w:left="344" w:right="0" w:firstLine="0"/>
        <w:jc w:val="left"/>
        <w:rPr>
          <w:sz w:val="18"/>
        </w:rPr>
      </w:pPr>
      <w:r>
        <w:rPr>
          <w:sz w:val="18"/>
        </w:rPr>
        <w:t>de la gestión del suministro (PEMEX corporativo), 15 de diciembre del 2010.</w:t>
      </w:r>
    </w:p>
    <w:p>
      <w:pPr>
        <w:spacing w:line="249" w:lineRule="auto" w:before="28"/>
        <w:ind w:left="344" w:right="107" w:hanging="227"/>
        <w:jc w:val="both"/>
        <w:rPr>
          <w:sz w:val="18"/>
        </w:rPr>
      </w:pPr>
      <w:r>
        <w:rPr>
          <w:position w:val="7"/>
          <w:sz w:val="11"/>
        </w:rPr>
        <w:t>84 </w:t>
      </w:r>
      <w:r>
        <w:rPr>
          <w:sz w:val="18"/>
        </w:rPr>
        <w:t>Se dice: </w:t>
      </w:r>
      <w:r>
        <w:rPr>
          <w:i/>
          <w:sz w:val="18"/>
        </w:rPr>
        <w:t>el director de PEMEX estuvo de nuestro lado, eso le costó la chamba. </w:t>
      </w:r>
      <w:r>
        <w:rPr>
          <w:sz w:val="18"/>
        </w:rPr>
        <w:t>Información proporcionada para esta investigación en entrevista con ex funcionarios estatales participantes en los proyectos estratégicos del estado, 8 de julio del 2011.</w:t>
      </w:r>
    </w:p>
    <w:p>
      <w:pPr>
        <w:spacing w:line="249" w:lineRule="auto" w:before="20"/>
        <w:ind w:left="344" w:right="108" w:hanging="227"/>
        <w:jc w:val="both"/>
        <w:rPr>
          <w:sz w:val="18"/>
        </w:rPr>
      </w:pPr>
      <w:r>
        <w:rPr>
          <w:position w:val="7"/>
          <w:sz w:val="11"/>
        </w:rPr>
        <w:t>85 </w:t>
      </w:r>
      <w:r>
        <w:rPr>
          <w:sz w:val="18"/>
        </w:rPr>
        <w:t>Deil S.  Wright  citó  una  situación  similar  acontecida  durante  la  década  de  los  ochentas  en los Estados Unidos de Norteamérica: </w:t>
      </w:r>
      <w:r>
        <w:rPr>
          <w:i/>
          <w:sz w:val="18"/>
        </w:rPr>
        <w:t>“cortejar a la armada a lo largo de la costa del  </w:t>
      </w:r>
      <w:r>
        <w:rPr>
          <w:i/>
          <w:sz w:val="18"/>
        </w:rPr>
        <w:t>Golfo: las ciudades están compitiendo por un puerto para acorazados”</w:t>
      </w:r>
      <w:r>
        <w:rPr>
          <w:sz w:val="18"/>
        </w:rPr>
        <w:t>. Para explicar el proceso previo Wright señaló: </w:t>
      </w:r>
      <w:r>
        <w:rPr>
          <w:i/>
          <w:sz w:val="18"/>
        </w:rPr>
        <w:t>el enfoque en la toma de decisiones de la armada sobre que </w:t>
      </w:r>
      <w:r>
        <w:rPr>
          <w:i/>
          <w:sz w:val="18"/>
        </w:rPr>
        <w:t>puertos seleccionar era una interesante mezcla de subasta pública y negociación de las RIG (relaciones</w:t>
      </w:r>
      <w:r>
        <w:rPr>
          <w:i/>
          <w:spacing w:val="-8"/>
          <w:sz w:val="18"/>
        </w:rPr>
        <w:t> </w:t>
      </w:r>
      <w:r>
        <w:rPr>
          <w:i/>
          <w:sz w:val="18"/>
        </w:rPr>
        <w:t>intergubernamentales).</w:t>
      </w:r>
      <w:r>
        <w:rPr>
          <w:i/>
          <w:spacing w:val="-8"/>
          <w:sz w:val="18"/>
        </w:rPr>
        <w:t> </w:t>
      </w:r>
      <w:r>
        <w:rPr>
          <w:i/>
          <w:sz w:val="18"/>
        </w:rPr>
        <w:t>La</w:t>
      </w:r>
      <w:r>
        <w:rPr>
          <w:i/>
          <w:spacing w:val="-8"/>
          <w:sz w:val="18"/>
        </w:rPr>
        <w:t> </w:t>
      </w:r>
      <w:r>
        <w:rPr>
          <w:i/>
          <w:sz w:val="18"/>
        </w:rPr>
        <w:t>armada</w:t>
      </w:r>
      <w:r>
        <w:rPr>
          <w:i/>
          <w:spacing w:val="-8"/>
          <w:sz w:val="18"/>
        </w:rPr>
        <w:t> </w:t>
      </w:r>
      <w:r>
        <w:rPr>
          <w:i/>
          <w:sz w:val="18"/>
        </w:rPr>
        <w:t>envió</w:t>
      </w:r>
      <w:r>
        <w:rPr>
          <w:i/>
          <w:spacing w:val="-8"/>
          <w:sz w:val="18"/>
        </w:rPr>
        <w:t> </w:t>
      </w:r>
      <w:r>
        <w:rPr>
          <w:i/>
          <w:sz w:val="18"/>
        </w:rPr>
        <w:t>propuestas</w:t>
      </w:r>
      <w:r>
        <w:rPr>
          <w:i/>
          <w:spacing w:val="-8"/>
          <w:sz w:val="18"/>
        </w:rPr>
        <w:t> </w:t>
      </w:r>
      <w:r>
        <w:rPr>
          <w:i/>
          <w:sz w:val="18"/>
        </w:rPr>
        <w:t>a</w:t>
      </w:r>
      <w:r>
        <w:rPr>
          <w:i/>
          <w:spacing w:val="-8"/>
          <w:sz w:val="18"/>
        </w:rPr>
        <w:t> </w:t>
      </w:r>
      <w:r>
        <w:rPr>
          <w:i/>
          <w:sz w:val="18"/>
        </w:rPr>
        <w:t>un</w:t>
      </w:r>
      <w:r>
        <w:rPr>
          <w:i/>
          <w:spacing w:val="-8"/>
          <w:sz w:val="18"/>
        </w:rPr>
        <w:t> </w:t>
      </w:r>
      <w:r>
        <w:rPr>
          <w:i/>
          <w:sz w:val="18"/>
        </w:rPr>
        <w:t>gran</w:t>
      </w:r>
      <w:r>
        <w:rPr>
          <w:i/>
          <w:spacing w:val="-8"/>
          <w:sz w:val="18"/>
        </w:rPr>
        <w:t> </w:t>
      </w:r>
      <w:r>
        <w:rPr>
          <w:i/>
          <w:sz w:val="18"/>
        </w:rPr>
        <w:t>número</w:t>
      </w:r>
      <w:r>
        <w:rPr>
          <w:i/>
          <w:spacing w:val="-8"/>
          <w:sz w:val="18"/>
        </w:rPr>
        <w:t> </w:t>
      </w:r>
      <w:r>
        <w:rPr>
          <w:i/>
          <w:sz w:val="18"/>
        </w:rPr>
        <w:t>de</w:t>
      </w:r>
      <w:r>
        <w:rPr>
          <w:i/>
          <w:spacing w:val="-8"/>
          <w:sz w:val="18"/>
        </w:rPr>
        <w:t> </w:t>
      </w:r>
      <w:r>
        <w:rPr>
          <w:i/>
          <w:sz w:val="18"/>
        </w:rPr>
        <w:t>ciudades, especificando la naturaleza, el alcance y los costos estimados de la inversión en puertos. Preguntó a cada ciudad interesada o zona urbana: ¿Qué pueden hacer ustedes por nosotros? La respuesta estatal-local fue sorprendente, si no es que abrumadora. </w:t>
      </w:r>
      <w:r>
        <w:rPr>
          <w:sz w:val="18"/>
        </w:rPr>
        <w:t>Wright, Deil S.; </w:t>
      </w:r>
      <w:r>
        <w:rPr>
          <w:i/>
          <w:sz w:val="18"/>
        </w:rPr>
        <w:t>para </w:t>
      </w:r>
      <w:r>
        <w:rPr>
          <w:i/>
          <w:sz w:val="18"/>
        </w:rPr>
        <w:t>entender las relaciones intergubernamentales, </w:t>
      </w:r>
      <w:r>
        <w:rPr>
          <w:sz w:val="18"/>
        </w:rPr>
        <w:t>México, colegio nacional de ciencias políticas   y administración pública, universidad autónoma de Colima, fondo de cultura económica, 1997, primera edición en español, p.</w:t>
      </w:r>
      <w:r>
        <w:rPr>
          <w:spacing w:val="-3"/>
          <w:sz w:val="18"/>
        </w:rPr>
        <w:t> </w:t>
      </w:r>
      <w:r>
        <w:rPr>
          <w:sz w:val="18"/>
        </w:rPr>
        <w:t>483.</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44" w:lineRule="auto" w:before="70"/>
        <w:ind w:left="110" w:right="114"/>
        <w:jc w:val="both"/>
      </w:pPr>
      <w:r>
        <w:rPr/>
        <w:t>orden</w:t>
      </w:r>
      <w:r>
        <w:rPr>
          <w:spacing w:val="-9"/>
        </w:rPr>
        <w:t> </w:t>
      </w:r>
      <w:r>
        <w:rPr/>
        <w:t>final</w:t>
      </w:r>
      <w:r>
        <w:rPr>
          <w:spacing w:val="-9"/>
        </w:rPr>
        <w:t> </w:t>
      </w:r>
      <w:r>
        <w:rPr/>
        <w:t>fue:</w:t>
      </w:r>
      <w:r>
        <w:rPr>
          <w:spacing w:val="-9"/>
        </w:rPr>
        <w:t> </w:t>
      </w:r>
      <w:r>
        <w:rPr/>
        <w:t>primero,</w:t>
      </w:r>
      <w:r>
        <w:rPr>
          <w:spacing w:val="-9"/>
        </w:rPr>
        <w:t> </w:t>
      </w:r>
      <w:r>
        <w:rPr/>
        <w:t>Salina</w:t>
      </w:r>
      <w:r>
        <w:rPr>
          <w:spacing w:val="-9"/>
        </w:rPr>
        <w:t> </w:t>
      </w:r>
      <w:r>
        <w:rPr/>
        <w:t>Cruz</w:t>
      </w:r>
      <w:r>
        <w:rPr>
          <w:spacing w:val="-9"/>
        </w:rPr>
        <w:t> </w:t>
      </w:r>
      <w:r>
        <w:rPr/>
        <w:t>Oaxaca;</w:t>
      </w:r>
      <w:r>
        <w:rPr>
          <w:spacing w:val="-9"/>
        </w:rPr>
        <w:t> </w:t>
      </w:r>
      <w:r>
        <w:rPr/>
        <w:t>segundo,</w:t>
      </w:r>
      <w:r>
        <w:rPr>
          <w:spacing w:val="-13"/>
        </w:rPr>
        <w:t> </w:t>
      </w:r>
      <w:r>
        <w:rPr>
          <w:spacing w:val="-3"/>
        </w:rPr>
        <w:t>Tula</w:t>
      </w:r>
      <w:r>
        <w:rPr>
          <w:spacing w:val="-9"/>
        </w:rPr>
        <w:t> </w:t>
      </w:r>
      <w:r>
        <w:rPr/>
        <w:t>Hidalgo;</w:t>
      </w:r>
      <w:r>
        <w:rPr>
          <w:spacing w:val="-9"/>
        </w:rPr>
        <w:t> </w:t>
      </w:r>
      <w:r>
        <w:rPr/>
        <w:t>tercero, Tuxpan</w:t>
      </w:r>
      <w:r>
        <w:rPr>
          <w:spacing w:val="-10"/>
        </w:rPr>
        <w:t> </w:t>
      </w:r>
      <w:r>
        <w:rPr>
          <w:spacing w:val="-3"/>
        </w:rPr>
        <w:t>Veracruz;</w:t>
      </w:r>
      <w:r>
        <w:rPr>
          <w:spacing w:val="-6"/>
        </w:rPr>
        <w:t> </w:t>
      </w:r>
      <w:r>
        <w:rPr/>
        <w:t>y</w:t>
      </w:r>
      <w:r>
        <w:rPr>
          <w:spacing w:val="-5"/>
        </w:rPr>
        <w:t> </w:t>
      </w:r>
      <w:r>
        <w:rPr/>
        <w:t>cuarto,</w:t>
      </w:r>
      <w:r>
        <w:rPr>
          <w:spacing w:val="-6"/>
        </w:rPr>
        <w:t> </w:t>
      </w:r>
      <w:r>
        <w:rPr/>
        <w:t>Lázaro</w:t>
      </w:r>
      <w:r>
        <w:rPr>
          <w:spacing w:val="-6"/>
        </w:rPr>
        <w:t> </w:t>
      </w:r>
      <w:r>
        <w:rPr/>
        <w:t>Cárdenas</w:t>
      </w:r>
      <w:r>
        <w:rPr>
          <w:spacing w:val="-6"/>
        </w:rPr>
        <w:t> </w:t>
      </w:r>
      <w:r>
        <w:rPr/>
        <w:t>Michoacán</w:t>
      </w:r>
      <w:r>
        <w:rPr>
          <w:position w:val="8"/>
          <w:sz w:val="13"/>
        </w:rPr>
        <w:t>86</w:t>
      </w:r>
      <w:r>
        <w:rPr/>
        <w:t>.</w:t>
      </w:r>
      <w:r>
        <w:rPr>
          <w:spacing w:val="-5"/>
        </w:rPr>
        <w:t> </w:t>
      </w:r>
      <w:r>
        <w:rPr/>
        <w:t>Posteriormente,</w:t>
      </w:r>
      <w:r>
        <w:rPr>
          <w:spacing w:val="-4"/>
        </w:rPr>
        <w:t> </w:t>
      </w:r>
      <w:r>
        <w:rPr/>
        <w:t>al ser desechada la propuesta de Salina Cruz Oaxaca por la virtual inestabilidad social de la región, la opción de Tula Hidalgo ascendió al primer lugar</w:t>
      </w:r>
      <w:r>
        <w:rPr>
          <w:position w:val="8"/>
          <w:sz w:val="13"/>
        </w:rPr>
        <w:t>87</w:t>
      </w:r>
      <w:r>
        <w:rPr/>
        <w:t>. Los funcionarios</w:t>
      </w:r>
      <w:r>
        <w:rPr>
          <w:spacing w:val="-16"/>
        </w:rPr>
        <w:t> </w:t>
      </w:r>
      <w:r>
        <w:rPr/>
        <w:t>que</w:t>
      </w:r>
      <w:r>
        <w:rPr>
          <w:spacing w:val="-16"/>
        </w:rPr>
        <w:t> </w:t>
      </w:r>
      <w:r>
        <w:rPr/>
        <w:t>integraron</w:t>
      </w:r>
      <w:r>
        <w:rPr>
          <w:spacing w:val="-16"/>
        </w:rPr>
        <w:t> </w:t>
      </w:r>
      <w:r>
        <w:rPr/>
        <w:t>la</w:t>
      </w:r>
      <w:r>
        <w:rPr>
          <w:spacing w:val="-16"/>
        </w:rPr>
        <w:t> </w:t>
      </w:r>
      <w:r>
        <w:rPr/>
        <w:t>propuesta</w:t>
      </w:r>
      <w:r>
        <w:rPr>
          <w:spacing w:val="-16"/>
        </w:rPr>
        <w:t> </w:t>
      </w:r>
      <w:r>
        <w:rPr/>
        <w:t>hidalguense</w:t>
      </w:r>
      <w:r>
        <w:rPr>
          <w:spacing w:val="-16"/>
        </w:rPr>
        <w:t> </w:t>
      </w:r>
      <w:r>
        <w:rPr/>
        <w:t>manifiestan</w:t>
      </w:r>
      <w:r>
        <w:rPr>
          <w:spacing w:val="-16"/>
        </w:rPr>
        <w:t> </w:t>
      </w:r>
      <w:r>
        <w:rPr/>
        <w:t>que</w:t>
      </w:r>
      <w:r>
        <w:rPr>
          <w:spacing w:val="-16"/>
        </w:rPr>
        <w:t> </w:t>
      </w:r>
      <w:r>
        <w:rPr/>
        <w:t>hicieron el mejor estudio estatal en función de los términos de referencia que entregó PEMEX: </w:t>
      </w:r>
      <w:r>
        <w:rPr>
          <w:i/>
        </w:rPr>
        <w:t>les hicimos su</w:t>
      </w:r>
      <w:r>
        <w:rPr>
          <w:i/>
          <w:spacing w:val="1"/>
        </w:rPr>
        <w:t> </w:t>
      </w:r>
      <w:r>
        <w:rPr>
          <w:i/>
        </w:rPr>
        <w:t>chamba</w:t>
      </w:r>
      <w:r>
        <w:rPr>
          <w:position w:val="8"/>
          <w:sz w:val="13"/>
        </w:rPr>
        <w:t>88</w:t>
      </w:r>
      <w:r>
        <w:rPr/>
        <w:t>.</w:t>
      </w:r>
    </w:p>
    <w:p>
      <w:pPr>
        <w:pStyle w:val="BodyText"/>
        <w:spacing w:before="5"/>
      </w:pPr>
    </w:p>
    <w:p>
      <w:pPr>
        <w:spacing w:line="244" w:lineRule="auto" w:before="1"/>
        <w:ind w:left="110" w:right="114" w:firstLine="0"/>
        <w:jc w:val="both"/>
        <w:rPr>
          <w:sz w:val="23"/>
        </w:rPr>
      </w:pPr>
      <w:r>
        <w:rPr>
          <w:sz w:val="23"/>
        </w:rPr>
        <w:t>En</w:t>
      </w:r>
      <w:r>
        <w:rPr>
          <w:spacing w:val="-8"/>
          <w:sz w:val="23"/>
        </w:rPr>
        <w:t> </w:t>
      </w:r>
      <w:r>
        <w:rPr>
          <w:sz w:val="23"/>
        </w:rPr>
        <w:t>esa</w:t>
      </w:r>
      <w:r>
        <w:rPr>
          <w:spacing w:val="-9"/>
          <w:sz w:val="23"/>
        </w:rPr>
        <w:t> </w:t>
      </w:r>
      <w:r>
        <w:rPr>
          <w:sz w:val="23"/>
        </w:rPr>
        <w:t>propuesta,</w:t>
      </w:r>
      <w:r>
        <w:rPr>
          <w:spacing w:val="-8"/>
          <w:sz w:val="23"/>
        </w:rPr>
        <w:t> </w:t>
      </w:r>
      <w:r>
        <w:rPr>
          <w:sz w:val="23"/>
        </w:rPr>
        <w:t>aparentemente</w:t>
      </w:r>
      <w:r>
        <w:rPr>
          <w:spacing w:val="-9"/>
          <w:sz w:val="23"/>
        </w:rPr>
        <w:t> </w:t>
      </w:r>
      <w:r>
        <w:rPr>
          <w:sz w:val="23"/>
        </w:rPr>
        <w:t>fueron</w:t>
      </w:r>
      <w:r>
        <w:rPr>
          <w:spacing w:val="-8"/>
          <w:sz w:val="23"/>
        </w:rPr>
        <w:t> </w:t>
      </w:r>
      <w:r>
        <w:rPr>
          <w:sz w:val="23"/>
        </w:rPr>
        <w:t>solucionados</w:t>
      </w:r>
      <w:r>
        <w:rPr>
          <w:spacing w:val="-8"/>
          <w:sz w:val="23"/>
        </w:rPr>
        <w:t> </w:t>
      </w:r>
      <w:r>
        <w:rPr>
          <w:sz w:val="23"/>
        </w:rPr>
        <w:t>la</w:t>
      </w:r>
      <w:r>
        <w:rPr>
          <w:spacing w:val="-8"/>
          <w:sz w:val="23"/>
        </w:rPr>
        <w:t> </w:t>
      </w:r>
      <w:r>
        <w:rPr>
          <w:sz w:val="23"/>
        </w:rPr>
        <w:t>totalidad</w:t>
      </w:r>
      <w:r>
        <w:rPr>
          <w:spacing w:val="-9"/>
          <w:sz w:val="23"/>
        </w:rPr>
        <w:t> </w:t>
      </w:r>
      <w:r>
        <w:rPr>
          <w:sz w:val="23"/>
        </w:rPr>
        <w:t>de</w:t>
      </w:r>
      <w:r>
        <w:rPr>
          <w:spacing w:val="-8"/>
          <w:sz w:val="23"/>
        </w:rPr>
        <w:t> </w:t>
      </w:r>
      <w:r>
        <w:rPr>
          <w:sz w:val="23"/>
        </w:rPr>
        <w:t>factores: </w:t>
      </w:r>
      <w:r>
        <w:rPr>
          <w:i/>
          <w:sz w:val="23"/>
        </w:rPr>
        <w:t>la dispersión por vientos, el acceso carretero y ferroviario, la disposición de </w:t>
      </w:r>
      <w:r>
        <w:rPr>
          <w:i/>
          <w:sz w:val="23"/>
        </w:rPr>
        <w:t>agua, la infraestructura existe en ductos, la paz social y la gobernabilidad, la existencia de reservas territoriales y el asociacionismo en la región</w:t>
      </w:r>
      <w:r>
        <w:rPr>
          <w:position w:val="8"/>
          <w:sz w:val="13"/>
        </w:rPr>
        <w:t>89</w:t>
      </w:r>
      <w:r>
        <w:rPr>
          <w:sz w:val="23"/>
        </w:rPr>
        <w:t>.    En relación al contorno geográfico concreto, los funcionarios estatales involucrados relatan que, junto con empleados de PEMEX, sobrevolaron en varias ocasiones la región para señalarles varias reservas territoriales aptas para emplearse en la</w:t>
      </w:r>
      <w:r>
        <w:rPr>
          <w:spacing w:val="-10"/>
          <w:sz w:val="23"/>
        </w:rPr>
        <w:t> </w:t>
      </w:r>
      <w:r>
        <w:rPr>
          <w:sz w:val="23"/>
        </w:rPr>
        <w:t>refinería</w:t>
      </w:r>
      <w:r>
        <w:rPr>
          <w:position w:val="8"/>
          <w:sz w:val="13"/>
        </w:rPr>
        <w:t>90</w:t>
      </w:r>
      <w:r>
        <w:rPr>
          <w:sz w:val="23"/>
        </w:rPr>
        <w:t>.</w:t>
      </w:r>
    </w:p>
    <w:p>
      <w:pPr>
        <w:pStyle w:val="BodyText"/>
        <w:spacing w:before="5"/>
      </w:pPr>
    </w:p>
    <w:p>
      <w:pPr>
        <w:pStyle w:val="BodyText"/>
        <w:spacing w:line="244" w:lineRule="auto" w:before="1"/>
        <w:ind w:left="110" w:right="114"/>
        <w:jc w:val="both"/>
      </w:pPr>
      <w:r>
        <w:rPr/>
        <w:pict>
          <v:line style="position:absolute;mso-position-horizontal-relative:page;mso-position-vertical-relative:paragraph;z-index:2440;mso-wrap-distance-left:0;mso-wrap-distance-right:0" from="42.519699pt,179.146942pt" to="114.519699pt,179.146942pt" stroked="true" strokeweight="1pt" strokecolor="#000000">
            <w10:wrap type="topAndBottom"/>
          </v:line>
        </w:pict>
      </w:r>
      <w:r>
        <w:rPr/>
        <w:t>Después</w:t>
      </w:r>
      <w:r>
        <w:rPr>
          <w:spacing w:val="-26"/>
        </w:rPr>
        <w:t> </w:t>
      </w:r>
      <w:r>
        <w:rPr/>
        <w:t>de</w:t>
      </w:r>
      <w:r>
        <w:rPr>
          <w:spacing w:val="-26"/>
        </w:rPr>
        <w:t> </w:t>
      </w:r>
      <w:r>
        <w:rPr/>
        <w:t>que</w:t>
      </w:r>
      <w:r>
        <w:rPr>
          <w:spacing w:val="-26"/>
        </w:rPr>
        <w:t> </w:t>
      </w:r>
      <w:r>
        <w:rPr/>
        <w:t>oficialmente</w:t>
      </w:r>
      <w:r>
        <w:rPr>
          <w:spacing w:val="-26"/>
        </w:rPr>
        <w:t> </w:t>
      </w:r>
      <w:r>
        <w:rPr/>
        <w:t>se</w:t>
      </w:r>
      <w:r>
        <w:rPr>
          <w:spacing w:val="-26"/>
        </w:rPr>
        <w:t> </w:t>
      </w:r>
      <w:r>
        <w:rPr/>
        <w:t>le</w:t>
      </w:r>
      <w:r>
        <w:rPr>
          <w:spacing w:val="-26"/>
        </w:rPr>
        <w:t> </w:t>
      </w:r>
      <w:r>
        <w:rPr/>
        <w:t>otorgó</w:t>
      </w:r>
      <w:r>
        <w:rPr>
          <w:spacing w:val="-26"/>
        </w:rPr>
        <w:t> </w:t>
      </w:r>
      <w:r>
        <w:rPr/>
        <w:t>la</w:t>
      </w:r>
      <w:r>
        <w:rPr>
          <w:spacing w:val="-26"/>
        </w:rPr>
        <w:t> </w:t>
      </w:r>
      <w:r>
        <w:rPr/>
        <w:t>sede</w:t>
      </w:r>
      <w:r>
        <w:rPr>
          <w:spacing w:val="-26"/>
        </w:rPr>
        <w:t> </w:t>
      </w:r>
      <w:r>
        <w:rPr/>
        <w:t>a</w:t>
      </w:r>
      <w:r>
        <w:rPr>
          <w:spacing w:val="-30"/>
        </w:rPr>
        <w:t> </w:t>
      </w:r>
      <w:r>
        <w:rPr>
          <w:spacing w:val="-3"/>
        </w:rPr>
        <w:t>Tula</w:t>
      </w:r>
      <w:r>
        <w:rPr>
          <w:spacing w:val="-26"/>
        </w:rPr>
        <w:t> </w:t>
      </w:r>
      <w:r>
        <w:rPr/>
        <w:t>Hidalgo</w:t>
      </w:r>
      <w:r>
        <w:rPr>
          <w:spacing w:val="-26"/>
        </w:rPr>
        <w:t> </w:t>
      </w:r>
      <w:r>
        <w:rPr/>
        <w:t>el</w:t>
      </w:r>
      <w:r>
        <w:rPr>
          <w:spacing w:val="-26"/>
        </w:rPr>
        <w:t> </w:t>
      </w:r>
      <w:r>
        <w:rPr/>
        <w:t>14</w:t>
      </w:r>
      <w:r>
        <w:rPr>
          <w:spacing w:val="-26"/>
        </w:rPr>
        <w:t> </w:t>
      </w:r>
      <w:r>
        <w:rPr/>
        <w:t>de</w:t>
      </w:r>
      <w:r>
        <w:rPr>
          <w:spacing w:val="-26"/>
        </w:rPr>
        <w:t> </w:t>
      </w:r>
      <w:r>
        <w:rPr/>
        <w:t>abril</w:t>
      </w:r>
      <w:r>
        <w:rPr>
          <w:spacing w:val="-26"/>
        </w:rPr>
        <w:t> </w:t>
      </w:r>
      <w:r>
        <w:rPr/>
        <w:t>del 2009,</w:t>
      </w:r>
      <w:r>
        <w:rPr>
          <w:spacing w:val="-20"/>
        </w:rPr>
        <w:t> </w:t>
      </w:r>
      <w:r>
        <w:rPr/>
        <w:t>PEMEX</w:t>
      </w:r>
      <w:r>
        <w:rPr>
          <w:spacing w:val="-20"/>
        </w:rPr>
        <w:t> </w:t>
      </w:r>
      <w:r>
        <w:rPr/>
        <w:t>dio</w:t>
      </w:r>
      <w:r>
        <w:rPr>
          <w:spacing w:val="-20"/>
        </w:rPr>
        <w:t> </w:t>
      </w:r>
      <w:r>
        <w:rPr/>
        <w:t>un</w:t>
      </w:r>
      <w:r>
        <w:rPr>
          <w:spacing w:val="-20"/>
        </w:rPr>
        <w:t> </w:t>
      </w:r>
      <w:r>
        <w:rPr/>
        <w:t>plazo</w:t>
      </w:r>
      <w:r>
        <w:rPr>
          <w:spacing w:val="-21"/>
        </w:rPr>
        <w:t> </w:t>
      </w:r>
      <w:r>
        <w:rPr/>
        <w:t>de</w:t>
      </w:r>
      <w:r>
        <w:rPr>
          <w:spacing w:val="-20"/>
        </w:rPr>
        <w:t> </w:t>
      </w:r>
      <w:r>
        <w:rPr/>
        <w:t>cien</w:t>
      </w:r>
      <w:r>
        <w:rPr>
          <w:spacing w:val="-21"/>
        </w:rPr>
        <w:t> </w:t>
      </w:r>
      <w:r>
        <w:rPr/>
        <w:t>días</w:t>
      </w:r>
      <w:r>
        <w:rPr>
          <w:spacing w:val="-20"/>
        </w:rPr>
        <w:t> </w:t>
      </w:r>
      <w:r>
        <w:rPr/>
        <w:t>para</w:t>
      </w:r>
      <w:r>
        <w:rPr>
          <w:spacing w:val="-21"/>
        </w:rPr>
        <w:t> </w:t>
      </w:r>
      <w:r>
        <w:rPr/>
        <w:t>que</w:t>
      </w:r>
      <w:r>
        <w:rPr>
          <w:spacing w:val="-20"/>
        </w:rPr>
        <w:t> </w:t>
      </w:r>
      <w:r>
        <w:rPr/>
        <w:t>el</w:t>
      </w:r>
      <w:r>
        <w:rPr>
          <w:spacing w:val="-20"/>
        </w:rPr>
        <w:t> </w:t>
      </w:r>
      <w:r>
        <w:rPr/>
        <w:t>gobierno</w:t>
      </w:r>
      <w:r>
        <w:rPr>
          <w:spacing w:val="-20"/>
        </w:rPr>
        <w:t> </w:t>
      </w:r>
      <w:r>
        <w:rPr/>
        <w:t>estatal</w:t>
      </w:r>
      <w:r>
        <w:rPr>
          <w:spacing w:val="-21"/>
        </w:rPr>
        <w:t> </w:t>
      </w:r>
      <w:r>
        <w:rPr/>
        <w:t>transfiriera en</w:t>
      </w:r>
      <w:r>
        <w:rPr>
          <w:spacing w:val="-7"/>
        </w:rPr>
        <w:t> </w:t>
      </w:r>
      <w:r>
        <w:rPr/>
        <w:t>donación</w:t>
      </w:r>
      <w:r>
        <w:rPr>
          <w:spacing w:val="-7"/>
        </w:rPr>
        <w:t> </w:t>
      </w:r>
      <w:r>
        <w:rPr/>
        <w:t>un</w:t>
      </w:r>
      <w:r>
        <w:rPr>
          <w:spacing w:val="-7"/>
        </w:rPr>
        <w:t> </w:t>
      </w:r>
      <w:r>
        <w:rPr/>
        <w:t>terreno</w:t>
      </w:r>
      <w:r>
        <w:rPr>
          <w:spacing w:val="-8"/>
        </w:rPr>
        <w:t> </w:t>
      </w:r>
      <w:r>
        <w:rPr/>
        <w:t>de</w:t>
      </w:r>
      <w:r>
        <w:rPr>
          <w:spacing w:val="-7"/>
        </w:rPr>
        <w:t> </w:t>
      </w:r>
      <w:r>
        <w:rPr/>
        <w:t>setecientas</w:t>
      </w:r>
      <w:r>
        <w:rPr>
          <w:spacing w:val="-7"/>
        </w:rPr>
        <w:t> </w:t>
      </w:r>
      <w:r>
        <w:rPr/>
        <w:t>hectáreas,</w:t>
      </w:r>
      <w:r>
        <w:rPr>
          <w:spacing w:val="-7"/>
        </w:rPr>
        <w:t> </w:t>
      </w:r>
      <w:r>
        <w:rPr/>
        <w:t>bajo</w:t>
      </w:r>
      <w:r>
        <w:rPr>
          <w:spacing w:val="-7"/>
        </w:rPr>
        <w:t> </w:t>
      </w:r>
      <w:r>
        <w:rPr/>
        <w:t>advertencia</w:t>
      </w:r>
      <w:r>
        <w:rPr>
          <w:spacing w:val="-8"/>
        </w:rPr>
        <w:t> </w:t>
      </w:r>
      <w:r>
        <w:rPr/>
        <w:t>de</w:t>
      </w:r>
      <w:r>
        <w:rPr>
          <w:spacing w:val="-7"/>
        </w:rPr>
        <w:t> </w:t>
      </w:r>
      <w:r>
        <w:rPr/>
        <w:t>que</w:t>
      </w:r>
      <w:r>
        <w:rPr>
          <w:spacing w:val="-7"/>
        </w:rPr>
        <w:t> </w:t>
      </w:r>
      <w:r>
        <w:rPr/>
        <w:t>sería reasignada la sede al Estado de Guanajuato (Salamanca, en donde también existe una refinería) en caso de incumplimiento</w:t>
      </w:r>
      <w:r>
        <w:rPr>
          <w:position w:val="8"/>
          <w:sz w:val="13"/>
        </w:rPr>
        <w:t>91</w:t>
      </w:r>
      <w:r>
        <w:rPr/>
        <w:t>. El periódico </w:t>
      </w:r>
      <w:r>
        <w:rPr>
          <w:i/>
        </w:rPr>
        <w:t>El Universal </w:t>
      </w:r>
      <w:r>
        <w:rPr/>
        <w:t>contabilizó la suma periódica de hectáreas a través de sus publicaciones, al final de esa etapa (12 de agosto del 2009) fueron integradas ochocientas</w:t>
      </w:r>
      <w:r>
        <w:rPr>
          <w:spacing w:val="-25"/>
        </w:rPr>
        <w:t> </w:t>
      </w:r>
      <w:r>
        <w:rPr/>
        <w:t>siete parcelas de los ejidos de Atitalaquia, San Bartolomé </w:t>
      </w:r>
      <w:r>
        <w:rPr>
          <w:spacing w:val="-4"/>
        </w:rPr>
        <w:t>Doxey, </w:t>
      </w:r>
      <w:r>
        <w:rPr/>
        <w:t>Tlaxcoapan y </w:t>
      </w:r>
      <w:r>
        <w:rPr>
          <w:spacing w:val="-3"/>
        </w:rPr>
        <w:t>Tula </w:t>
      </w:r>
      <w:r>
        <w:rPr/>
        <w:t>de Allende; con una superficie conjunta de seiscientas cuarenta y siete hectáreas.</w:t>
      </w:r>
      <w:r>
        <w:rPr>
          <w:spacing w:val="-16"/>
        </w:rPr>
        <w:t> </w:t>
      </w:r>
      <w:r>
        <w:rPr/>
        <w:t>Cabe</w:t>
      </w:r>
      <w:r>
        <w:rPr>
          <w:spacing w:val="-16"/>
        </w:rPr>
        <w:t> </w:t>
      </w:r>
      <w:r>
        <w:rPr/>
        <w:t>señalar</w:t>
      </w:r>
      <w:r>
        <w:rPr>
          <w:spacing w:val="-16"/>
        </w:rPr>
        <w:t> </w:t>
      </w:r>
      <w:r>
        <w:rPr/>
        <w:t>que</w:t>
      </w:r>
      <w:r>
        <w:rPr>
          <w:spacing w:val="-16"/>
        </w:rPr>
        <w:t> </w:t>
      </w:r>
      <w:r>
        <w:rPr/>
        <w:t>para</w:t>
      </w:r>
      <w:r>
        <w:rPr>
          <w:spacing w:val="-16"/>
        </w:rPr>
        <w:t> </w:t>
      </w:r>
      <w:r>
        <w:rPr/>
        <w:t>persuadir</w:t>
      </w:r>
      <w:r>
        <w:rPr>
          <w:spacing w:val="-16"/>
        </w:rPr>
        <w:t> </w:t>
      </w:r>
      <w:r>
        <w:rPr/>
        <w:t>a</w:t>
      </w:r>
      <w:r>
        <w:rPr>
          <w:spacing w:val="-16"/>
        </w:rPr>
        <w:t> </w:t>
      </w:r>
      <w:r>
        <w:rPr/>
        <w:t>los</w:t>
      </w:r>
      <w:r>
        <w:rPr>
          <w:spacing w:val="-17"/>
        </w:rPr>
        <w:t> </w:t>
      </w:r>
      <w:r>
        <w:rPr/>
        <w:t>ejidatarios</w:t>
      </w:r>
      <w:r>
        <w:rPr>
          <w:spacing w:val="-17"/>
        </w:rPr>
        <w:t> </w:t>
      </w:r>
      <w:r>
        <w:rPr/>
        <w:t>sobre</w:t>
      </w:r>
      <w:r>
        <w:rPr>
          <w:spacing w:val="-16"/>
        </w:rPr>
        <w:t> </w:t>
      </w:r>
      <w:r>
        <w:rPr/>
        <w:t>la</w:t>
      </w:r>
      <w:r>
        <w:rPr>
          <w:spacing w:val="-16"/>
        </w:rPr>
        <w:t> </w:t>
      </w:r>
      <w:r>
        <w:rPr/>
        <w:t>venta</w:t>
      </w:r>
      <w:r>
        <w:rPr>
          <w:spacing w:val="-16"/>
        </w:rPr>
        <w:t> </w:t>
      </w:r>
      <w:r>
        <w:rPr/>
        <w:t>de</w:t>
      </w:r>
      <w:r>
        <w:rPr>
          <w:spacing w:val="-16"/>
        </w:rPr>
        <w:t> </w:t>
      </w:r>
      <w:r>
        <w:rPr/>
        <w:t>su patrimonio,</w:t>
      </w:r>
      <w:r>
        <w:rPr>
          <w:spacing w:val="-5"/>
        </w:rPr>
        <w:t> </w:t>
      </w:r>
      <w:r>
        <w:rPr/>
        <w:t>el</w:t>
      </w:r>
      <w:r>
        <w:rPr>
          <w:spacing w:val="-5"/>
        </w:rPr>
        <w:t> </w:t>
      </w:r>
      <w:r>
        <w:rPr/>
        <w:t>gobierno</w:t>
      </w:r>
      <w:r>
        <w:rPr>
          <w:spacing w:val="-5"/>
        </w:rPr>
        <w:t> </w:t>
      </w:r>
      <w:r>
        <w:rPr/>
        <w:t>estatal</w:t>
      </w:r>
      <w:r>
        <w:rPr>
          <w:spacing w:val="-6"/>
        </w:rPr>
        <w:t> </w:t>
      </w:r>
      <w:r>
        <w:rPr/>
        <w:t>les</w:t>
      </w:r>
      <w:r>
        <w:rPr>
          <w:spacing w:val="-5"/>
        </w:rPr>
        <w:t> </w:t>
      </w:r>
      <w:r>
        <w:rPr/>
        <w:t>ofreció</w:t>
      </w:r>
      <w:r>
        <w:rPr>
          <w:spacing w:val="-5"/>
        </w:rPr>
        <w:t> </w:t>
      </w:r>
      <w:r>
        <w:rPr/>
        <w:t>incluirlos</w:t>
      </w:r>
      <w:r>
        <w:rPr>
          <w:spacing w:val="-6"/>
        </w:rPr>
        <w:t> </w:t>
      </w:r>
      <w:r>
        <w:rPr/>
        <w:t>en</w:t>
      </w:r>
      <w:r>
        <w:rPr>
          <w:spacing w:val="-5"/>
        </w:rPr>
        <w:t> </w:t>
      </w:r>
      <w:r>
        <w:rPr/>
        <w:t>proyectos</w:t>
      </w:r>
      <w:r>
        <w:rPr>
          <w:spacing w:val="-5"/>
        </w:rPr>
        <w:t> </w:t>
      </w:r>
      <w:r>
        <w:rPr/>
        <w:t>productivos que sustituyeran su actividad económica. Adicionalmente, para completar la superficie</w:t>
      </w:r>
      <w:r>
        <w:rPr>
          <w:spacing w:val="24"/>
        </w:rPr>
        <w:t> </w:t>
      </w:r>
      <w:r>
        <w:rPr/>
        <w:t>requerida</w:t>
      </w:r>
      <w:r>
        <w:rPr>
          <w:spacing w:val="24"/>
        </w:rPr>
        <w:t> </w:t>
      </w:r>
      <w:r>
        <w:rPr/>
        <w:t>por</w:t>
      </w:r>
      <w:r>
        <w:rPr>
          <w:spacing w:val="24"/>
        </w:rPr>
        <w:t> </w:t>
      </w:r>
      <w:r>
        <w:rPr/>
        <w:t>PEMEX,</w:t>
      </w:r>
      <w:r>
        <w:rPr>
          <w:spacing w:val="24"/>
        </w:rPr>
        <w:t> </w:t>
      </w:r>
      <w:r>
        <w:rPr/>
        <w:t>se</w:t>
      </w:r>
      <w:r>
        <w:rPr>
          <w:spacing w:val="24"/>
        </w:rPr>
        <w:t> </w:t>
      </w:r>
      <w:r>
        <w:rPr/>
        <w:t>sumaron</w:t>
      </w:r>
      <w:r>
        <w:rPr>
          <w:spacing w:val="24"/>
        </w:rPr>
        <w:t> </w:t>
      </w:r>
      <w:r>
        <w:rPr/>
        <w:t>a</w:t>
      </w:r>
      <w:r>
        <w:rPr>
          <w:spacing w:val="24"/>
        </w:rPr>
        <w:t> </w:t>
      </w:r>
      <w:r>
        <w:rPr/>
        <w:t>las</w:t>
      </w:r>
      <w:r>
        <w:rPr>
          <w:spacing w:val="24"/>
        </w:rPr>
        <w:t> </w:t>
      </w:r>
      <w:r>
        <w:rPr/>
        <w:t>tierras</w:t>
      </w:r>
      <w:r>
        <w:rPr>
          <w:spacing w:val="24"/>
        </w:rPr>
        <w:t> </w:t>
      </w:r>
      <w:r>
        <w:rPr/>
        <w:t>de</w:t>
      </w:r>
      <w:r>
        <w:rPr>
          <w:spacing w:val="24"/>
        </w:rPr>
        <w:t> </w:t>
      </w:r>
      <w:r>
        <w:rPr/>
        <w:t>origen</w:t>
      </w:r>
      <w:r>
        <w:rPr>
          <w:spacing w:val="24"/>
        </w:rPr>
        <w:t> </w:t>
      </w:r>
      <w:r>
        <w:rPr/>
        <w:t>social</w:t>
      </w:r>
    </w:p>
    <w:p>
      <w:pPr>
        <w:spacing w:line="249" w:lineRule="auto" w:before="28"/>
        <w:ind w:left="337" w:right="0" w:hanging="227"/>
        <w:jc w:val="left"/>
        <w:rPr>
          <w:sz w:val="18"/>
        </w:rPr>
      </w:pPr>
      <w:r>
        <w:rPr>
          <w:position w:val="7"/>
          <w:sz w:val="11"/>
        </w:rPr>
        <w:t>86 </w:t>
      </w:r>
      <w:r>
        <w:rPr>
          <w:sz w:val="18"/>
        </w:rPr>
        <w:t>Información proporcionada para esta investigación en entrevista con ex funcionarios estatales participantes en los proyectos estratégicos del estado, 8 de julio del 2011.</w:t>
      </w:r>
    </w:p>
    <w:p>
      <w:pPr>
        <w:spacing w:before="20"/>
        <w:ind w:left="110" w:right="0" w:firstLine="0"/>
        <w:jc w:val="both"/>
        <w:rPr>
          <w:i/>
          <w:sz w:val="18"/>
        </w:rPr>
      </w:pPr>
      <w:r>
        <w:rPr>
          <w:w w:val="105"/>
          <w:position w:val="7"/>
          <w:sz w:val="11"/>
        </w:rPr>
        <w:t>87  </w:t>
      </w:r>
      <w:r>
        <w:rPr>
          <w:i/>
          <w:w w:val="105"/>
          <w:sz w:val="18"/>
        </w:rPr>
        <w:t>Ibídem.</w:t>
      </w:r>
    </w:p>
    <w:p>
      <w:pPr>
        <w:spacing w:before="28"/>
        <w:ind w:left="110" w:right="0" w:firstLine="0"/>
        <w:jc w:val="both"/>
        <w:rPr>
          <w:sz w:val="18"/>
        </w:rPr>
      </w:pPr>
      <w:r>
        <w:rPr>
          <w:position w:val="7"/>
          <w:sz w:val="11"/>
        </w:rPr>
        <w:t>88    </w:t>
      </w:r>
      <w:r>
        <w:rPr>
          <w:sz w:val="18"/>
        </w:rPr>
        <w:t>Información proporcionada para esta investigación en entrevista con un funcionario estatal</w:t>
      </w:r>
    </w:p>
    <w:p>
      <w:pPr>
        <w:spacing w:before="9"/>
        <w:ind w:left="337" w:right="0" w:firstLine="0"/>
        <w:jc w:val="left"/>
        <w:rPr>
          <w:sz w:val="18"/>
        </w:rPr>
      </w:pPr>
      <w:r>
        <w:rPr>
          <w:sz w:val="18"/>
        </w:rPr>
        <w:t>participante de la propuesta de nueva refinería en Tula Hidalgo, 13 de octubre del 2010.</w:t>
      </w:r>
    </w:p>
    <w:p>
      <w:pPr>
        <w:spacing w:before="28"/>
        <w:ind w:left="110" w:right="0" w:firstLine="0"/>
        <w:jc w:val="both"/>
        <w:rPr>
          <w:i/>
          <w:sz w:val="18"/>
        </w:rPr>
      </w:pPr>
      <w:r>
        <w:rPr>
          <w:w w:val="105"/>
          <w:position w:val="7"/>
          <w:sz w:val="11"/>
        </w:rPr>
        <w:t>89  </w:t>
      </w:r>
      <w:r>
        <w:rPr>
          <w:i/>
          <w:w w:val="105"/>
          <w:sz w:val="18"/>
        </w:rPr>
        <w:t>Ibídem.</w:t>
      </w:r>
    </w:p>
    <w:p>
      <w:pPr>
        <w:spacing w:line="249" w:lineRule="auto" w:before="28"/>
        <w:ind w:left="337" w:right="0" w:hanging="227"/>
        <w:jc w:val="left"/>
        <w:rPr>
          <w:sz w:val="18"/>
        </w:rPr>
      </w:pPr>
      <w:r>
        <w:rPr>
          <w:position w:val="7"/>
          <w:sz w:val="11"/>
        </w:rPr>
        <w:t>90 </w:t>
      </w:r>
      <w:r>
        <w:rPr>
          <w:sz w:val="18"/>
        </w:rPr>
        <w:t>Información proporcionada para esta investigación en entrevista con ex funcionarios estatales participantes en los proyectos estratégicos del estado, 8 de julio del 2011.</w:t>
      </w:r>
    </w:p>
    <w:p>
      <w:pPr>
        <w:spacing w:before="20"/>
        <w:ind w:left="110" w:right="0" w:firstLine="0"/>
        <w:jc w:val="both"/>
        <w:rPr>
          <w:sz w:val="18"/>
        </w:rPr>
      </w:pPr>
      <w:r>
        <w:rPr>
          <w:position w:val="7"/>
          <w:sz w:val="11"/>
        </w:rPr>
        <w:t>91    </w:t>
      </w:r>
      <w:r>
        <w:rPr>
          <w:sz w:val="18"/>
        </w:rPr>
        <w:t>El Estado de Guanajuato es de la misma extracción política que el ejecutivo federal mexicano.</w:t>
      </w:r>
    </w:p>
    <w:p>
      <w:pPr>
        <w:spacing w:after="0"/>
        <w:jc w:val="both"/>
        <w:rPr>
          <w:sz w:val="18"/>
        </w:rPr>
        <w:sectPr>
          <w:pgSz w:w="9360" w:h="13040"/>
          <w:pgMar w:header="527" w:footer="515" w:top="720" w:bottom="700" w:left="740" w:right="1300"/>
        </w:sectPr>
      </w:pPr>
    </w:p>
    <w:p>
      <w:pPr>
        <w:pStyle w:val="BodyText"/>
        <w:spacing w:before="11"/>
        <w:rPr>
          <w:sz w:val="29"/>
        </w:rPr>
      </w:pPr>
    </w:p>
    <w:p>
      <w:pPr>
        <w:pStyle w:val="BodyText"/>
        <w:spacing w:line="244" w:lineRule="auto" w:before="70"/>
        <w:ind w:left="117" w:right="108"/>
        <w:jc w:val="both"/>
      </w:pPr>
      <w:r>
        <w:rPr/>
        <w:t>cuarenta</w:t>
      </w:r>
      <w:r>
        <w:rPr>
          <w:spacing w:val="-5"/>
        </w:rPr>
        <w:t> </w:t>
      </w:r>
      <w:r>
        <w:rPr/>
        <w:t>y</w:t>
      </w:r>
      <w:r>
        <w:rPr>
          <w:spacing w:val="-4"/>
        </w:rPr>
        <w:t> </w:t>
      </w:r>
      <w:r>
        <w:rPr/>
        <w:t>ocho</w:t>
      </w:r>
      <w:r>
        <w:rPr>
          <w:spacing w:val="-4"/>
        </w:rPr>
        <w:t> </w:t>
      </w:r>
      <w:r>
        <w:rPr/>
        <w:t>hectáreas</w:t>
      </w:r>
      <w:r>
        <w:rPr>
          <w:spacing w:val="-4"/>
        </w:rPr>
        <w:t> </w:t>
      </w:r>
      <w:r>
        <w:rPr/>
        <w:t>de</w:t>
      </w:r>
      <w:r>
        <w:rPr>
          <w:spacing w:val="-4"/>
        </w:rPr>
        <w:t> </w:t>
      </w:r>
      <w:r>
        <w:rPr/>
        <w:t>infraestructura,</w:t>
      </w:r>
      <w:r>
        <w:rPr>
          <w:spacing w:val="-6"/>
        </w:rPr>
        <w:t> </w:t>
      </w:r>
      <w:r>
        <w:rPr/>
        <w:t>cinco</w:t>
      </w:r>
      <w:r>
        <w:rPr>
          <w:spacing w:val="-5"/>
        </w:rPr>
        <w:t> </w:t>
      </w:r>
      <w:r>
        <w:rPr/>
        <w:t>de</w:t>
      </w:r>
      <w:r>
        <w:rPr>
          <w:spacing w:val="-4"/>
        </w:rPr>
        <w:t> </w:t>
      </w:r>
      <w:r>
        <w:rPr/>
        <w:t>camino</w:t>
      </w:r>
      <w:r>
        <w:rPr>
          <w:spacing w:val="-5"/>
        </w:rPr>
        <w:t> </w:t>
      </w:r>
      <w:r>
        <w:rPr/>
        <w:t>real</w:t>
      </w:r>
      <w:r>
        <w:rPr>
          <w:spacing w:val="-4"/>
        </w:rPr>
        <w:t> </w:t>
      </w:r>
      <w:r>
        <w:rPr/>
        <w:t>y</w:t>
      </w:r>
      <w:r>
        <w:rPr>
          <w:spacing w:val="-4"/>
        </w:rPr>
        <w:t> </w:t>
      </w:r>
      <w:r>
        <w:rPr/>
        <w:t>veinte</w:t>
      </w:r>
      <w:r>
        <w:rPr>
          <w:spacing w:val="-4"/>
        </w:rPr>
        <w:t> </w:t>
      </w:r>
      <w:r>
        <w:rPr/>
        <w:t>de propiedad</w:t>
      </w:r>
      <w:r>
        <w:rPr>
          <w:spacing w:val="3"/>
        </w:rPr>
        <w:t> </w:t>
      </w:r>
      <w:r>
        <w:rPr/>
        <w:t>privada</w:t>
      </w:r>
      <w:r>
        <w:rPr>
          <w:position w:val="8"/>
          <w:sz w:val="13"/>
        </w:rPr>
        <w:t>92</w:t>
      </w:r>
      <w:r>
        <w:rPr/>
        <w:t>.</w:t>
      </w:r>
    </w:p>
    <w:p>
      <w:pPr>
        <w:pStyle w:val="BodyText"/>
        <w:spacing w:before="1"/>
        <w:rPr>
          <w:sz w:val="22"/>
        </w:rPr>
      </w:pPr>
    </w:p>
    <w:p>
      <w:pPr>
        <w:pStyle w:val="BodyText"/>
        <w:spacing w:line="235" w:lineRule="auto"/>
        <w:ind w:left="117" w:right="104"/>
        <w:jc w:val="both"/>
      </w:pPr>
      <w:r>
        <w:rPr/>
        <w:t>Pese</w:t>
      </w:r>
      <w:r>
        <w:rPr>
          <w:spacing w:val="-13"/>
        </w:rPr>
        <w:t> </w:t>
      </w:r>
      <w:r>
        <w:rPr/>
        <w:t>a</w:t>
      </w:r>
      <w:r>
        <w:rPr>
          <w:spacing w:val="-13"/>
        </w:rPr>
        <w:t> </w:t>
      </w:r>
      <w:r>
        <w:rPr/>
        <w:t>los</w:t>
      </w:r>
      <w:r>
        <w:rPr>
          <w:spacing w:val="-13"/>
        </w:rPr>
        <w:t> </w:t>
      </w:r>
      <w:r>
        <w:rPr/>
        <w:t>esfuerzos</w:t>
      </w:r>
      <w:r>
        <w:rPr>
          <w:spacing w:val="-13"/>
        </w:rPr>
        <w:t> </w:t>
      </w:r>
      <w:r>
        <w:rPr/>
        <w:t>del</w:t>
      </w:r>
      <w:r>
        <w:rPr>
          <w:spacing w:val="-13"/>
        </w:rPr>
        <w:t> </w:t>
      </w:r>
      <w:r>
        <w:rPr/>
        <w:t>gobierno</w:t>
      </w:r>
      <w:r>
        <w:rPr>
          <w:spacing w:val="-13"/>
        </w:rPr>
        <w:t> </w:t>
      </w:r>
      <w:r>
        <w:rPr/>
        <w:t>estatal,</w:t>
      </w:r>
      <w:r>
        <w:rPr>
          <w:spacing w:val="-13"/>
        </w:rPr>
        <w:t> </w:t>
      </w:r>
      <w:r>
        <w:rPr/>
        <w:t>el</w:t>
      </w:r>
      <w:r>
        <w:rPr>
          <w:spacing w:val="-13"/>
        </w:rPr>
        <w:t> </w:t>
      </w:r>
      <w:r>
        <w:rPr/>
        <w:t>terreno</w:t>
      </w:r>
      <w:r>
        <w:rPr>
          <w:spacing w:val="-13"/>
        </w:rPr>
        <w:t> </w:t>
      </w:r>
      <w:r>
        <w:rPr/>
        <w:t>que</w:t>
      </w:r>
      <w:r>
        <w:rPr>
          <w:spacing w:val="-13"/>
        </w:rPr>
        <w:t> </w:t>
      </w:r>
      <w:r>
        <w:rPr/>
        <w:t>se</w:t>
      </w:r>
      <w:r>
        <w:rPr>
          <w:spacing w:val="-13"/>
        </w:rPr>
        <w:t> </w:t>
      </w:r>
      <w:r>
        <w:rPr/>
        <w:t>aportó</w:t>
      </w:r>
      <w:r>
        <w:rPr>
          <w:spacing w:val="-13"/>
        </w:rPr>
        <w:t> </w:t>
      </w:r>
      <w:r>
        <w:rPr/>
        <w:t>no</w:t>
      </w:r>
      <w:r>
        <w:rPr>
          <w:spacing w:val="-13"/>
        </w:rPr>
        <w:t> </w:t>
      </w:r>
      <w:r>
        <w:rPr/>
        <w:t>fue</w:t>
      </w:r>
      <w:r>
        <w:rPr>
          <w:spacing w:val="-13"/>
        </w:rPr>
        <w:t> </w:t>
      </w:r>
      <w:r>
        <w:rPr/>
        <w:t>el</w:t>
      </w:r>
      <w:r>
        <w:rPr>
          <w:spacing w:val="-13"/>
        </w:rPr>
        <w:t> </w:t>
      </w:r>
      <w:r>
        <w:rPr/>
        <w:t>más </w:t>
      </w:r>
      <w:r>
        <w:rPr>
          <w:spacing w:val="3"/>
        </w:rPr>
        <w:t>convenienteajuiciode </w:t>
      </w:r>
      <w:r>
        <w:rPr/>
        <w:t>PEMEX,</w:t>
      </w:r>
      <w:r>
        <w:rPr>
          <w:spacing w:val="-44"/>
        </w:rPr>
        <w:t> </w:t>
      </w:r>
      <w:r>
        <w:rPr>
          <w:spacing w:val="2"/>
        </w:rPr>
        <w:t>puesparaacondicionarloeranecesarioejecutar </w:t>
      </w:r>
      <w:r>
        <w:rPr/>
        <w:t>obras</w:t>
      </w:r>
      <w:r>
        <w:rPr>
          <w:spacing w:val="-5"/>
        </w:rPr>
        <w:t> </w:t>
      </w:r>
      <w:r>
        <w:rPr/>
        <w:t>preliminares</w:t>
      </w:r>
      <w:r>
        <w:rPr>
          <w:spacing w:val="-5"/>
        </w:rPr>
        <w:t> </w:t>
      </w:r>
      <w:r>
        <w:rPr/>
        <w:t>no</w:t>
      </w:r>
      <w:r>
        <w:rPr>
          <w:spacing w:val="-5"/>
        </w:rPr>
        <w:t> </w:t>
      </w:r>
      <w:r>
        <w:rPr/>
        <w:t>consideradas</w:t>
      </w:r>
      <w:r>
        <w:rPr>
          <w:spacing w:val="-6"/>
        </w:rPr>
        <w:t> </w:t>
      </w:r>
      <w:r>
        <w:rPr/>
        <w:t>a</w:t>
      </w:r>
      <w:r>
        <w:rPr>
          <w:spacing w:val="-5"/>
        </w:rPr>
        <w:t> </w:t>
      </w:r>
      <w:r>
        <w:rPr/>
        <w:t>efecto</w:t>
      </w:r>
      <w:r>
        <w:rPr>
          <w:spacing w:val="-5"/>
        </w:rPr>
        <w:t> </w:t>
      </w:r>
      <w:r>
        <w:rPr/>
        <w:t>de:</w:t>
      </w:r>
      <w:r>
        <w:rPr>
          <w:spacing w:val="-5"/>
        </w:rPr>
        <w:t> </w:t>
      </w:r>
      <w:r>
        <w:rPr/>
        <w:t>1)</w:t>
      </w:r>
      <w:r>
        <w:rPr>
          <w:spacing w:val="-5"/>
        </w:rPr>
        <w:t> </w:t>
      </w:r>
      <w:r>
        <w:rPr/>
        <w:t>desviar</w:t>
      </w:r>
      <w:r>
        <w:rPr>
          <w:spacing w:val="-5"/>
        </w:rPr>
        <w:t> </w:t>
      </w:r>
      <w:r>
        <w:rPr/>
        <w:t>zanjas</w:t>
      </w:r>
      <w:r>
        <w:rPr>
          <w:spacing w:val="-5"/>
        </w:rPr>
        <w:t> </w:t>
      </w:r>
      <w:r>
        <w:rPr/>
        <w:t>y</w:t>
      </w:r>
      <w:r>
        <w:rPr>
          <w:spacing w:val="-5"/>
        </w:rPr>
        <w:t> </w:t>
      </w:r>
      <w:r>
        <w:rPr/>
        <w:t>canales</w:t>
      </w:r>
      <w:r>
        <w:rPr>
          <w:spacing w:val="-5"/>
        </w:rPr>
        <w:t> </w:t>
      </w:r>
      <w:r>
        <w:rPr/>
        <w:t>de riego,</w:t>
      </w:r>
      <w:r>
        <w:rPr>
          <w:spacing w:val="-10"/>
        </w:rPr>
        <w:t> </w:t>
      </w:r>
      <w:r>
        <w:rPr/>
        <w:t>2)</w:t>
      </w:r>
      <w:r>
        <w:rPr>
          <w:spacing w:val="-10"/>
        </w:rPr>
        <w:t> </w:t>
      </w:r>
      <w:r>
        <w:rPr/>
        <w:t>reubicar</w:t>
      </w:r>
      <w:r>
        <w:rPr>
          <w:spacing w:val="-10"/>
        </w:rPr>
        <w:t> </w:t>
      </w:r>
      <w:r>
        <w:rPr/>
        <w:t>torres</w:t>
      </w:r>
      <w:r>
        <w:rPr>
          <w:spacing w:val="-10"/>
        </w:rPr>
        <w:t> </w:t>
      </w:r>
      <w:r>
        <w:rPr/>
        <w:t>de</w:t>
      </w:r>
      <w:r>
        <w:rPr>
          <w:spacing w:val="-10"/>
        </w:rPr>
        <w:t> </w:t>
      </w:r>
      <w:r>
        <w:rPr/>
        <w:t>alta</w:t>
      </w:r>
      <w:r>
        <w:rPr>
          <w:spacing w:val="-10"/>
        </w:rPr>
        <w:t> </w:t>
      </w:r>
      <w:r>
        <w:rPr/>
        <w:t>tensión</w:t>
      </w:r>
      <w:r>
        <w:rPr>
          <w:spacing w:val="-11"/>
        </w:rPr>
        <w:t> </w:t>
      </w:r>
      <w:r>
        <w:rPr/>
        <w:t>eléctrica,</w:t>
      </w:r>
      <w:r>
        <w:rPr>
          <w:spacing w:val="-11"/>
        </w:rPr>
        <w:t> </w:t>
      </w:r>
      <w:r>
        <w:rPr/>
        <w:t>3)</w:t>
      </w:r>
      <w:r>
        <w:rPr>
          <w:spacing w:val="-10"/>
        </w:rPr>
        <w:t> </w:t>
      </w:r>
      <w:r>
        <w:rPr/>
        <w:t>clausurar</w:t>
      </w:r>
      <w:r>
        <w:rPr>
          <w:spacing w:val="-11"/>
        </w:rPr>
        <w:t> </w:t>
      </w:r>
      <w:r>
        <w:rPr/>
        <w:t>basureros</w:t>
      </w:r>
      <w:r>
        <w:rPr>
          <w:spacing w:val="-10"/>
        </w:rPr>
        <w:t> </w:t>
      </w:r>
      <w:r>
        <w:rPr/>
        <w:t>a</w:t>
      </w:r>
      <w:r>
        <w:rPr>
          <w:spacing w:val="-10"/>
        </w:rPr>
        <w:t> </w:t>
      </w:r>
      <w:r>
        <w:rPr/>
        <w:t>cielo abierto, y 4) atender la conservación de una zona arqueológica de la etnia chingu</w:t>
      </w:r>
      <w:r>
        <w:rPr>
          <w:position w:val="8"/>
          <w:sz w:val="13"/>
        </w:rPr>
        <w:t>93</w:t>
      </w:r>
      <w:r>
        <w:rPr/>
        <w:t>. Las nuevas condicionantes del proyecto tensaron la relación entre la federación y el gobierno estatal, pues éste último argumentó que con su rechazo a los terrenos adquiridos PEMEX estaba retrasando la ejecución del proyecto,</w:t>
      </w:r>
      <w:r>
        <w:rPr>
          <w:spacing w:val="-11"/>
        </w:rPr>
        <w:t> </w:t>
      </w:r>
      <w:r>
        <w:rPr/>
        <w:t>en</w:t>
      </w:r>
      <w:r>
        <w:rPr>
          <w:spacing w:val="-12"/>
        </w:rPr>
        <w:t> </w:t>
      </w:r>
      <w:r>
        <w:rPr/>
        <w:t>consecuencia,</w:t>
      </w:r>
      <w:r>
        <w:rPr>
          <w:spacing w:val="-12"/>
        </w:rPr>
        <w:t> </w:t>
      </w:r>
      <w:r>
        <w:rPr/>
        <w:t>los</w:t>
      </w:r>
      <w:r>
        <w:rPr>
          <w:spacing w:val="-11"/>
        </w:rPr>
        <w:t> </w:t>
      </w:r>
      <w:r>
        <w:rPr/>
        <w:t>medios</w:t>
      </w:r>
      <w:r>
        <w:rPr>
          <w:spacing w:val="-12"/>
        </w:rPr>
        <w:t> </w:t>
      </w:r>
      <w:r>
        <w:rPr/>
        <w:t>de</w:t>
      </w:r>
      <w:r>
        <w:rPr>
          <w:spacing w:val="-11"/>
        </w:rPr>
        <w:t> </w:t>
      </w:r>
      <w:r>
        <w:rPr/>
        <w:t>comunicación</w:t>
      </w:r>
      <w:r>
        <w:rPr>
          <w:spacing w:val="-12"/>
        </w:rPr>
        <w:t> </w:t>
      </w:r>
      <w:r>
        <w:rPr/>
        <w:t>nacionales</w:t>
      </w:r>
      <w:r>
        <w:rPr>
          <w:spacing w:val="-11"/>
        </w:rPr>
        <w:t> </w:t>
      </w:r>
      <w:r>
        <w:rPr/>
        <w:t>y</w:t>
      </w:r>
      <w:r>
        <w:rPr>
          <w:spacing w:val="-12"/>
        </w:rPr>
        <w:t> </w:t>
      </w:r>
      <w:r>
        <w:rPr/>
        <w:t>estatales infundieron el escepticismo en la opinión pública con respecto al</w:t>
      </w:r>
      <w:r>
        <w:rPr>
          <w:spacing w:val="-1"/>
        </w:rPr>
        <w:t> </w:t>
      </w:r>
      <w:r>
        <w:rPr/>
        <w:t>proyecto</w:t>
      </w:r>
      <w:r>
        <w:rPr>
          <w:position w:val="8"/>
          <w:sz w:val="13"/>
        </w:rPr>
        <w:t>94</w:t>
      </w:r>
      <w:r>
        <w:rPr/>
        <w:t>.</w:t>
      </w:r>
    </w:p>
    <w:p>
      <w:pPr>
        <w:pStyle w:val="BodyText"/>
        <w:spacing w:before="7"/>
        <w:rPr>
          <w:sz w:val="22"/>
        </w:rPr>
      </w:pPr>
    </w:p>
    <w:p>
      <w:pPr>
        <w:pStyle w:val="BodyText"/>
        <w:spacing w:line="235" w:lineRule="auto" w:before="1"/>
        <w:ind w:left="117" w:right="104"/>
        <w:jc w:val="both"/>
      </w:pPr>
      <w:r>
        <w:rPr/>
        <w:t>Sobre esa etapa de gestión existen opiniones divididas: mientras algunos representantes de PEMEX afirman que la relación con sus homólogos estatales </w:t>
      </w:r>
      <w:r>
        <w:rPr>
          <w:i/>
        </w:rPr>
        <w:t>no fue mala</w:t>
      </w:r>
      <w:r>
        <w:rPr>
          <w:position w:val="8"/>
          <w:sz w:val="13"/>
        </w:rPr>
        <w:t>95</w:t>
      </w:r>
      <w:r>
        <w:rPr/>
        <w:t>, éstos últimos señalan que los primeros </w:t>
      </w:r>
      <w:r>
        <w:rPr>
          <w:spacing w:val="2"/>
        </w:rPr>
        <w:t>fueron </w:t>
      </w:r>
      <w:r>
        <w:rPr/>
        <w:t>cambiados para que los sustitutos retomaran </w:t>
      </w:r>
      <w:r>
        <w:rPr>
          <w:i/>
        </w:rPr>
        <w:t>de inicio los asuntos </w:t>
      </w:r>
      <w:r>
        <w:rPr/>
        <w:t>y </w:t>
      </w:r>
      <w:r>
        <w:rPr>
          <w:spacing w:val="2"/>
        </w:rPr>
        <w:t>que    </w:t>
      </w:r>
      <w:r>
        <w:rPr>
          <w:spacing w:val="61"/>
        </w:rPr>
        <w:t> </w:t>
      </w:r>
      <w:r>
        <w:rPr/>
        <w:t>así las mesas de negociación no tuvieran continuidad, además de aceptar  que </w:t>
      </w:r>
      <w:r>
        <w:rPr>
          <w:i/>
        </w:rPr>
        <w:t>se incumplió de ambas partes</w:t>
      </w:r>
      <w:r>
        <w:rPr>
          <w:position w:val="8"/>
          <w:sz w:val="13"/>
        </w:rPr>
        <w:t>96</w:t>
      </w:r>
      <w:r>
        <w:rPr/>
        <w:t>. En esas circunstancias ambos </w:t>
      </w:r>
      <w:r>
        <w:rPr>
          <w:spacing w:val="2"/>
        </w:rPr>
        <w:t>grupos </w:t>
      </w:r>
      <w:r>
        <w:rPr/>
        <w:t>debían coordinarse para obtener financiamiento a efecto de acondicionar </w:t>
      </w:r>
      <w:r>
        <w:rPr>
          <w:spacing w:val="2"/>
        </w:rPr>
        <w:t>del </w:t>
      </w:r>
      <w:r>
        <w:rPr/>
        <w:t>terreno, labor que además debía realizarse bajo el </w:t>
      </w:r>
      <w:r>
        <w:rPr>
          <w:i/>
        </w:rPr>
        <w:t>ruido político </w:t>
      </w:r>
      <w:r>
        <w:rPr/>
        <w:t>ocasionado por la </w:t>
      </w:r>
      <w:r>
        <w:rPr>
          <w:i/>
        </w:rPr>
        <w:t>guerra de declaraciones </w:t>
      </w:r>
      <w:r>
        <w:rPr/>
        <w:t>de los altos directivos federales y estatales. Bajo el discurso reiterado de que los gobiernos estatales carecen de financiamiento suficiente para obra pública, se gestionó que el Presupuesto de Egresos de la Federación (PEF) 2011 provisionara un monto para realizar el acondicionamiento del terreno que nos </w:t>
      </w:r>
      <w:r>
        <w:rPr>
          <w:spacing w:val="38"/>
        </w:rPr>
        <w:t> </w:t>
      </w:r>
      <w:r>
        <w:rPr/>
        <w:t>ocupa</w:t>
      </w:r>
      <w:r>
        <w:rPr>
          <w:position w:val="8"/>
          <w:sz w:val="13"/>
        </w:rPr>
        <w:t>97</w:t>
      </w:r>
      <w:r>
        <w:rPr/>
        <w:t>.</w:t>
      </w:r>
    </w:p>
    <w:p>
      <w:pPr>
        <w:pStyle w:val="BodyText"/>
        <w:spacing w:before="10"/>
        <w:rPr>
          <w:sz w:val="22"/>
        </w:rPr>
      </w:pPr>
    </w:p>
    <w:p>
      <w:pPr>
        <w:pStyle w:val="BodyText"/>
        <w:spacing w:line="260" w:lineRule="exact"/>
        <w:ind w:left="117" w:right="108"/>
        <w:jc w:val="both"/>
      </w:pPr>
      <w:r>
        <w:rPr/>
        <w:pict>
          <v:line style="position:absolute;mso-position-horizontal-relative:page;mso-position-vertical-relative:paragraph;z-index:2464;mso-wrap-distance-left:0;mso-wrap-distance-right:0" from="70.866096pt,43.761097pt" to="142.866096pt,43.761097pt" stroked="true" strokeweight="1pt" strokecolor="#000000">
            <w10:wrap type="topAndBottom"/>
          </v:line>
        </w:pict>
      </w:r>
      <w:r>
        <w:rPr/>
        <w:t>Sin embargo, la solución del financiamiento para obras preliminares no representó</w:t>
      </w:r>
      <w:r>
        <w:rPr>
          <w:spacing w:val="-20"/>
        </w:rPr>
        <w:t> </w:t>
      </w:r>
      <w:r>
        <w:rPr/>
        <w:t>el</w:t>
      </w:r>
      <w:r>
        <w:rPr>
          <w:spacing w:val="-20"/>
        </w:rPr>
        <w:t> </w:t>
      </w:r>
      <w:r>
        <w:rPr/>
        <w:t>final</w:t>
      </w:r>
      <w:r>
        <w:rPr>
          <w:spacing w:val="-20"/>
        </w:rPr>
        <w:t> </w:t>
      </w:r>
      <w:r>
        <w:rPr/>
        <w:t>de</w:t>
      </w:r>
      <w:r>
        <w:rPr>
          <w:spacing w:val="-20"/>
        </w:rPr>
        <w:t> </w:t>
      </w:r>
      <w:r>
        <w:rPr/>
        <w:t>las</w:t>
      </w:r>
      <w:r>
        <w:rPr>
          <w:spacing w:val="-20"/>
        </w:rPr>
        <w:t> </w:t>
      </w:r>
      <w:r>
        <w:rPr/>
        <w:t>tensiones,</w:t>
      </w:r>
      <w:r>
        <w:rPr>
          <w:spacing w:val="-20"/>
        </w:rPr>
        <w:t> </w:t>
      </w:r>
      <w:r>
        <w:rPr/>
        <w:t>ahora</w:t>
      </w:r>
      <w:r>
        <w:rPr>
          <w:spacing w:val="-20"/>
        </w:rPr>
        <w:t> </w:t>
      </w:r>
      <w:r>
        <w:rPr/>
        <w:t>surgió</w:t>
      </w:r>
      <w:r>
        <w:rPr>
          <w:spacing w:val="-20"/>
        </w:rPr>
        <w:t> </w:t>
      </w:r>
      <w:r>
        <w:rPr/>
        <w:t>el</w:t>
      </w:r>
      <w:r>
        <w:rPr>
          <w:spacing w:val="-20"/>
        </w:rPr>
        <w:t> </w:t>
      </w:r>
      <w:r>
        <w:rPr/>
        <w:t>apremio</w:t>
      </w:r>
      <w:r>
        <w:rPr>
          <w:spacing w:val="-20"/>
        </w:rPr>
        <w:t> </w:t>
      </w:r>
      <w:r>
        <w:rPr/>
        <w:t>del</w:t>
      </w:r>
      <w:r>
        <w:rPr>
          <w:spacing w:val="-20"/>
        </w:rPr>
        <w:t> </w:t>
      </w:r>
      <w:r>
        <w:rPr/>
        <w:t>gobierno</w:t>
      </w:r>
      <w:r>
        <w:rPr>
          <w:spacing w:val="-20"/>
        </w:rPr>
        <w:t> </w:t>
      </w:r>
      <w:r>
        <w:rPr/>
        <w:t>estatal con</w:t>
      </w:r>
      <w:r>
        <w:rPr>
          <w:spacing w:val="-18"/>
        </w:rPr>
        <w:t> </w:t>
      </w:r>
      <w:r>
        <w:rPr/>
        <w:t>relación</w:t>
      </w:r>
      <w:r>
        <w:rPr>
          <w:spacing w:val="-18"/>
        </w:rPr>
        <w:t> </w:t>
      </w:r>
      <w:r>
        <w:rPr/>
        <w:t>al</w:t>
      </w:r>
      <w:r>
        <w:rPr>
          <w:spacing w:val="-18"/>
        </w:rPr>
        <w:t> </w:t>
      </w:r>
      <w:r>
        <w:rPr/>
        <w:t>cumplimiento</w:t>
      </w:r>
      <w:r>
        <w:rPr>
          <w:spacing w:val="-19"/>
        </w:rPr>
        <w:t> </w:t>
      </w:r>
      <w:r>
        <w:rPr/>
        <w:t>de</w:t>
      </w:r>
      <w:r>
        <w:rPr>
          <w:spacing w:val="-18"/>
        </w:rPr>
        <w:t> </w:t>
      </w:r>
      <w:r>
        <w:rPr/>
        <w:t>los</w:t>
      </w:r>
      <w:r>
        <w:rPr>
          <w:spacing w:val="-18"/>
        </w:rPr>
        <w:t> </w:t>
      </w:r>
      <w:r>
        <w:rPr/>
        <w:t>compromisos</w:t>
      </w:r>
      <w:r>
        <w:rPr>
          <w:spacing w:val="-19"/>
        </w:rPr>
        <w:t> </w:t>
      </w:r>
      <w:r>
        <w:rPr/>
        <w:t>sobre</w:t>
      </w:r>
      <w:r>
        <w:rPr>
          <w:spacing w:val="-18"/>
        </w:rPr>
        <w:t> </w:t>
      </w:r>
      <w:r>
        <w:rPr/>
        <w:t>proyectos</w:t>
      </w:r>
      <w:r>
        <w:rPr>
          <w:spacing w:val="-18"/>
        </w:rPr>
        <w:t> </w:t>
      </w:r>
      <w:r>
        <w:rPr/>
        <w:t>productivos</w:t>
      </w:r>
    </w:p>
    <w:p>
      <w:pPr>
        <w:spacing w:before="28"/>
        <w:ind w:left="117" w:right="0" w:firstLine="0"/>
        <w:jc w:val="both"/>
        <w:rPr>
          <w:i/>
          <w:sz w:val="18"/>
        </w:rPr>
      </w:pPr>
      <w:r>
        <w:rPr>
          <w:position w:val="7"/>
          <w:sz w:val="11"/>
        </w:rPr>
        <w:t>92    </w:t>
      </w:r>
      <w:r>
        <w:rPr>
          <w:sz w:val="18"/>
        </w:rPr>
        <w:t>Secretaría  de  la  reforma  agraria;  </w:t>
      </w:r>
      <w:r>
        <w:rPr>
          <w:i/>
          <w:sz w:val="18"/>
        </w:rPr>
        <w:t>proyecto  refinería,  avances  en  expedición  de  títulos  de</w:t>
      </w:r>
    </w:p>
    <w:p>
      <w:pPr>
        <w:spacing w:before="9"/>
        <w:ind w:left="197" w:right="76" w:firstLine="0"/>
        <w:jc w:val="center"/>
        <w:rPr>
          <w:sz w:val="18"/>
        </w:rPr>
      </w:pPr>
      <w:r>
        <w:rPr>
          <w:i/>
          <w:sz w:val="18"/>
        </w:rPr>
        <w:t>propiedad, RAN; </w:t>
      </w:r>
      <w:r>
        <w:rPr>
          <w:sz w:val="18"/>
        </w:rPr>
        <w:t>México, presentación </w:t>
      </w:r>
      <w:r>
        <w:rPr>
          <w:i/>
          <w:sz w:val="18"/>
        </w:rPr>
        <w:t>power point</w:t>
      </w:r>
      <w:r>
        <w:rPr>
          <w:sz w:val="18"/>
        </w:rPr>
        <w:t>, 12 de agosto de 2009, diapositivas 2 y 4.</w:t>
      </w:r>
    </w:p>
    <w:p>
      <w:pPr>
        <w:spacing w:before="28"/>
        <w:ind w:left="117" w:right="0" w:firstLine="0"/>
        <w:jc w:val="both"/>
        <w:rPr>
          <w:sz w:val="18"/>
        </w:rPr>
      </w:pPr>
      <w:r>
        <w:rPr>
          <w:position w:val="7"/>
          <w:sz w:val="11"/>
        </w:rPr>
        <w:t>93   </w:t>
      </w:r>
      <w:r>
        <w:rPr>
          <w:sz w:val="18"/>
        </w:rPr>
        <w:t>Información proporcionada para esta investigación en entrevista con el subgerente de evaluación</w:t>
      </w:r>
    </w:p>
    <w:p>
      <w:pPr>
        <w:spacing w:before="9"/>
        <w:ind w:left="344" w:right="0" w:firstLine="0"/>
        <w:jc w:val="left"/>
        <w:rPr>
          <w:sz w:val="18"/>
        </w:rPr>
      </w:pPr>
      <w:r>
        <w:rPr>
          <w:sz w:val="18"/>
        </w:rPr>
        <w:t>de la gestión del suministro (PEMEX corporativo), 15 de diciembre del 2010.</w:t>
      </w:r>
    </w:p>
    <w:p>
      <w:pPr>
        <w:spacing w:before="28"/>
        <w:ind w:left="117" w:right="0" w:firstLine="0"/>
        <w:jc w:val="both"/>
        <w:rPr>
          <w:i/>
          <w:sz w:val="18"/>
        </w:rPr>
      </w:pPr>
      <w:r>
        <w:rPr>
          <w:w w:val="105"/>
          <w:position w:val="7"/>
          <w:sz w:val="11"/>
        </w:rPr>
        <w:t>94  </w:t>
      </w:r>
      <w:r>
        <w:rPr>
          <w:i/>
          <w:w w:val="105"/>
          <w:sz w:val="18"/>
        </w:rPr>
        <w:t>Ibídem.</w:t>
      </w:r>
    </w:p>
    <w:p>
      <w:pPr>
        <w:spacing w:before="28"/>
        <w:ind w:left="117" w:right="0" w:firstLine="0"/>
        <w:jc w:val="both"/>
        <w:rPr>
          <w:i/>
          <w:sz w:val="18"/>
        </w:rPr>
      </w:pPr>
      <w:r>
        <w:rPr>
          <w:w w:val="105"/>
          <w:position w:val="7"/>
          <w:sz w:val="11"/>
        </w:rPr>
        <w:t>95  </w:t>
      </w:r>
      <w:r>
        <w:rPr>
          <w:i/>
          <w:w w:val="105"/>
          <w:sz w:val="18"/>
        </w:rPr>
        <w:t>Ibídem.</w:t>
      </w:r>
    </w:p>
    <w:p>
      <w:pPr>
        <w:spacing w:line="249" w:lineRule="auto" w:before="28"/>
        <w:ind w:left="344" w:right="0" w:hanging="227"/>
        <w:jc w:val="left"/>
        <w:rPr>
          <w:sz w:val="18"/>
        </w:rPr>
      </w:pPr>
      <w:r>
        <w:rPr>
          <w:position w:val="7"/>
          <w:sz w:val="11"/>
        </w:rPr>
        <w:t>96 </w:t>
      </w:r>
      <w:r>
        <w:rPr>
          <w:sz w:val="18"/>
        </w:rPr>
        <w:t>Información proporcionada para esta investigación en entrevista con ex funcionarios estatales participantes en los proyectos estratégicos del estado, 8 de julio del 2011.</w:t>
      </w:r>
    </w:p>
    <w:p>
      <w:pPr>
        <w:spacing w:before="20"/>
        <w:ind w:left="117" w:right="0" w:firstLine="0"/>
        <w:jc w:val="both"/>
        <w:rPr>
          <w:i/>
          <w:sz w:val="18"/>
        </w:rPr>
      </w:pPr>
      <w:r>
        <w:rPr>
          <w:w w:val="105"/>
          <w:position w:val="7"/>
          <w:sz w:val="11"/>
        </w:rPr>
        <w:t>97  </w:t>
      </w:r>
      <w:r>
        <w:rPr>
          <w:i/>
          <w:w w:val="105"/>
          <w:sz w:val="18"/>
        </w:rPr>
        <w:t>Ibídem.</w:t>
      </w:r>
    </w:p>
    <w:p>
      <w:pPr>
        <w:spacing w:after="0"/>
        <w:jc w:val="both"/>
        <w:rPr>
          <w:sz w:val="18"/>
        </w:rPr>
        <w:sectPr>
          <w:pgSz w:w="9360" w:h="13040"/>
          <w:pgMar w:header="547" w:footer="514" w:top="940" w:bottom="700" w:left="1300" w:right="740"/>
        </w:sectPr>
      </w:pPr>
    </w:p>
    <w:p>
      <w:pPr>
        <w:pStyle w:val="BodyText"/>
        <w:rPr>
          <w:i/>
          <w:sz w:val="20"/>
        </w:rPr>
      </w:pPr>
    </w:p>
    <w:p>
      <w:pPr>
        <w:pStyle w:val="BodyText"/>
        <w:spacing w:before="1"/>
        <w:rPr>
          <w:i/>
          <w:sz w:val="29"/>
        </w:rPr>
      </w:pPr>
    </w:p>
    <w:p>
      <w:pPr>
        <w:spacing w:line="244" w:lineRule="auto" w:before="70"/>
        <w:ind w:left="110" w:right="113" w:firstLine="0"/>
        <w:jc w:val="both"/>
        <w:rPr>
          <w:i/>
          <w:sz w:val="23"/>
        </w:rPr>
      </w:pPr>
      <w:r>
        <w:rPr>
          <w:sz w:val="23"/>
        </w:rPr>
        <w:t>para ejidatarios. En ese sentido, hacia finales del año 2010, funcionarios federales y estatales celebraron una reunión convocada por los últimos para que la obra relativa a la barda del terreno se constituyera como programa    de empleo temporal para los habitantes de la región</w:t>
      </w:r>
      <w:r>
        <w:rPr>
          <w:position w:val="8"/>
          <w:sz w:val="13"/>
        </w:rPr>
        <w:t>98</w:t>
      </w:r>
      <w:r>
        <w:rPr>
          <w:sz w:val="23"/>
        </w:rPr>
        <w:t>. En este caso, los fun- cionarios de PEMEX expresaron su negativa argumentando restricciones sindicales, proponiendo en cambio un plan de desarrollo económico más amplio: </w:t>
      </w:r>
      <w:r>
        <w:rPr>
          <w:i/>
          <w:sz w:val="23"/>
        </w:rPr>
        <w:t>es necesario que la mesa trabaje de manera urgente en el diseño de </w:t>
      </w:r>
      <w:r>
        <w:rPr>
          <w:i/>
          <w:sz w:val="23"/>
        </w:rPr>
        <w:t>dos planes estratégicos. El primero un plan de proveeduría consistente en la identificación de las empresas ubicadas en el estado que puedan participar como subcontratistas o proveedores dentro de las etapas de construcción  del proyecto; el segundo un plan de capacitación y certificación de mano de obra, consistente en formar recursos humanos calificados y certificados en labores</w:t>
      </w:r>
      <w:r>
        <w:rPr>
          <w:i/>
          <w:spacing w:val="-12"/>
          <w:sz w:val="23"/>
        </w:rPr>
        <w:t> </w:t>
      </w:r>
      <w:r>
        <w:rPr>
          <w:i/>
          <w:sz w:val="23"/>
        </w:rPr>
        <w:t>específicas</w:t>
      </w:r>
      <w:r>
        <w:rPr>
          <w:i/>
          <w:spacing w:val="-12"/>
          <w:sz w:val="23"/>
        </w:rPr>
        <w:t> </w:t>
      </w:r>
      <w:r>
        <w:rPr>
          <w:i/>
          <w:sz w:val="23"/>
        </w:rPr>
        <w:t>con</w:t>
      </w:r>
      <w:r>
        <w:rPr>
          <w:i/>
          <w:spacing w:val="-12"/>
          <w:sz w:val="23"/>
        </w:rPr>
        <w:t> </w:t>
      </w:r>
      <w:r>
        <w:rPr>
          <w:i/>
          <w:sz w:val="23"/>
        </w:rPr>
        <w:t>la</w:t>
      </w:r>
      <w:r>
        <w:rPr>
          <w:i/>
          <w:spacing w:val="-12"/>
          <w:sz w:val="23"/>
        </w:rPr>
        <w:t> </w:t>
      </w:r>
      <w:r>
        <w:rPr>
          <w:i/>
          <w:sz w:val="23"/>
        </w:rPr>
        <w:t>finalidad</w:t>
      </w:r>
      <w:r>
        <w:rPr>
          <w:i/>
          <w:spacing w:val="-12"/>
          <w:sz w:val="23"/>
        </w:rPr>
        <w:t> </w:t>
      </w:r>
      <w:r>
        <w:rPr>
          <w:i/>
          <w:sz w:val="23"/>
        </w:rPr>
        <w:t>de</w:t>
      </w:r>
      <w:r>
        <w:rPr>
          <w:i/>
          <w:spacing w:val="-12"/>
          <w:sz w:val="23"/>
        </w:rPr>
        <w:t> </w:t>
      </w:r>
      <w:r>
        <w:rPr>
          <w:i/>
          <w:sz w:val="23"/>
        </w:rPr>
        <w:t>ponerlos</w:t>
      </w:r>
      <w:r>
        <w:rPr>
          <w:i/>
          <w:spacing w:val="-12"/>
          <w:sz w:val="23"/>
        </w:rPr>
        <w:t> </w:t>
      </w:r>
      <w:r>
        <w:rPr>
          <w:i/>
          <w:sz w:val="23"/>
        </w:rPr>
        <w:t>a</w:t>
      </w:r>
      <w:r>
        <w:rPr>
          <w:i/>
          <w:spacing w:val="-12"/>
          <w:sz w:val="23"/>
        </w:rPr>
        <w:t> </w:t>
      </w:r>
      <w:r>
        <w:rPr>
          <w:i/>
          <w:sz w:val="23"/>
        </w:rPr>
        <w:t>disposición</w:t>
      </w:r>
      <w:r>
        <w:rPr>
          <w:i/>
          <w:spacing w:val="-12"/>
          <w:sz w:val="23"/>
        </w:rPr>
        <w:t> </w:t>
      </w:r>
      <w:r>
        <w:rPr>
          <w:i/>
          <w:sz w:val="23"/>
        </w:rPr>
        <w:t>de</w:t>
      </w:r>
      <w:r>
        <w:rPr>
          <w:i/>
          <w:spacing w:val="-12"/>
          <w:sz w:val="23"/>
        </w:rPr>
        <w:t> </w:t>
      </w:r>
      <w:r>
        <w:rPr>
          <w:i/>
          <w:sz w:val="23"/>
        </w:rPr>
        <w:t>las</w:t>
      </w:r>
      <w:r>
        <w:rPr>
          <w:i/>
          <w:spacing w:val="-12"/>
          <w:sz w:val="23"/>
        </w:rPr>
        <w:t> </w:t>
      </w:r>
      <w:r>
        <w:rPr>
          <w:i/>
          <w:sz w:val="23"/>
        </w:rPr>
        <w:t>empresas constructoras</w:t>
      </w:r>
      <w:r>
        <w:rPr>
          <w:position w:val="8"/>
          <w:sz w:val="13"/>
        </w:rPr>
        <w:t>99</w:t>
      </w:r>
      <w:r>
        <w:rPr>
          <w:i/>
          <w:sz w:val="23"/>
        </w:rPr>
        <w:t>.</w:t>
      </w:r>
    </w:p>
    <w:p>
      <w:pPr>
        <w:pStyle w:val="BodyText"/>
        <w:spacing w:before="5"/>
        <w:rPr>
          <w:i/>
        </w:rPr>
      </w:pPr>
    </w:p>
    <w:p>
      <w:pPr>
        <w:pStyle w:val="BodyText"/>
        <w:spacing w:line="244" w:lineRule="auto"/>
        <w:ind w:left="110" w:right="114"/>
        <w:jc w:val="both"/>
      </w:pPr>
      <w:r>
        <w:rPr/>
        <w:t>Por lo expuesto, se definieron los funcionarios estatales que trabajarían en cada plan, el primero fue encomendado a la Secretaría de Economía del Estado, el segundo fue asignado conjuntamente al Instituto de Capacitación para</w:t>
      </w:r>
      <w:r>
        <w:rPr>
          <w:spacing w:val="-17"/>
        </w:rPr>
        <w:t> </w:t>
      </w:r>
      <w:r>
        <w:rPr/>
        <w:t>el</w:t>
      </w:r>
      <w:r>
        <w:rPr>
          <w:spacing w:val="-21"/>
        </w:rPr>
        <w:t> </w:t>
      </w:r>
      <w:r>
        <w:rPr/>
        <w:t>Trabajo</w:t>
      </w:r>
      <w:r>
        <w:rPr>
          <w:spacing w:val="-17"/>
        </w:rPr>
        <w:t> </w:t>
      </w:r>
      <w:r>
        <w:rPr/>
        <w:t>del</w:t>
      </w:r>
      <w:r>
        <w:rPr>
          <w:spacing w:val="-17"/>
        </w:rPr>
        <w:t> </w:t>
      </w:r>
      <w:r>
        <w:rPr/>
        <w:t>Estado</w:t>
      </w:r>
      <w:r>
        <w:rPr>
          <w:spacing w:val="-17"/>
        </w:rPr>
        <w:t> </w:t>
      </w:r>
      <w:r>
        <w:rPr/>
        <w:t>de</w:t>
      </w:r>
      <w:r>
        <w:rPr>
          <w:spacing w:val="-17"/>
        </w:rPr>
        <w:t> </w:t>
      </w:r>
      <w:r>
        <w:rPr/>
        <w:t>Hidalgo</w:t>
      </w:r>
      <w:r>
        <w:rPr>
          <w:spacing w:val="-16"/>
        </w:rPr>
        <w:t> </w:t>
      </w:r>
      <w:r>
        <w:rPr>
          <w:spacing w:val="-4"/>
        </w:rPr>
        <w:t>(ICATHI)</w:t>
      </w:r>
      <w:r>
        <w:rPr>
          <w:spacing w:val="-17"/>
        </w:rPr>
        <w:t> </w:t>
      </w:r>
      <w:r>
        <w:rPr/>
        <w:t>y</w:t>
      </w:r>
      <w:r>
        <w:rPr>
          <w:spacing w:val="-17"/>
        </w:rPr>
        <w:t> </w:t>
      </w:r>
      <w:r>
        <w:rPr/>
        <w:t>a</w:t>
      </w:r>
      <w:r>
        <w:rPr>
          <w:spacing w:val="-17"/>
        </w:rPr>
        <w:t> </w:t>
      </w:r>
      <w:r>
        <w:rPr/>
        <w:t>la</w:t>
      </w:r>
      <w:r>
        <w:rPr>
          <w:spacing w:val="-17"/>
        </w:rPr>
        <w:t> </w:t>
      </w:r>
      <w:r>
        <w:rPr/>
        <w:t>Secretaría</w:t>
      </w:r>
      <w:r>
        <w:rPr>
          <w:spacing w:val="-16"/>
        </w:rPr>
        <w:t> </w:t>
      </w:r>
      <w:r>
        <w:rPr/>
        <w:t>de</w:t>
      </w:r>
      <w:r>
        <w:rPr>
          <w:spacing w:val="-17"/>
        </w:rPr>
        <w:t> </w:t>
      </w:r>
      <w:r>
        <w:rPr/>
        <w:t>Desarrollo Social (área estatal de desarrollo sustentable)</w:t>
      </w:r>
      <w:r>
        <w:rPr>
          <w:position w:val="8"/>
          <w:sz w:val="13"/>
        </w:rPr>
        <w:t>100</w:t>
      </w:r>
      <w:r>
        <w:rPr/>
        <w:t>. En este nuevo incidente, los medios de comunicación locales contribuyeron a la continuidad del</w:t>
      </w:r>
      <w:r>
        <w:rPr>
          <w:spacing w:val="-18"/>
        </w:rPr>
        <w:t> </w:t>
      </w:r>
      <w:r>
        <w:rPr/>
        <w:t>ambiente tensionado:</w:t>
      </w:r>
      <w:r>
        <w:rPr>
          <w:spacing w:val="-11"/>
        </w:rPr>
        <w:t> </w:t>
      </w:r>
      <w:r>
        <w:rPr>
          <w:i/>
        </w:rPr>
        <w:t>el</w:t>
      </w:r>
      <w:r>
        <w:rPr>
          <w:i/>
          <w:spacing w:val="-10"/>
        </w:rPr>
        <w:t> </w:t>
      </w:r>
      <w:r>
        <w:rPr>
          <w:i/>
        </w:rPr>
        <w:t>gobierno</w:t>
      </w:r>
      <w:r>
        <w:rPr>
          <w:i/>
          <w:spacing w:val="-10"/>
        </w:rPr>
        <w:t> </w:t>
      </w:r>
      <w:r>
        <w:rPr>
          <w:i/>
        </w:rPr>
        <w:t>federal</w:t>
      </w:r>
      <w:r>
        <w:rPr>
          <w:i/>
          <w:spacing w:val="-10"/>
        </w:rPr>
        <w:t> </w:t>
      </w:r>
      <w:r>
        <w:rPr>
          <w:i/>
        </w:rPr>
        <w:t>no</w:t>
      </w:r>
      <w:r>
        <w:rPr>
          <w:i/>
          <w:spacing w:val="-10"/>
        </w:rPr>
        <w:t> </w:t>
      </w:r>
      <w:r>
        <w:rPr>
          <w:i/>
        </w:rPr>
        <w:t>libera</w:t>
      </w:r>
      <w:r>
        <w:rPr>
          <w:i/>
          <w:spacing w:val="-10"/>
        </w:rPr>
        <w:t> </w:t>
      </w:r>
      <w:r>
        <w:rPr>
          <w:i/>
        </w:rPr>
        <w:t>los</w:t>
      </w:r>
      <w:r>
        <w:rPr>
          <w:i/>
          <w:spacing w:val="-10"/>
        </w:rPr>
        <w:t> </w:t>
      </w:r>
      <w:r>
        <w:rPr>
          <w:i/>
        </w:rPr>
        <w:t>recursos</w:t>
      </w:r>
      <w:r>
        <w:rPr>
          <w:i/>
          <w:spacing w:val="-11"/>
        </w:rPr>
        <w:t> </w:t>
      </w:r>
      <w:r>
        <w:rPr>
          <w:i/>
        </w:rPr>
        <w:t>para</w:t>
      </w:r>
      <w:r>
        <w:rPr>
          <w:i/>
          <w:spacing w:val="-10"/>
        </w:rPr>
        <w:t> </w:t>
      </w:r>
      <w:r>
        <w:rPr>
          <w:i/>
        </w:rPr>
        <w:t>construir</w:t>
      </w:r>
      <w:r>
        <w:rPr>
          <w:i/>
          <w:spacing w:val="-11"/>
        </w:rPr>
        <w:t> </w:t>
      </w:r>
      <w:r>
        <w:rPr>
          <w:i/>
        </w:rPr>
        <w:t>la</w:t>
      </w:r>
      <w:r>
        <w:rPr>
          <w:i/>
          <w:spacing w:val="-10"/>
        </w:rPr>
        <w:t> </w:t>
      </w:r>
      <w:r>
        <w:rPr>
          <w:i/>
        </w:rPr>
        <w:t>barda </w:t>
      </w:r>
      <w:r>
        <w:rPr>
          <w:i/>
        </w:rPr>
        <w:t>de la refinería. </w:t>
      </w:r>
      <w:r>
        <w:rPr/>
        <w:t>Para el año 2012, PEMEX había concluido los trabajos de la barda perimetral de la nueva</w:t>
      </w:r>
      <w:r>
        <w:rPr>
          <w:spacing w:val="-12"/>
        </w:rPr>
        <w:t> </w:t>
      </w:r>
      <w:r>
        <w:rPr/>
        <w:t>refinería.</w:t>
      </w:r>
    </w:p>
    <w:p>
      <w:pPr>
        <w:pStyle w:val="BodyText"/>
        <w:spacing w:before="6"/>
      </w:pPr>
    </w:p>
    <w:p>
      <w:pPr>
        <w:pStyle w:val="BodyText"/>
        <w:spacing w:line="244" w:lineRule="auto" w:after="4"/>
        <w:ind w:left="110" w:right="115"/>
        <w:jc w:val="both"/>
      </w:pPr>
      <w:r>
        <w:rPr/>
        <w:t>El relevo sexenal de la gubernatura estatal ocasionó que las reuniones de coordinación</w:t>
      </w:r>
      <w:r>
        <w:rPr>
          <w:spacing w:val="-7"/>
        </w:rPr>
        <w:t> </w:t>
      </w:r>
      <w:r>
        <w:rPr/>
        <w:t>entre</w:t>
      </w:r>
      <w:r>
        <w:rPr>
          <w:spacing w:val="-7"/>
        </w:rPr>
        <w:t> </w:t>
      </w:r>
      <w:r>
        <w:rPr/>
        <w:t>funcionarios</w:t>
      </w:r>
      <w:r>
        <w:rPr>
          <w:spacing w:val="-6"/>
        </w:rPr>
        <w:t> </w:t>
      </w:r>
      <w:r>
        <w:rPr/>
        <w:t>federales</w:t>
      </w:r>
      <w:r>
        <w:rPr>
          <w:spacing w:val="-6"/>
        </w:rPr>
        <w:t> </w:t>
      </w:r>
      <w:r>
        <w:rPr/>
        <w:t>y</w:t>
      </w:r>
      <w:r>
        <w:rPr>
          <w:spacing w:val="-6"/>
        </w:rPr>
        <w:t> </w:t>
      </w:r>
      <w:r>
        <w:rPr/>
        <w:t>estatales</w:t>
      </w:r>
      <w:r>
        <w:rPr>
          <w:spacing w:val="-7"/>
        </w:rPr>
        <w:t> </w:t>
      </w:r>
      <w:r>
        <w:rPr/>
        <w:t>dejaran</w:t>
      </w:r>
      <w:r>
        <w:rPr>
          <w:spacing w:val="-6"/>
        </w:rPr>
        <w:t> </w:t>
      </w:r>
      <w:r>
        <w:rPr/>
        <w:t>de</w:t>
      </w:r>
      <w:r>
        <w:rPr>
          <w:spacing w:val="-6"/>
        </w:rPr>
        <w:t> </w:t>
      </w:r>
      <w:r>
        <w:rPr/>
        <w:t>celebrarse.</w:t>
      </w:r>
      <w:r>
        <w:rPr>
          <w:spacing w:val="-7"/>
        </w:rPr>
        <w:t> </w:t>
      </w:r>
      <w:r>
        <w:rPr/>
        <w:t>El equipo</w:t>
      </w:r>
      <w:r>
        <w:rPr>
          <w:spacing w:val="-31"/>
        </w:rPr>
        <w:t> </w:t>
      </w:r>
      <w:r>
        <w:rPr/>
        <w:t>de</w:t>
      </w:r>
      <w:r>
        <w:rPr>
          <w:spacing w:val="-30"/>
        </w:rPr>
        <w:t> </w:t>
      </w:r>
      <w:r>
        <w:rPr/>
        <w:t>transición</w:t>
      </w:r>
      <w:r>
        <w:rPr>
          <w:spacing w:val="-31"/>
        </w:rPr>
        <w:t> </w:t>
      </w:r>
      <w:r>
        <w:rPr/>
        <w:t>del</w:t>
      </w:r>
      <w:r>
        <w:rPr>
          <w:spacing w:val="-30"/>
        </w:rPr>
        <w:t> </w:t>
      </w:r>
      <w:r>
        <w:rPr/>
        <w:t>gobernador</w:t>
      </w:r>
      <w:r>
        <w:rPr>
          <w:spacing w:val="-30"/>
        </w:rPr>
        <w:t> </w:t>
      </w:r>
      <w:r>
        <w:rPr/>
        <w:t>electo</w:t>
      </w:r>
      <w:r>
        <w:rPr>
          <w:spacing w:val="-31"/>
        </w:rPr>
        <w:t> </w:t>
      </w:r>
      <w:r>
        <w:rPr/>
        <w:t>2011-2017</w:t>
      </w:r>
      <w:r>
        <w:rPr>
          <w:spacing w:val="-30"/>
        </w:rPr>
        <w:t> </w:t>
      </w:r>
      <w:r>
        <w:rPr/>
        <w:t>participó</w:t>
      </w:r>
      <w:r>
        <w:rPr>
          <w:spacing w:val="-30"/>
        </w:rPr>
        <w:t> </w:t>
      </w:r>
      <w:r>
        <w:rPr/>
        <w:t>en</w:t>
      </w:r>
      <w:r>
        <w:rPr>
          <w:spacing w:val="-30"/>
        </w:rPr>
        <w:t> </w:t>
      </w:r>
      <w:r>
        <w:rPr/>
        <w:t>las</w:t>
      </w:r>
      <w:r>
        <w:rPr>
          <w:spacing w:val="-30"/>
        </w:rPr>
        <w:t> </w:t>
      </w:r>
      <w:r>
        <w:rPr/>
        <w:t>reuniones de coordinación hacia finales del sexenio 2005-2011, los funcionarios de PEMEX consideraban que el relevo podría beneficiar en cuanto a que los nuevos funcionarios estatales tendrían una </w:t>
      </w:r>
      <w:r>
        <w:rPr>
          <w:i/>
        </w:rPr>
        <w:t>visión diferente</w:t>
      </w:r>
      <w:r>
        <w:rPr>
          <w:position w:val="8"/>
          <w:sz w:val="13"/>
        </w:rPr>
        <w:t>101</w:t>
      </w:r>
      <w:r>
        <w:rPr/>
        <w:t>. Al inicio del nuevo sexenio el gobierno estatal ha buscado formalizar un convenio de coordinación según cuatro mesas de trabajo: desarrollo  </w:t>
      </w:r>
      <w:r>
        <w:rPr>
          <w:spacing w:val="51"/>
        </w:rPr>
        <w:t> </w:t>
      </w:r>
      <w:r>
        <w:rPr/>
        <w:t>regional-ambiental,</w:t>
      </w:r>
    </w:p>
    <w:p>
      <w:pPr>
        <w:pStyle w:val="BodyText"/>
        <w:spacing w:line="20" w:lineRule="exact"/>
        <w:ind w:left="100"/>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spacing w:line="200" w:lineRule="exact" w:before="30"/>
        <w:ind w:left="337" w:right="0" w:hanging="227"/>
        <w:jc w:val="left"/>
        <w:rPr>
          <w:sz w:val="18"/>
        </w:rPr>
      </w:pPr>
      <w:r>
        <w:rPr>
          <w:position w:val="7"/>
          <w:sz w:val="11"/>
        </w:rPr>
        <w:t>98 </w:t>
      </w:r>
      <w:r>
        <w:rPr>
          <w:sz w:val="18"/>
        </w:rPr>
        <w:t>Información proporcionada para esta investigación en entrevista con personal de la secretaría de desarrollo social del estado, 1° de julio del 2011.</w:t>
      </w:r>
    </w:p>
    <w:p>
      <w:pPr>
        <w:spacing w:before="27"/>
        <w:ind w:left="110" w:right="0" w:firstLine="0"/>
        <w:jc w:val="both"/>
        <w:rPr>
          <w:i/>
          <w:sz w:val="18"/>
        </w:rPr>
      </w:pPr>
      <w:r>
        <w:rPr>
          <w:w w:val="105"/>
          <w:position w:val="7"/>
          <w:sz w:val="11"/>
        </w:rPr>
        <w:t>99  </w:t>
      </w:r>
      <w:r>
        <w:rPr>
          <w:i/>
          <w:w w:val="105"/>
          <w:sz w:val="18"/>
        </w:rPr>
        <w:t>Ibídem.</w:t>
      </w:r>
    </w:p>
    <w:p>
      <w:pPr>
        <w:spacing w:before="28"/>
        <w:ind w:left="110" w:right="0" w:firstLine="0"/>
        <w:jc w:val="both"/>
        <w:rPr>
          <w:i/>
          <w:sz w:val="18"/>
        </w:rPr>
      </w:pPr>
      <w:r>
        <w:rPr>
          <w:w w:val="105"/>
          <w:position w:val="7"/>
          <w:sz w:val="11"/>
        </w:rPr>
        <w:t>100 </w:t>
      </w:r>
      <w:r>
        <w:rPr>
          <w:i/>
          <w:w w:val="105"/>
          <w:sz w:val="18"/>
        </w:rPr>
        <w:t>Ibídem.</w:t>
      </w:r>
    </w:p>
    <w:p>
      <w:pPr>
        <w:spacing w:before="28"/>
        <w:ind w:left="110" w:right="0" w:firstLine="0"/>
        <w:jc w:val="both"/>
        <w:rPr>
          <w:sz w:val="18"/>
        </w:rPr>
      </w:pPr>
      <w:r>
        <w:rPr>
          <w:position w:val="7"/>
          <w:sz w:val="11"/>
        </w:rPr>
        <w:t>101 </w:t>
      </w:r>
      <w:r>
        <w:rPr>
          <w:sz w:val="18"/>
        </w:rPr>
        <w:t>Información proporcionada para esta investigación en entrevista con el subgerente de evaluación</w:t>
      </w:r>
    </w:p>
    <w:p>
      <w:pPr>
        <w:spacing w:before="9"/>
        <w:ind w:left="337" w:right="0" w:firstLine="0"/>
        <w:jc w:val="left"/>
        <w:rPr>
          <w:sz w:val="18"/>
        </w:rPr>
      </w:pPr>
      <w:r>
        <w:rPr>
          <w:sz w:val="18"/>
        </w:rPr>
        <w:t>de la gestión del suministro (PEMEX corporativo), 15 de diciembre del 2010.</w:t>
      </w:r>
    </w:p>
    <w:p>
      <w:pPr>
        <w:spacing w:after="0"/>
        <w:jc w:val="left"/>
        <w:rPr>
          <w:sz w:val="18"/>
        </w:rPr>
        <w:sectPr>
          <w:pgSz w:w="9360" w:h="13040"/>
          <w:pgMar w:header="527" w:footer="515" w:top="720" w:bottom="700" w:left="740" w:right="1300"/>
        </w:sectPr>
      </w:pPr>
    </w:p>
    <w:p>
      <w:pPr>
        <w:pStyle w:val="BodyText"/>
        <w:spacing w:before="11"/>
        <w:rPr>
          <w:sz w:val="29"/>
        </w:rPr>
      </w:pPr>
    </w:p>
    <w:p>
      <w:pPr>
        <w:pStyle w:val="BodyText"/>
        <w:spacing w:line="244" w:lineRule="auto" w:before="70"/>
        <w:ind w:left="117" w:right="108"/>
        <w:jc w:val="both"/>
      </w:pPr>
      <w:r>
        <w:rPr/>
        <w:t>infraestructura,</w:t>
      </w:r>
      <w:r>
        <w:rPr>
          <w:spacing w:val="-16"/>
        </w:rPr>
        <w:t> </w:t>
      </w:r>
      <w:r>
        <w:rPr/>
        <w:t>desarrollo</w:t>
      </w:r>
      <w:r>
        <w:rPr>
          <w:spacing w:val="-15"/>
        </w:rPr>
        <w:t> </w:t>
      </w:r>
      <w:r>
        <w:rPr/>
        <w:t>social</w:t>
      </w:r>
      <w:r>
        <w:rPr>
          <w:spacing w:val="-15"/>
        </w:rPr>
        <w:t> </w:t>
      </w:r>
      <w:r>
        <w:rPr/>
        <w:t>y</w:t>
      </w:r>
      <w:r>
        <w:rPr>
          <w:spacing w:val="-15"/>
        </w:rPr>
        <w:t> </w:t>
      </w:r>
      <w:r>
        <w:rPr/>
        <w:t>acciones</w:t>
      </w:r>
      <w:r>
        <w:rPr>
          <w:spacing w:val="-16"/>
        </w:rPr>
        <w:t> </w:t>
      </w:r>
      <w:r>
        <w:rPr/>
        <w:t>municipales;</w:t>
      </w:r>
      <w:r>
        <w:rPr>
          <w:spacing w:val="-15"/>
        </w:rPr>
        <w:t> </w:t>
      </w:r>
      <w:r>
        <w:rPr/>
        <w:t>de</w:t>
      </w:r>
      <w:r>
        <w:rPr>
          <w:spacing w:val="-15"/>
        </w:rPr>
        <w:t> </w:t>
      </w:r>
      <w:r>
        <w:rPr/>
        <w:t>tal</w:t>
      </w:r>
      <w:r>
        <w:rPr>
          <w:spacing w:val="-15"/>
        </w:rPr>
        <w:t> </w:t>
      </w:r>
      <w:r>
        <w:rPr/>
        <w:t>modo</w:t>
      </w:r>
      <w:r>
        <w:rPr>
          <w:spacing w:val="-15"/>
        </w:rPr>
        <w:t> </w:t>
      </w:r>
      <w:r>
        <w:rPr/>
        <w:t>que</w:t>
      </w:r>
      <w:r>
        <w:rPr>
          <w:spacing w:val="-15"/>
        </w:rPr>
        <w:t> </w:t>
      </w:r>
      <w:r>
        <w:rPr/>
        <w:t>sean considerados los impactos social, político y económico de la región</w:t>
      </w:r>
      <w:r>
        <w:rPr>
          <w:position w:val="8"/>
          <w:sz w:val="13"/>
        </w:rPr>
        <w:t>102</w:t>
      </w:r>
      <w:r>
        <w:rPr/>
        <w:t>. Pese</w:t>
      </w:r>
      <w:r>
        <w:rPr>
          <w:spacing w:val="-29"/>
        </w:rPr>
        <w:t> </w:t>
      </w:r>
      <w:r>
        <w:rPr/>
        <w:t>a los retrasos, aún puede considerarse que la nueva refinería petrolera de </w:t>
      </w:r>
      <w:r>
        <w:rPr>
          <w:spacing w:val="-3"/>
        </w:rPr>
        <w:t>Tula </w:t>
      </w:r>
      <w:r>
        <w:rPr/>
        <w:t>Hidalgo iniciará operaciones en el primer trimestre del 2016</w:t>
      </w:r>
      <w:r>
        <w:rPr>
          <w:position w:val="8"/>
          <w:sz w:val="13"/>
        </w:rPr>
        <w:t>103</w:t>
      </w:r>
      <w:r>
        <w:rPr/>
        <w:t>. No obstante, todavía</w:t>
      </w:r>
      <w:r>
        <w:rPr>
          <w:spacing w:val="-7"/>
        </w:rPr>
        <w:t> </w:t>
      </w:r>
      <w:r>
        <w:rPr/>
        <w:t>queda</w:t>
      </w:r>
      <w:r>
        <w:rPr>
          <w:spacing w:val="-7"/>
        </w:rPr>
        <w:t> </w:t>
      </w:r>
      <w:r>
        <w:rPr/>
        <w:t>pendiente</w:t>
      </w:r>
      <w:r>
        <w:rPr>
          <w:spacing w:val="-7"/>
        </w:rPr>
        <w:t> </w:t>
      </w:r>
      <w:r>
        <w:rPr/>
        <w:t>que</w:t>
      </w:r>
      <w:r>
        <w:rPr>
          <w:spacing w:val="-7"/>
        </w:rPr>
        <w:t> </w:t>
      </w:r>
      <w:r>
        <w:rPr/>
        <w:t>el</w:t>
      </w:r>
      <w:r>
        <w:rPr>
          <w:spacing w:val="-7"/>
        </w:rPr>
        <w:t> </w:t>
      </w:r>
      <w:r>
        <w:rPr/>
        <w:t>gobierno</w:t>
      </w:r>
      <w:r>
        <w:rPr>
          <w:spacing w:val="-7"/>
        </w:rPr>
        <w:t> </w:t>
      </w:r>
      <w:r>
        <w:rPr/>
        <w:t>federal,</w:t>
      </w:r>
      <w:r>
        <w:rPr>
          <w:spacing w:val="-7"/>
        </w:rPr>
        <w:t> </w:t>
      </w:r>
      <w:r>
        <w:rPr/>
        <w:t>no</w:t>
      </w:r>
      <w:r>
        <w:rPr>
          <w:spacing w:val="-7"/>
        </w:rPr>
        <w:t> </w:t>
      </w:r>
      <w:r>
        <w:rPr/>
        <w:t>exclusivamente</w:t>
      </w:r>
      <w:r>
        <w:rPr>
          <w:spacing w:val="-7"/>
        </w:rPr>
        <w:t> </w:t>
      </w:r>
      <w:r>
        <w:rPr/>
        <w:t>PEMEX, demuestre capacidad para negociar con mayor exactitud (o bien seriedad)  las intervenciones estatales y para mediar los intereses políticos locales. Asimismo,</w:t>
      </w:r>
      <w:r>
        <w:rPr>
          <w:spacing w:val="-21"/>
        </w:rPr>
        <w:t> </w:t>
      </w:r>
      <w:r>
        <w:rPr/>
        <w:t>más</w:t>
      </w:r>
      <w:r>
        <w:rPr>
          <w:spacing w:val="-22"/>
        </w:rPr>
        <w:t> </w:t>
      </w:r>
      <w:r>
        <w:rPr/>
        <w:t>allá</w:t>
      </w:r>
      <w:r>
        <w:rPr>
          <w:spacing w:val="-22"/>
        </w:rPr>
        <w:t> </w:t>
      </w:r>
      <w:r>
        <w:rPr/>
        <w:t>de</w:t>
      </w:r>
      <w:r>
        <w:rPr>
          <w:spacing w:val="-21"/>
        </w:rPr>
        <w:t> </w:t>
      </w:r>
      <w:r>
        <w:rPr/>
        <w:t>centrarse</w:t>
      </w:r>
      <w:r>
        <w:rPr>
          <w:spacing w:val="-22"/>
        </w:rPr>
        <w:t> </w:t>
      </w:r>
      <w:r>
        <w:rPr/>
        <w:t>en</w:t>
      </w:r>
      <w:r>
        <w:rPr>
          <w:spacing w:val="-22"/>
        </w:rPr>
        <w:t> </w:t>
      </w:r>
      <w:r>
        <w:rPr/>
        <w:t>la</w:t>
      </w:r>
      <w:r>
        <w:rPr>
          <w:spacing w:val="-22"/>
        </w:rPr>
        <w:t> </w:t>
      </w:r>
      <w:r>
        <w:rPr/>
        <w:t>gestión</w:t>
      </w:r>
      <w:r>
        <w:rPr>
          <w:spacing w:val="-22"/>
        </w:rPr>
        <w:t> </w:t>
      </w:r>
      <w:r>
        <w:rPr/>
        <w:t>de</w:t>
      </w:r>
      <w:r>
        <w:rPr>
          <w:spacing w:val="-21"/>
        </w:rPr>
        <w:t> </w:t>
      </w:r>
      <w:r>
        <w:rPr/>
        <w:t>reasignaciones</w:t>
      </w:r>
      <w:r>
        <w:rPr>
          <w:spacing w:val="-22"/>
        </w:rPr>
        <w:t> </w:t>
      </w:r>
      <w:r>
        <w:rPr/>
        <w:t>presupuestales federales,</w:t>
      </w:r>
      <w:r>
        <w:rPr>
          <w:spacing w:val="-21"/>
        </w:rPr>
        <w:t> </w:t>
      </w:r>
      <w:r>
        <w:rPr/>
        <w:t>está</w:t>
      </w:r>
      <w:r>
        <w:rPr>
          <w:spacing w:val="-21"/>
        </w:rPr>
        <w:t> </w:t>
      </w:r>
      <w:r>
        <w:rPr/>
        <w:t>también</w:t>
      </w:r>
      <w:r>
        <w:rPr>
          <w:spacing w:val="-21"/>
        </w:rPr>
        <w:t> </w:t>
      </w:r>
      <w:r>
        <w:rPr/>
        <w:t>pendiente</w:t>
      </w:r>
      <w:r>
        <w:rPr>
          <w:spacing w:val="-21"/>
        </w:rPr>
        <w:t> </w:t>
      </w:r>
      <w:r>
        <w:rPr/>
        <w:t>la</w:t>
      </w:r>
      <w:r>
        <w:rPr>
          <w:spacing w:val="-21"/>
        </w:rPr>
        <w:t> </w:t>
      </w:r>
      <w:r>
        <w:rPr/>
        <w:t>definición</w:t>
      </w:r>
      <w:r>
        <w:rPr>
          <w:spacing w:val="-21"/>
        </w:rPr>
        <w:t> </w:t>
      </w:r>
      <w:r>
        <w:rPr/>
        <w:t>e</w:t>
      </w:r>
      <w:r>
        <w:rPr>
          <w:spacing w:val="-21"/>
        </w:rPr>
        <w:t> </w:t>
      </w:r>
      <w:r>
        <w:rPr/>
        <w:t>implementación</w:t>
      </w:r>
      <w:r>
        <w:rPr>
          <w:spacing w:val="-21"/>
        </w:rPr>
        <w:t> </w:t>
      </w:r>
      <w:r>
        <w:rPr/>
        <w:t>de</w:t>
      </w:r>
      <w:r>
        <w:rPr>
          <w:spacing w:val="-21"/>
        </w:rPr>
        <w:t> </w:t>
      </w:r>
      <w:r>
        <w:rPr/>
        <w:t>estrategias estatales de distribución del desarrollo económico en aprovechamiento de la nueva infraestructura industrial, advirtiendo entre otras cosas que, de once municipios impactados en la región</w:t>
      </w:r>
      <w:r>
        <w:rPr>
          <w:position w:val="8"/>
          <w:sz w:val="13"/>
        </w:rPr>
        <w:t>104</w:t>
      </w:r>
      <w:r>
        <w:rPr/>
        <w:t>, sólo Tula tiene plan de desarrollo urbano</w:t>
      </w:r>
      <w:r>
        <w:rPr>
          <w:position w:val="8"/>
          <w:sz w:val="13"/>
        </w:rPr>
        <w:t>105</w:t>
      </w:r>
      <w:r>
        <w:rPr/>
        <w:t>.</w:t>
      </w:r>
    </w:p>
    <w:p>
      <w:pPr>
        <w:pStyle w:val="BodyText"/>
        <w:spacing w:before="5"/>
      </w:pPr>
    </w:p>
    <w:p>
      <w:pPr>
        <w:pStyle w:val="Heading3"/>
        <w:spacing w:before="1"/>
      </w:pPr>
      <w:r>
        <w:rPr/>
        <w:t>El proyecto plataforma logística de Tizayuca (PLATAH).</w:t>
      </w:r>
    </w:p>
    <w:p>
      <w:pPr>
        <w:pStyle w:val="BodyText"/>
        <w:spacing w:before="11"/>
        <w:rPr>
          <w:b/>
        </w:rPr>
      </w:pPr>
    </w:p>
    <w:p>
      <w:pPr>
        <w:spacing w:line="244" w:lineRule="auto" w:before="0"/>
        <w:ind w:left="117" w:right="107" w:firstLine="0"/>
        <w:jc w:val="both"/>
        <w:rPr>
          <w:sz w:val="23"/>
        </w:rPr>
      </w:pPr>
      <w:r>
        <w:rPr>
          <w:sz w:val="23"/>
        </w:rPr>
        <w:t>El proyecto plataforma logística de Tizayuca </w:t>
      </w:r>
      <w:r>
        <w:rPr>
          <w:spacing w:val="-6"/>
          <w:sz w:val="23"/>
        </w:rPr>
        <w:t>(PLATAH) </w:t>
      </w:r>
      <w:r>
        <w:rPr>
          <w:sz w:val="23"/>
        </w:rPr>
        <w:t>es una adaptación franca de un modelo de industrialización implementado con relativo éxito por</w:t>
      </w:r>
      <w:r>
        <w:rPr>
          <w:spacing w:val="-7"/>
          <w:sz w:val="23"/>
        </w:rPr>
        <w:t> </w:t>
      </w:r>
      <w:r>
        <w:rPr>
          <w:sz w:val="23"/>
        </w:rPr>
        <w:t>algunos</w:t>
      </w:r>
      <w:r>
        <w:rPr>
          <w:spacing w:val="-7"/>
          <w:sz w:val="23"/>
        </w:rPr>
        <w:t> </w:t>
      </w:r>
      <w:r>
        <w:rPr>
          <w:sz w:val="23"/>
        </w:rPr>
        <w:t>gobiernos</w:t>
      </w:r>
      <w:r>
        <w:rPr>
          <w:spacing w:val="-7"/>
          <w:sz w:val="23"/>
        </w:rPr>
        <w:t> </w:t>
      </w:r>
      <w:r>
        <w:rPr>
          <w:sz w:val="23"/>
        </w:rPr>
        <w:t>estatales,</w:t>
      </w:r>
      <w:r>
        <w:rPr>
          <w:spacing w:val="-7"/>
          <w:sz w:val="23"/>
        </w:rPr>
        <w:t> </w:t>
      </w:r>
      <w:r>
        <w:rPr>
          <w:sz w:val="23"/>
        </w:rPr>
        <w:t>el</w:t>
      </w:r>
      <w:r>
        <w:rPr>
          <w:spacing w:val="-7"/>
          <w:sz w:val="23"/>
        </w:rPr>
        <w:t> </w:t>
      </w:r>
      <w:r>
        <w:rPr>
          <w:sz w:val="23"/>
        </w:rPr>
        <w:t>gobierno</w:t>
      </w:r>
      <w:r>
        <w:rPr>
          <w:spacing w:val="-6"/>
          <w:sz w:val="23"/>
        </w:rPr>
        <w:t> </w:t>
      </w:r>
      <w:r>
        <w:rPr>
          <w:sz w:val="23"/>
        </w:rPr>
        <w:t>del</w:t>
      </w:r>
      <w:r>
        <w:rPr>
          <w:spacing w:val="-6"/>
          <w:sz w:val="23"/>
        </w:rPr>
        <w:t> </w:t>
      </w:r>
      <w:r>
        <w:rPr>
          <w:sz w:val="23"/>
        </w:rPr>
        <w:t>Estado</w:t>
      </w:r>
      <w:r>
        <w:rPr>
          <w:spacing w:val="-7"/>
          <w:sz w:val="23"/>
        </w:rPr>
        <w:t> </w:t>
      </w:r>
      <w:r>
        <w:rPr>
          <w:sz w:val="23"/>
        </w:rPr>
        <w:t>de</w:t>
      </w:r>
      <w:r>
        <w:rPr>
          <w:spacing w:val="-7"/>
          <w:sz w:val="23"/>
        </w:rPr>
        <w:t> </w:t>
      </w:r>
      <w:r>
        <w:rPr>
          <w:sz w:val="23"/>
        </w:rPr>
        <w:t>Hidalgo</w:t>
      </w:r>
      <w:r>
        <w:rPr>
          <w:spacing w:val="-6"/>
          <w:sz w:val="23"/>
        </w:rPr>
        <w:t> </w:t>
      </w:r>
      <w:r>
        <w:rPr>
          <w:sz w:val="23"/>
        </w:rPr>
        <w:t>lo</w:t>
      </w:r>
      <w:r>
        <w:rPr>
          <w:spacing w:val="-7"/>
          <w:sz w:val="23"/>
        </w:rPr>
        <w:t> </w:t>
      </w:r>
      <w:r>
        <w:rPr>
          <w:sz w:val="23"/>
        </w:rPr>
        <w:t>expresó de esta forma: </w:t>
      </w:r>
      <w:r>
        <w:rPr>
          <w:i/>
          <w:sz w:val="23"/>
        </w:rPr>
        <w:t>en México diversas entidades federativas están impulsando </w:t>
      </w:r>
      <w:r>
        <w:rPr>
          <w:i/>
          <w:sz w:val="23"/>
        </w:rPr>
        <w:t>plataformas logísticas, como las de San Luís Potosí, Guanajuato, Puebla, Tlaxcala, Sinaloa, Altamira, </w:t>
      </w:r>
      <w:r>
        <w:rPr>
          <w:i/>
          <w:spacing w:val="-3"/>
          <w:sz w:val="23"/>
        </w:rPr>
        <w:t>Monterrey, </w:t>
      </w:r>
      <w:r>
        <w:rPr>
          <w:i/>
          <w:sz w:val="23"/>
        </w:rPr>
        <w:t>Estado de México y </w:t>
      </w:r>
      <w:r>
        <w:rPr>
          <w:i/>
          <w:spacing w:val="-3"/>
          <w:sz w:val="23"/>
        </w:rPr>
        <w:t>Yucatán, </w:t>
      </w:r>
      <w:r>
        <w:rPr>
          <w:i/>
          <w:sz w:val="23"/>
        </w:rPr>
        <w:t>entre otras</w:t>
      </w:r>
      <w:r>
        <w:rPr>
          <w:position w:val="8"/>
          <w:sz w:val="13"/>
        </w:rPr>
        <w:t>106</w:t>
      </w:r>
      <w:r>
        <w:rPr>
          <w:i/>
          <w:sz w:val="23"/>
        </w:rPr>
        <w:t>. </w:t>
      </w:r>
      <w:r>
        <w:rPr>
          <w:sz w:val="23"/>
        </w:rPr>
        <w:t>Para focalizar ese modelo de industrialización en el territorio hidalguense, el gobierno estatal ha buscado aprovechar la planeación e inversión pública tradicionalmente privilegiada de la zona metropolitana del </w:t>
      </w:r>
      <w:r>
        <w:rPr>
          <w:spacing w:val="-6"/>
          <w:sz w:val="23"/>
        </w:rPr>
        <w:t>Valle</w:t>
      </w:r>
      <w:r>
        <w:rPr>
          <w:spacing w:val="25"/>
          <w:sz w:val="23"/>
        </w:rPr>
        <w:t> </w:t>
      </w:r>
      <w:r>
        <w:rPr>
          <w:sz w:val="23"/>
        </w:rPr>
        <w:t>de</w:t>
      </w:r>
      <w:r>
        <w:rPr>
          <w:spacing w:val="25"/>
          <w:sz w:val="23"/>
        </w:rPr>
        <w:t> </w:t>
      </w:r>
      <w:r>
        <w:rPr>
          <w:sz w:val="23"/>
        </w:rPr>
        <w:t>México,</w:t>
      </w:r>
      <w:r>
        <w:rPr>
          <w:spacing w:val="25"/>
          <w:sz w:val="23"/>
        </w:rPr>
        <w:t> </w:t>
      </w:r>
      <w:r>
        <w:rPr>
          <w:sz w:val="23"/>
        </w:rPr>
        <w:t>dentro</w:t>
      </w:r>
      <w:r>
        <w:rPr>
          <w:spacing w:val="25"/>
          <w:sz w:val="23"/>
        </w:rPr>
        <w:t> </w:t>
      </w:r>
      <w:r>
        <w:rPr>
          <w:sz w:val="23"/>
        </w:rPr>
        <w:t>de</w:t>
      </w:r>
      <w:r>
        <w:rPr>
          <w:spacing w:val="25"/>
          <w:sz w:val="23"/>
        </w:rPr>
        <w:t> </w:t>
      </w:r>
      <w:r>
        <w:rPr>
          <w:sz w:val="23"/>
        </w:rPr>
        <w:t>la</w:t>
      </w:r>
      <w:r>
        <w:rPr>
          <w:spacing w:val="25"/>
          <w:sz w:val="23"/>
        </w:rPr>
        <w:t> </w:t>
      </w:r>
      <w:r>
        <w:rPr>
          <w:sz w:val="23"/>
        </w:rPr>
        <w:t>cual</w:t>
      </w:r>
      <w:r>
        <w:rPr>
          <w:spacing w:val="25"/>
          <w:sz w:val="23"/>
        </w:rPr>
        <w:t> </w:t>
      </w:r>
      <w:r>
        <w:rPr>
          <w:sz w:val="23"/>
        </w:rPr>
        <w:t>se</w:t>
      </w:r>
      <w:r>
        <w:rPr>
          <w:spacing w:val="25"/>
          <w:sz w:val="23"/>
        </w:rPr>
        <w:t> </w:t>
      </w:r>
      <w:r>
        <w:rPr>
          <w:sz w:val="23"/>
        </w:rPr>
        <w:t>incluyó</w:t>
      </w:r>
      <w:r>
        <w:rPr>
          <w:spacing w:val="24"/>
          <w:sz w:val="23"/>
        </w:rPr>
        <w:t> </w:t>
      </w:r>
      <w:r>
        <w:rPr>
          <w:sz w:val="23"/>
        </w:rPr>
        <w:t>al</w:t>
      </w:r>
      <w:r>
        <w:rPr>
          <w:spacing w:val="25"/>
          <w:sz w:val="23"/>
        </w:rPr>
        <w:t> </w:t>
      </w:r>
      <w:r>
        <w:rPr>
          <w:sz w:val="23"/>
        </w:rPr>
        <w:t>municipio</w:t>
      </w:r>
      <w:r>
        <w:rPr>
          <w:spacing w:val="24"/>
          <w:sz w:val="23"/>
        </w:rPr>
        <w:t> </w:t>
      </w:r>
      <w:r>
        <w:rPr>
          <w:sz w:val="23"/>
        </w:rPr>
        <w:t>de</w:t>
      </w:r>
      <w:r>
        <w:rPr>
          <w:spacing w:val="21"/>
          <w:sz w:val="23"/>
        </w:rPr>
        <w:t> </w:t>
      </w:r>
      <w:r>
        <w:rPr>
          <w:sz w:val="23"/>
        </w:rPr>
        <w:t>Tizayuca</w:t>
      </w:r>
      <w:r>
        <w:rPr>
          <w:spacing w:val="24"/>
          <w:sz w:val="23"/>
        </w:rPr>
        <w:t> </w:t>
      </w:r>
      <w:r>
        <w:rPr>
          <w:sz w:val="23"/>
        </w:rPr>
        <w:t>al</w:t>
      </w:r>
    </w:p>
    <w:p>
      <w:pPr>
        <w:pStyle w:val="BodyText"/>
        <w:spacing w:before="10"/>
        <w:rPr>
          <w:sz w:val="22"/>
        </w:rPr>
      </w:pPr>
      <w:r>
        <w:rPr/>
        <w:pict>
          <v:line style="position:absolute;mso-position-horizontal-relative:page;mso-position-vertical-relative:paragraph;z-index:2512;mso-wrap-distance-left:0;mso-wrap-distance-right:0" from="70.866096pt,15.617346pt" to="142.866096pt,15.617346pt" stroked="true" strokeweight="1pt" strokecolor="#000000">
            <w10:wrap type="topAndBottom"/>
          </v:line>
        </w:pict>
      </w:r>
    </w:p>
    <w:p>
      <w:pPr>
        <w:spacing w:line="249" w:lineRule="auto" w:before="28"/>
        <w:ind w:left="344" w:right="108" w:hanging="227"/>
        <w:jc w:val="both"/>
        <w:rPr>
          <w:sz w:val="18"/>
        </w:rPr>
      </w:pPr>
      <w:r>
        <w:rPr>
          <w:position w:val="7"/>
          <w:sz w:val="11"/>
        </w:rPr>
        <w:t>102</w:t>
      </w:r>
      <w:r>
        <w:rPr>
          <w:spacing w:val="23"/>
          <w:position w:val="7"/>
          <w:sz w:val="11"/>
        </w:rPr>
        <w:t> </w:t>
      </w:r>
      <w:r>
        <w:rPr>
          <w:sz w:val="18"/>
        </w:rPr>
        <w:t>Información</w:t>
      </w:r>
      <w:r>
        <w:rPr>
          <w:spacing w:val="-5"/>
          <w:sz w:val="18"/>
        </w:rPr>
        <w:t> </w:t>
      </w:r>
      <w:r>
        <w:rPr>
          <w:sz w:val="18"/>
        </w:rPr>
        <w:t>proporcionada</w:t>
      </w:r>
      <w:r>
        <w:rPr>
          <w:spacing w:val="-5"/>
          <w:sz w:val="18"/>
        </w:rPr>
        <w:t> </w:t>
      </w:r>
      <w:r>
        <w:rPr>
          <w:sz w:val="18"/>
        </w:rPr>
        <w:t>para</w:t>
      </w:r>
      <w:r>
        <w:rPr>
          <w:spacing w:val="-5"/>
          <w:sz w:val="18"/>
        </w:rPr>
        <w:t> </w:t>
      </w:r>
      <w:r>
        <w:rPr>
          <w:sz w:val="18"/>
        </w:rPr>
        <w:t>esta</w:t>
      </w:r>
      <w:r>
        <w:rPr>
          <w:spacing w:val="-5"/>
          <w:sz w:val="18"/>
        </w:rPr>
        <w:t> </w:t>
      </w:r>
      <w:r>
        <w:rPr>
          <w:sz w:val="18"/>
        </w:rPr>
        <w:t>investigación</w:t>
      </w:r>
      <w:r>
        <w:rPr>
          <w:spacing w:val="-6"/>
          <w:sz w:val="18"/>
        </w:rPr>
        <w:t> </w:t>
      </w:r>
      <w:r>
        <w:rPr>
          <w:sz w:val="18"/>
        </w:rPr>
        <w:t>en</w:t>
      </w:r>
      <w:r>
        <w:rPr>
          <w:spacing w:val="-5"/>
          <w:sz w:val="18"/>
        </w:rPr>
        <w:t> </w:t>
      </w:r>
      <w:r>
        <w:rPr>
          <w:sz w:val="18"/>
        </w:rPr>
        <w:t>entrevista</w:t>
      </w:r>
      <w:r>
        <w:rPr>
          <w:spacing w:val="-6"/>
          <w:sz w:val="18"/>
        </w:rPr>
        <w:t> </w:t>
      </w:r>
      <w:r>
        <w:rPr>
          <w:sz w:val="18"/>
        </w:rPr>
        <w:t>con</w:t>
      </w:r>
      <w:r>
        <w:rPr>
          <w:spacing w:val="-5"/>
          <w:sz w:val="18"/>
        </w:rPr>
        <w:t> </w:t>
      </w:r>
      <w:r>
        <w:rPr>
          <w:sz w:val="18"/>
        </w:rPr>
        <w:t>personal</w:t>
      </w:r>
      <w:r>
        <w:rPr>
          <w:spacing w:val="-5"/>
          <w:sz w:val="18"/>
        </w:rPr>
        <w:t> </w:t>
      </w:r>
      <w:r>
        <w:rPr>
          <w:sz w:val="18"/>
        </w:rPr>
        <w:t>de</w:t>
      </w:r>
      <w:r>
        <w:rPr>
          <w:spacing w:val="-5"/>
          <w:sz w:val="18"/>
        </w:rPr>
        <w:t> </w:t>
      </w:r>
      <w:r>
        <w:rPr>
          <w:sz w:val="18"/>
        </w:rPr>
        <w:t>la</w:t>
      </w:r>
      <w:r>
        <w:rPr>
          <w:spacing w:val="-5"/>
          <w:sz w:val="18"/>
        </w:rPr>
        <w:t> </w:t>
      </w:r>
      <w:r>
        <w:rPr>
          <w:sz w:val="18"/>
        </w:rPr>
        <w:t>secretaría</w:t>
      </w:r>
      <w:r>
        <w:rPr>
          <w:spacing w:val="-5"/>
          <w:sz w:val="18"/>
        </w:rPr>
        <w:t> </w:t>
      </w:r>
      <w:r>
        <w:rPr>
          <w:sz w:val="18"/>
        </w:rPr>
        <w:t>de desarrollo social del estado, 1° de julio del</w:t>
      </w:r>
      <w:r>
        <w:rPr>
          <w:spacing w:val="-15"/>
          <w:sz w:val="18"/>
        </w:rPr>
        <w:t> </w:t>
      </w:r>
      <w:r>
        <w:rPr>
          <w:sz w:val="18"/>
        </w:rPr>
        <w:t>2011.</w:t>
      </w:r>
    </w:p>
    <w:p>
      <w:pPr>
        <w:spacing w:before="20"/>
        <w:ind w:left="117" w:right="0" w:firstLine="0"/>
        <w:jc w:val="left"/>
        <w:rPr>
          <w:sz w:val="18"/>
        </w:rPr>
      </w:pPr>
      <w:r>
        <w:rPr>
          <w:position w:val="7"/>
          <w:sz w:val="11"/>
        </w:rPr>
        <w:t>103 </w:t>
      </w:r>
      <w:r>
        <w:rPr>
          <w:sz w:val="18"/>
        </w:rPr>
        <w:t>Información proporcionada para esta investigación en entrevista con el subgerente de evaluación</w:t>
      </w:r>
    </w:p>
    <w:p>
      <w:pPr>
        <w:spacing w:before="9"/>
        <w:ind w:left="344" w:right="0" w:firstLine="0"/>
        <w:jc w:val="left"/>
        <w:rPr>
          <w:sz w:val="18"/>
        </w:rPr>
      </w:pPr>
      <w:r>
        <w:rPr>
          <w:sz w:val="18"/>
        </w:rPr>
        <w:t>de la gestión del suministro (PEMEX corporativo), 15 de diciembre del 2010.</w:t>
      </w:r>
    </w:p>
    <w:p>
      <w:pPr>
        <w:spacing w:line="249" w:lineRule="auto" w:before="28"/>
        <w:ind w:left="344" w:right="107" w:hanging="227"/>
        <w:jc w:val="both"/>
        <w:rPr>
          <w:sz w:val="18"/>
        </w:rPr>
      </w:pPr>
      <w:r>
        <w:rPr>
          <w:position w:val="7"/>
          <w:sz w:val="11"/>
        </w:rPr>
        <w:t>104  </w:t>
      </w:r>
      <w:r>
        <w:rPr>
          <w:sz w:val="18"/>
        </w:rPr>
        <w:t>Se considera que los municipios impactados en la región son: Tlaxcoapan, Atitalaquia, Tula   de Allende, Atotonilco de Tula, </w:t>
      </w:r>
      <w:r>
        <w:rPr>
          <w:spacing w:val="-3"/>
          <w:sz w:val="18"/>
        </w:rPr>
        <w:t>Tepeji </w:t>
      </w:r>
      <w:r>
        <w:rPr>
          <w:sz w:val="18"/>
        </w:rPr>
        <w:t>del Río, Tepetitlán, Tezontepec de Aldama, Tetepango, Ajacuba,</w:t>
      </w:r>
      <w:r>
        <w:rPr>
          <w:spacing w:val="-4"/>
          <w:sz w:val="18"/>
        </w:rPr>
        <w:t> </w:t>
      </w:r>
      <w:r>
        <w:rPr>
          <w:sz w:val="18"/>
        </w:rPr>
        <w:t>Mixquiahuala</w:t>
      </w:r>
      <w:r>
        <w:rPr>
          <w:spacing w:val="-4"/>
          <w:sz w:val="18"/>
        </w:rPr>
        <w:t> </w:t>
      </w:r>
      <w:r>
        <w:rPr>
          <w:sz w:val="18"/>
        </w:rPr>
        <w:t>de</w:t>
      </w:r>
      <w:r>
        <w:rPr>
          <w:spacing w:val="-4"/>
          <w:sz w:val="18"/>
        </w:rPr>
        <w:t> </w:t>
      </w:r>
      <w:r>
        <w:rPr>
          <w:sz w:val="18"/>
        </w:rPr>
        <w:t>Juárez</w:t>
      </w:r>
      <w:r>
        <w:rPr>
          <w:spacing w:val="-4"/>
          <w:sz w:val="18"/>
        </w:rPr>
        <w:t> </w:t>
      </w:r>
      <w:r>
        <w:rPr>
          <w:sz w:val="18"/>
        </w:rPr>
        <w:t>y</w:t>
      </w:r>
      <w:r>
        <w:rPr>
          <w:spacing w:val="-4"/>
          <w:sz w:val="18"/>
        </w:rPr>
        <w:t> </w:t>
      </w:r>
      <w:r>
        <w:rPr>
          <w:sz w:val="18"/>
        </w:rPr>
        <w:t>Progreso</w:t>
      </w:r>
      <w:r>
        <w:rPr>
          <w:spacing w:val="-4"/>
          <w:sz w:val="18"/>
        </w:rPr>
        <w:t> </w:t>
      </w:r>
      <w:r>
        <w:rPr>
          <w:sz w:val="18"/>
        </w:rPr>
        <w:t>de</w:t>
      </w:r>
      <w:r>
        <w:rPr>
          <w:spacing w:val="-4"/>
          <w:sz w:val="18"/>
        </w:rPr>
        <w:t> </w:t>
      </w:r>
      <w:r>
        <w:rPr>
          <w:sz w:val="18"/>
        </w:rPr>
        <w:t>Obregón;</w:t>
      </w:r>
      <w:r>
        <w:rPr>
          <w:spacing w:val="-4"/>
          <w:sz w:val="18"/>
        </w:rPr>
        <w:t> </w:t>
      </w:r>
      <w:r>
        <w:rPr>
          <w:sz w:val="18"/>
        </w:rPr>
        <w:t>todos</w:t>
      </w:r>
      <w:r>
        <w:rPr>
          <w:spacing w:val="-5"/>
          <w:sz w:val="18"/>
        </w:rPr>
        <w:t> </w:t>
      </w:r>
      <w:r>
        <w:rPr>
          <w:sz w:val="18"/>
        </w:rPr>
        <w:t>ellos</w:t>
      </w:r>
      <w:r>
        <w:rPr>
          <w:spacing w:val="-5"/>
          <w:sz w:val="18"/>
        </w:rPr>
        <w:t> </w:t>
      </w:r>
      <w:r>
        <w:rPr>
          <w:sz w:val="18"/>
        </w:rPr>
        <w:t>del</w:t>
      </w:r>
      <w:r>
        <w:rPr>
          <w:spacing w:val="-4"/>
          <w:sz w:val="18"/>
        </w:rPr>
        <w:t> </w:t>
      </w:r>
      <w:r>
        <w:rPr>
          <w:sz w:val="18"/>
        </w:rPr>
        <w:t>Estado</w:t>
      </w:r>
      <w:r>
        <w:rPr>
          <w:spacing w:val="-5"/>
          <w:sz w:val="18"/>
        </w:rPr>
        <w:t> </w:t>
      </w:r>
      <w:r>
        <w:rPr>
          <w:sz w:val="18"/>
        </w:rPr>
        <w:t>de</w:t>
      </w:r>
      <w:r>
        <w:rPr>
          <w:spacing w:val="-4"/>
          <w:sz w:val="18"/>
        </w:rPr>
        <w:t> </w:t>
      </w:r>
      <w:r>
        <w:rPr>
          <w:sz w:val="18"/>
        </w:rPr>
        <w:t>Hidalgo.</w:t>
      </w:r>
    </w:p>
    <w:p>
      <w:pPr>
        <w:spacing w:line="249" w:lineRule="auto" w:before="20"/>
        <w:ind w:left="344" w:right="108" w:hanging="227"/>
        <w:jc w:val="both"/>
        <w:rPr>
          <w:sz w:val="18"/>
        </w:rPr>
      </w:pPr>
      <w:r>
        <w:rPr>
          <w:position w:val="7"/>
          <w:sz w:val="11"/>
        </w:rPr>
        <w:t>105 </w:t>
      </w:r>
      <w:r>
        <w:rPr>
          <w:sz w:val="18"/>
        </w:rPr>
        <w:t>Al respecto, se asegura que la subsecretaría de desarrollo metropolitano de la secretaria de planeación del estado iniciará próximamente labores de planeación urbana. Información proporcionada para esta investigación en entrevista con ex funcionarios estatales participantes en los proyectos estratégicos del estado, 8 de julio del 2011.</w:t>
      </w:r>
    </w:p>
    <w:p>
      <w:pPr>
        <w:spacing w:line="249" w:lineRule="auto" w:before="20"/>
        <w:ind w:left="344" w:right="108" w:hanging="227"/>
        <w:jc w:val="both"/>
        <w:rPr>
          <w:sz w:val="18"/>
        </w:rPr>
      </w:pPr>
      <w:r>
        <w:rPr>
          <w:position w:val="7"/>
          <w:sz w:val="11"/>
        </w:rPr>
        <w:t>106 </w:t>
      </w:r>
      <w:r>
        <w:rPr>
          <w:sz w:val="18"/>
        </w:rPr>
        <w:t>Gobierno del Estado de Hidalgo, </w:t>
      </w:r>
      <w:r>
        <w:rPr>
          <w:i/>
          <w:sz w:val="18"/>
        </w:rPr>
        <w:t>plataforma logística de Tizayuca, presentación de gabinete </w:t>
      </w:r>
      <w:r>
        <w:rPr>
          <w:i/>
          <w:sz w:val="18"/>
        </w:rPr>
        <w:t>PLATAH 190607; </w:t>
      </w:r>
      <w:r>
        <w:rPr>
          <w:sz w:val="18"/>
        </w:rPr>
        <w:t>México, presentación power point, diapositiva 2.</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spacing w:line="244" w:lineRule="auto" w:before="70"/>
        <w:ind w:left="110" w:right="114" w:hanging="1"/>
        <w:jc w:val="both"/>
        <w:rPr>
          <w:i/>
          <w:sz w:val="23"/>
        </w:rPr>
      </w:pPr>
      <w:r>
        <w:rPr>
          <w:sz w:val="23"/>
        </w:rPr>
        <w:t>ser publicado el programa de reordenación urbana de dicha zona en 1997</w:t>
      </w:r>
      <w:r>
        <w:rPr>
          <w:position w:val="8"/>
          <w:sz w:val="13"/>
        </w:rPr>
        <w:t>107</w:t>
      </w:r>
      <w:r>
        <w:rPr>
          <w:sz w:val="23"/>
        </w:rPr>
        <w:t>. En estas condiciones, la justificación del proyecto PLATAH se ha expresado con sigue: </w:t>
      </w:r>
      <w:r>
        <w:rPr>
          <w:i/>
          <w:sz w:val="23"/>
        </w:rPr>
        <w:t>en los próximos 20 años la ZMVM incrementará su población en </w:t>
      </w:r>
      <w:r>
        <w:rPr>
          <w:i/>
          <w:sz w:val="23"/>
        </w:rPr>
        <w:t>5 millones de habitantes y requerirá de 36 mil hectáreas para los nuevos asentamientos… se estima que el Valle de Tizayuca recibirá a alrededor   de</w:t>
      </w:r>
    </w:p>
    <w:p>
      <w:pPr>
        <w:pStyle w:val="ListParagraph"/>
        <w:numPr>
          <w:ilvl w:val="1"/>
          <w:numId w:val="7"/>
        </w:numPr>
        <w:tabs>
          <w:tab w:pos="492" w:val="left" w:leader="none"/>
        </w:tabs>
        <w:spacing w:line="244" w:lineRule="auto" w:before="0" w:after="0"/>
        <w:ind w:left="110" w:right="115" w:firstLine="0"/>
        <w:jc w:val="both"/>
        <w:rPr>
          <w:sz w:val="23"/>
        </w:rPr>
      </w:pPr>
      <w:r>
        <w:rPr>
          <w:i/>
          <w:sz w:val="23"/>
        </w:rPr>
        <w:t>millones de personas en ese período… la demanda de empleo, hacen </w:t>
      </w:r>
      <w:r>
        <w:rPr>
          <w:i/>
          <w:sz w:val="23"/>
        </w:rPr>
        <w:t>necesario</w:t>
      </w:r>
      <w:r>
        <w:rPr>
          <w:i/>
          <w:spacing w:val="-10"/>
          <w:sz w:val="23"/>
        </w:rPr>
        <w:t> </w:t>
      </w:r>
      <w:r>
        <w:rPr>
          <w:i/>
          <w:sz w:val="23"/>
        </w:rPr>
        <w:t>planear</w:t>
      </w:r>
      <w:r>
        <w:rPr>
          <w:i/>
          <w:spacing w:val="-10"/>
          <w:sz w:val="23"/>
        </w:rPr>
        <w:t> </w:t>
      </w:r>
      <w:r>
        <w:rPr>
          <w:i/>
          <w:sz w:val="23"/>
        </w:rPr>
        <w:t>y</w:t>
      </w:r>
      <w:r>
        <w:rPr>
          <w:i/>
          <w:spacing w:val="-10"/>
          <w:sz w:val="23"/>
        </w:rPr>
        <w:t> </w:t>
      </w:r>
      <w:r>
        <w:rPr>
          <w:i/>
          <w:sz w:val="23"/>
        </w:rPr>
        <w:t>ejecutar</w:t>
      </w:r>
      <w:r>
        <w:rPr>
          <w:i/>
          <w:spacing w:val="-11"/>
          <w:sz w:val="23"/>
        </w:rPr>
        <w:t> </w:t>
      </w:r>
      <w:r>
        <w:rPr>
          <w:i/>
          <w:sz w:val="23"/>
        </w:rPr>
        <w:t>proyectos</w:t>
      </w:r>
      <w:r>
        <w:rPr>
          <w:i/>
          <w:spacing w:val="-10"/>
          <w:sz w:val="23"/>
        </w:rPr>
        <w:t> </w:t>
      </w:r>
      <w:r>
        <w:rPr>
          <w:i/>
          <w:sz w:val="23"/>
        </w:rPr>
        <w:t>de</w:t>
      </w:r>
      <w:r>
        <w:rPr>
          <w:i/>
          <w:spacing w:val="-10"/>
          <w:sz w:val="23"/>
        </w:rPr>
        <w:t> </w:t>
      </w:r>
      <w:r>
        <w:rPr>
          <w:i/>
          <w:sz w:val="23"/>
        </w:rPr>
        <w:t>desarrollo</w:t>
      </w:r>
      <w:r>
        <w:rPr>
          <w:i/>
          <w:spacing w:val="-10"/>
          <w:sz w:val="23"/>
        </w:rPr>
        <w:t> </w:t>
      </w:r>
      <w:r>
        <w:rPr>
          <w:i/>
          <w:sz w:val="23"/>
        </w:rPr>
        <w:t>regional</w:t>
      </w:r>
      <w:r>
        <w:rPr>
          <w:i/>
          <w:spacing w:val="-11"/>
          <w:sz w:val="23"/>
        </w:rPr>
        <w:t> </w:t>
      </w:r>
      <w:r>
        <w:rPr>
          <w:i/>
          <w:sz w:val="23"/>
        </w:rPr>
        <w:t>sustentables</w:t>
      </w:r>
      <w:r>
        <w:rPr>
          <w:position w:val="8"/>
          <w:sz w:val="13"/>
        </w:rPr>
        <w:t>108</w:t>
      </w:r>
      <w:r>
        <w:rPr>
          <w:i/>
          <w:sz w:val="23"/>
        </w:rPr>
        <w:t>. </w:t>
      </w:r>
      <w:r>
        <w:rPr>
          <w:sz w:val="23"/>
        </w:rPr>
        <w:t>No obstante, cabe aclarar que los terrenos destinados al proyecto </w:t>
      </w:r>
      <w:r>
        <w:rPr>
          <w:spacing w:val="-9"/>
          <w:sz w:val="23"/>
        </w:rPr>
        <w:t>PLATAH  </w:t>
      </w:r>
      <w:r>
        <w:rPr>
          <w:sz w:val="23"/>
        </w:rPr>
        <w:t>se ubican en el municipio de </w:t>
      </w:r>
      <w:r>
        <w:rPr>
          <w:spacing w:val="-3"/>
          <w:sz w:val="23"/>
        </w:rPr>
        <w:t>Villa </w:t>
      </w:r>
      <w:r>
        <w:rPr>
          <w:sz w:val="23"/>
        </w:rPr>
        <w:t>de Tezontepec, el cual se encuentra muy cercano al municipio de Tizayuca pero oficialmente fuera del perímetro geográfico declarado como zona metropolitana del </w:t>
      </w:r>
      <w:r>
        <w:rPr>
          <w:spacing w:val="-6"/>
          <w:sz w:val="23"/>
        </w:rPr>
        <w:t>Valle </w:t>
      </w:r>
      <w:r>
        <w:rPr>
          <w:sz w:val="23"/>
        </w:rPr>
        <w:t>de</w:t>
      </w:r>
      <w:r>
        <w:rPr>
          <w:spacing w:val="-7"/>
          <w:sz w:val="23"/>
        </w:rPr>
        <w:t> </w:t>
      </w:r>
      <w:r>
        <w:rPr>
          <w:sz w:val="23"/>
        </w:rPr>
        <w:t>México.</w:t>
      </w:r>
    </w:p>
    <w:p>
      <w:pPr>
        <w:pStyle w:val="BodyText"/>
        <w:spacing w:before="6"/>
      </w:pPr>
    </w:p>
    <w:p>
      <w:pPr>
        <w:pStyle w:val="BodyText"/>
        <w:spacing w:line="244" w:lineRule="auto"/>
        <w:ind w:left="110" w:right="115"/>
        <w:jc w:val="both"/>
      </w:pPr>
      <w:r>
        <w:rPr/>
        <w:t>Hacia el año 2007, el proyecto </w:t>
      </w:r>
      <w:r>
        <w:rPr>
          <w:spacing w:val="-8"/>
        </w:rPr>
        <w:t>PLATAH </w:t>
      </w:r>
      <w:r>
        <w:rPr/>
        <w:t>estaba constituido por los</w:t>
      </w:r>
      <w:r>
        <w:rPr>
          <w:spacing w:val="-37"/>
        </w:rPr>
        <w:t> </w:t>
      </w:r>
      <w:r>
        <w:rPr/>
        <w:t>siguientes elementos:</w:t>
      </w:r>
    </w:p>
    <w:p>
      <w:pPr>
        <w:pStyle w:val="BodyText"/>
        <w:spacing w:before="6"/>
      </w:pPr>
    </w:p>
    <w:p>
      <w:pPr>
        <w:pStyle w:val="ListParagraph"/>
        <w:numPr>
          <w:ilvl w:val="2"/>
          <w:numId w:val="7"/>
        </w:numPr>
        <w:tabs>
          <w:tab w:pos="678" w:val="left" w:leader="none"/>
        </w:tabs>
        <w:spacing w:line="244" w:lineRule="auto" w:before="0" w:after="0"/>
        <w:ind w:left="677" w:right="115" w:hanging="284"/>
        <w:jc w:val="both"/>
        <w:rPr>
          <w:sz w:val="23"/>
        </w:rPr>
      </w:pPr>
      <w:r>
        <w:rPr>
          <w:sz w:val="23"/>
        </w:rPr>
        <w:t>Un</w:t>
      </w:r>
      <w:r>
        <w:rPr>
          <w:spacing w:val="-7"/>
          <w:sz w:val="23"/>
        </w:rPr>
        <w:t> </w:t>
      </w:r>
      <w:r>
        <w:rPr>
          <w:sz w:val="23"/>
        </w:rPr>
        <w:t>aeropuerto,</w:t>
      </w:r>
      <w:r>
        <w:rPr>
          <w:spacing w:val="-7"/>
          <w:sz w:val="23"/>
        </w:rPr>
        <w:t> </w:t>
      </w:r>
      <w:r>
        <w:rPr>
          <w:sz w:val="23"/>
        </w:rPr>
        <w:t>programado</w:t>
      </w:r>
      <w:r>
        <w:rPr>
          <w:spacing w:val="-7"/>
          <w:sz w:val="23"/>
        </w:rPr>
        <w:t> </w:t>
      </w:r>
      <w:r>
        <w:rPr>
          <w:sz w:val="23"/>
        </w:rPr>
        <w:t>en</w:t>
      </w:r>
      <w:r>
        <w:rPr>
          <w:spacing w:val="-7"/>
          <w:sz w:val="23"/>
        </w:rPr>
        <w:t> </w:t>
      </w:r>
      <w:r>
        <w:rPr>
          <w:sz w:val="23"/>
        </w:rPr>
        <w:t>una</w:t>
      </w:r>
      <w:r>
        <w:rPr>
          <w:spacing w:val="-7"/>
          <w:sz w:val="23"/>
        </w:rPr>
        <w:t> </w:t>
      </w:r>
      <w:r>
        <w:rPr>
          <w:sz w:val="23"/>
        </w:rPr>
        <w:t>poligonal</w:t>
      </w:r>
      <w:r>
        <w:rPr>
          <w:spacing w:val="-7"/>
          <w:sz w:val="23"/>
        </w:rPr>
        <w:t> </w:t>
      </w:r>
      <w:r>
        <w:rPr>
          <w:sz w:val="23"/>
        </w:rPr>
        <w:t>de</w:t>
      </w:r>
      <w:r>
        <w:rPr>
          <w:spacing w:val="-7"/>
          <w:sz w:val="23"/>
        </w:rPr>
        <w:t> </w:t>
      </w:r>
      <w:r>
        <w:rPr>
          <w:sz w:val="23"/>
        </w:rPr>
        <w:t>novecientas</w:t>
      </w:r>
      <w:r>
        <w:rPr>
          <w:spacing w:val="-7"/>
          <w:sz w:val="23"/>
        </w:rPr>
        <w:t> </w:t>
      </w:r>
      <w:r>
        <w:rPr>
          <w:sz w:val="23"/>
        </w:rPr>
        <w:t>cuarenta</w:t>
      </w:r>
      <w:r>
        <w:rPr>
          <w:spacing w:val="-7"/>
          <w:sz w:val="23"/>
        </w:rPr>
        <w:t> </w:t>
      </w:r>
      <w:r>
        <w:rPr>
          <w:sz w:val="23"/>
        </w:rPr>
        <w:t>y cinco hectáreas</w:t>
      </w:r>
      <w:r>
        <w:rPr>
          <w:position w:val="8"/>
          <w:sz w:val="13"/>
        </w:rPr>
        <w:t>109</w:t>
      </w:r>
      <w:r>
        <w:rPr>
          <w:sz w:val="23"/>
        </w:rPr>
        <w:t>. La consideración de esta infraestructura hace pensar que el modelo a seguir es el proyecto </w:t>
      </w:r>
      <w:r>
        <w:rPr>
          <w:i/>
          <w:sz w:val="23"/>
        </w:rPr>
        <w:t>Guanajuato puerto interior</w:t>
      </w:r>
      <w:r>
        <w:rPr>
          <w:sz w:val="23"/>
        </w:rPr>
        <w:t>, el cual adjuntó un recinto fiscalizado y un parque industrial al aeropuerto internacional del</w:t>
      </w:r>
      <w:r>
        <w:rPr>
          <w:spacing w:val="-1"/>
          <w:sz w:val="23"/>
        </w:rPr>
        <w:t> </w:t>
      </w:r>
      <w:r>
        <w:rPr>
          <w:sz w:val="23"/>
        </w:rPr>
        <w:t>Bajío.</w:t>
      </w:r>
    </w:p>
    <w:p>
      <w:pPr>
        <w:pStyle w:val="BodyText"/>
        <w:spacing w:before="6"/>
      </w:pPr>
    </w:p>
    <w:p>
      <w:pPr>
        <w:pStyle w:val="ListParagraph"/>
        <w:numPr>
          <w:ilvl w:val="2"/>
          <w:numId w:val="7"/>
        </w:numPr>
        <w:tabs>
          <w:tab w:pos="678" w:val="left" w:leader="none"/>
        </w:tabs>
        <w:spacing w:line="244" w:lineRule="auto" w:before="0" w:after="0"/>
        <w:ind w:left="677" w:right="115" w:hanging="283"/>
        <w:jc w:val="both"/>
        <w:rPr>
          <w:sz w:val="23"/>
        </w:rPr>
      </w:pPr>
      <w:r>
        <w:rPr>
          <w:sz w:val="23"/>
        </w:rPr>
        <w:t>La línea del ferrocarril constituye el límite entre la poligonal del aeropuerto y las áreas relacionadas en los siguientes numerales, ésta representa</w:t>
      </w:r>
      <w:r>
        <w:rPr>
          <w:spacing w:val="-15"/>
          <w:sz w:val="23"/>
        </w:rPr>
        <w:t> </w:t>
      </w:r>
      <w:r>
        <w:rPr>
          <w:sz w:val="23"/>
        </w:rPr>
        <w:t>conexiones</w:t>
      </w:r>
      <w:r>
        <w:rPr>
          <w:spacing w:val="-16"/>
          <w:sz w:val="23"/>
        </w:rPr>
        <w:t> </w:t>
      </w:r>
      <w:r>
        <w:rPr>
          <w:sz w:val="23"/>
        </w:rPr>
        <w:t>ferroviarias</w:t>
      </w:r>
      <w:r>
        <w:rPr>
          <w:spacing w:val="-15"/>
          <w:sz w:val="23"/>
        </w:rPr>
        <w:t> </w:t>
      </w:r>
      <w:r>
        <w:rPr>
          <w:sz w:val="23"/>
        </w:rPr>
        <w:t>potenciales</w:t>
      </w:r>
      <w:r>
        <w:rPr>
          <w:spacing w:val="-15"/>
          <w:sz w:val="23"/>
        </w:rPr>
        <w:t> </w:t>
      </w:r>
      <w:r>
        <w:rPr>
          <w:sz w:val="23"/>
        </w:rPr>
        <w:t>con</w:t>
      </w:r>
      <w:r>
        <w:rPr>
          <w:spacing w:val="-15"/>
          <w:sz w:val="23"/>
        </w:rPr>
        <w:t> </w:t>
      </w:r>
      <w:r>
        <w:rPr>
          <w:sz w:val="23"/>
        </w:rPr>
        <w:t>los</w:t>
      </w:r>
      <w:r>
        <w:rPr>
          <w:spacing w:val="-15"/>
          <w:sz w:val="23"/>
        </w:rPr>
        <w:t> </w:t>
      </w:r>
      <w:r>
        <w:rPr>
          <w:sz w:val="23"/>
        </w:rPr>
        <w:t>puertos</w:t>
      </w:r>
      <w:r>
        <w:rPr>
          <w:spacing w:val="-15"/>
          <w:sz w:val="23"/>
        </w:rPr>
        <w:t> </w:t>
      </w:r>
      <w:r>
        <w:rPr>
          <w:sz w:val="23"/>
        </w:rPr>
        <w:t>del</w:t>
      </w:r>
      <w:r>
        <w:rPr>
          <w:spacing w:val="-15"/>
          <w:sz w:val="23"/>
        </w:rPr>
        <w:t> </w:t>
      </w:r>
      <w:r>
        <w:rPr>
          <w:sz w:val="23"/>
        </w:rPr>
        <w:t>Golfo de México (Altamira y </w:t>
      </w:r>
      <w:r>
        <w:rPr>
          <w:spacing w:val="-3"/>
          <w:sz w:val="23"/>
        </w:rPr>
        <w:t>Veracruz), </w:t>
      </w:r>
      <w:r>
        <w:rPr>
          <w:sz w:val="23"/>
        </w:rPr>
        <w:t>aunque a la fecha prácticamente no existe en ella</w:t>
      </w:r>
      <w:r>
        <w:rPr>
          <w:spacing w:val="-3"/>
          <w:sz w:val="23"/>
        </w:rPr>
        <w:t> </w:t>
      </w:r>
      <w:r>
        <w:rPr>
          <w:sz w:val="23"/>
        </w:rPr>
        <w:t>locomoción.</w:t>
      </w:r>
    </w:p>
    <w:p>
      <w:pPr>
        <w:pStyle w:val="BodyText"/>
        <w:spacing w:before="6"/>
      </w:pPr>
    </w:p>
    <w:p>
      <w:pPr>
        <w:pStyle w:val="ListParagraph"/>
        <w:numPr>
          <w:ilvl w:val="2"/>
          <w:numId w:val="7"/>
        </w:numPr>
        <w:tabs>
          <w:tab w:pos="678" w:val="left" w:leader="none"/>
        </w:tabs>
        <w:spacing w:line="244" w:lineRule="auto" w:before="0" w:after="0"/>
        <w:ind w:left="677" w:right="115" w:hanging="283"/>
        <w:jc w:val="both"/>
        <w:rPr>
          <w:sz w:val="23"/>
        </w:rPr>
      </w:pPr>
      <w:r>
        <w:rPr>
          <w:sz w:val="23"/>
        </w:rPr>
        <w:t>Puerto seco, área de dos millones novecientos noventa y cinco mil quinientos sesenta  metros cuadrados de servicios  y depósitos</w:t>
      </w:r>
      <w:r>
        <w:rPr>
          <w:position w:val="8"/>
          <w:sz w:val="13"/>
        </w:rPr>
        <w:t>110</w:t>
      </w:r>
      <w:r>
        <w:rPr>
          <w:sz w:val="23"/>
        </w:rPr>
        <w:t>,   </w:t>
      </w:r>
      <w:r>
        <w:rPr>
          <w:spacing w:val="32"/>
          <w:sz w:val="23"/>
        </w:rPr>
        <w:t> </w:t>
      </w:r>
      <w:r>
        <w:rPr>
          <w:sz w:val="23"/>
        </w:rPr>
        <w:t>los</w:t>
      </w:r>
    </w:p>
    <w:p>
      <w:pPr>
        <w:pStyle w:val="BodyText"/>
        <w:spacing w:before="10"/>
        <w:rPr>
          <w:sz w:val="10"/>
        </w:rPr>
      </w:pPr>
      <w:r>
        <w:rPr/>
        <w:pict>
          <v:line style="position:absolute;mso-position-horizontal-relative:page;mso-position-vertical-relative:paragraph;z-index:2536;mso-wrap-distance-left:0;mso-wrap-distance-right:0" from="42.519699pt,8.708344pt" to="114.519699pt,8.708344pt" stroked="true" strokeweight="1pt" strokecolor="#000000">
            <w10:wrap type="topAndBottom"/>
          </v:line>
        </w:pict>
      </w:r>
    </w:p>
    <w:p>
      <w:pPr>
        <w:spacing w:line="249" w:lineRule="auto" w:before="28"/>
        <w:ind w:left="393" w:right="114" w:hanging="284"/>
        <w:jc w:val="both"/>
        <w:rPr>
          <w:sz w:val="18"/>
        </w:rPr>
      </w:pPr>
      <w:r>
        <w:rPr>
          <w:position w:val="7"/>
          <w:sz w:val="11"/>
        </w:rPr>
        <w:t>107 </w:t>
      </w:r>
      <w:r>
        <w:rPr>
          <w:sz w:val="18"/>
        </w:rPr>
        <w:t>El municipio de Tizayuca fue incluido en el quinto contorno de la zona metropolitana del Valle de México, al ser el único municipio hidalguense en esa zona su ubicación es prácticamente periférica. Gobierno del Distrito Federal, gobierno del Estado de México, secretaría de desarrollo social; </w:t>
      </w:r>
      <w:r>
        <w:rPr>
          <w:i/>
          <w:sz w:val="18"/>
        </w:rPr>
        <w:t>programa de reordenación de la zona metropolitana del Valle de México; </w:t>
      </w:r>
      <w:r>
        <w:rPr>
          <w:sz w:val="18"/>
        </w:rPr>
        <w:t>México, 1997, p. 33.</w:t>
      </w:r>
    </w:p>
    <w:p>
      <w:pPr>
        <w:spacing w:line="249" w:lineRule="auto" w:before="20"/>
        <w:ind w:left="393" w:right="115" w:hanging="284"/>
        <w:jc w:val="both"/>
        <w:rPr>
          <w:sz w:val="18"/>
        </w:rPr>
      </w:pPr>
      <w:r>
        <w:rPr>
          <w:position w:val="7"/>
          <w:sz w:val="11"/>
        </w:rPr>
        <w:t>108 </w:t>
      </w:r>
      <w:r>
        <w:rPr>
          <w:sz w:val="18"/>
        </w:rPr>
        <w:t>Gobierno del Estado de Hidalgo, </w:t>
      </w:r>
      <w:r>
        <w:rPr>
          <w:i/>
          <w:sz w:val="18"/>
        </w:rPr>
        <w:t>plataforma logística de Tizayuca, presentación de gabinete </w:t>
      </w:r>
      <w:r>
        <w:rPr>
          <w:i/>
          <w:sz w:val="18"/>
        </w:rPr>
        <w:t>PLATAH 190607; </w:t>
      </w:r>
      <w:r>
        <w:rPr>
          <w:sz w:val="18"/>
        </w:rPr>
        <w:t>México, presentación power point, diapositiva 3.</w:t>
      </w:r>
    </w:p>
    <w:p>
      <w:pPr>
        <w:spacing w:before="20"/>
        <w:ind w:left="110" w:right="0" w:firstLine="0"/>
        <w:jc w:val="left"/>
        <w:rPr>
          <w:i/>
          <w:sz w:val="18"/>
        </w:rPr>
      </w:pPr>
      <w:r>
        <w:rPr>
          <w:position w:val="7"/>
          <w:sz w:val="11"/>
        </w:rPr>
        <w:t>109          </w:t>
      </w:r>
      <w:r>
        <w:rPr>
          <w:sz w:val="18"/>
        </w:rPr>
        <w:t>Gobierno del Estado de Hidalgo, </w:t>
      </w:r>
      <w:r>
        <w:rPr>
          <w:i/>
          <w:sz w:val="18"/>
        </w:rPr>
        <w:t>PLATAH, plataforma logística de Tizayuca</w:t>
      </w:r>
      <w:r>
        <w:rPr>
          <w:sz w:val="18"/>
        </w:rPr>
        <w:t>, </w:t>
      </w:r>
      <w:r>
        <w:rPr>
          <w:i/>
          <w:sz w:val="18"/>
        </w:rPr>
        <w:t>plan maestro;</w:t>
      </w:r>
    </w:p>
    <w:p>
      <w:pPr>
        <w:spacing w:before="9"/>
        <w:ind w:left="393" w:right="0" w:firstLine="0"/>
        <w:jc w:val="left"/>
        <w:rPr>
          <w:sz w:val="18"/>
        </w:rPr>
      </w:pPr>
      <w:r>
        <w:rPr>
          <w:sz w:val="18"/>
        </w:rPr>
        <w:t>México, presentación power point, septiembre de 2007, diapositivas 28, 31 y 32.</w:t>
      </w:r>
    </w:p>
    <w:p>
      <w:pPr>
        <w:spacing w:before="28"/>
        <w:ind w:left="110" w:right="0" w:firstLine="0"/>
        <w:jc w:val="left"/>
        <w:rPr>
          <w:i/>
          <w:sz w:val="18"/>
        </w:rPr>
      </w:pPr>
      <w:r>
        <w:rPr>
          <w:w w:val="105"/>
          <w:position w:val="7"/>
          <w:sz w:val="11"/>
        </w:rPr>
        <w:t>110  </w:t>
      </w:r>
      <w:r>
        <w:rPr>
          <w:i/>
          <w:w w:val="105"/>
          <w:sz w:val="18"/>
        </w:rPr>
        <w:t>Ibídem.</w:t>
      </w:r>
    </w:p>
    <w:p>
      <w:pPr>
        <w:spacing w:after="0"/>
        <w:jc w:val="left"/>
        <w:rPr>
          <w:sz w:val="18"/>
        </w:rPr>
        <w:sectPr>
          <w:pgSz w:w="9360" w:h="13040"/>
          <w:pgMar w:header="527" w:footer="515" w:top="720" w:bottom="700" w:left="740" w:right="1300"/>
        </w:sectPr>
      </w:pPr>
    </w:p>
    <w:p>
      <w:pPr>
        <w:pStyle w:val="BodyText"/>
        <w:spacing w:before="11"/>
        <w:rPr>
          <w:i/>
          <w:sz w:val="29"/>
        </w:rPr>
      </w:pPr>
    </w:p>
    <w:p>
      <w:pPr>
        <w:pStyle w:val="BodyText"/>
        <w:spacing w:line="260" w:lineRule="exact" w:before="77"/>
        <w:ind w:left="684" w:right="101"/>
      </w:pPr>
      <w:r>
        <w:rPr/>
        <w:t>cuales</w:t>
      </w:r>
      <w:r>
        <w:rPr>
          <w:spacing w:val="-19"/>
        </w:rPr>
        <w:t> </w:t>
      </w:r>
      <w:r>
        <w:rPr/>
        <w:t>fueron</w:t>
      </w:r>
      <w:r>
        <w:rPr>
          <w:spacing w:val="-19"/>
        </w:rPr>
        <w:t> </w:t>
      </w:r>
      <w:r>
        <w:rPr/>
        <w:t>diseñados</w:t>
      </w:r>
      <w:r>
        <w:rPr>
          <w:spacing w:val="-19"/>
        </w:rPr>
        <w:t> </w:t>
      </w:r>
      <w:r>
        <w:rPr/>
        <w:t>para</w:t>
      </w:r>
      <w:r>
        <w:rPr>
          <w:spacing w:val="-19"/>
        </w:rPr>
        <w:t> </w:t>
      </w:r>
      <w:r>
        <w:rPr/>
        <w:t>la</w:t>
      </w:r>
      <w:r>
        <w:rPr>
          <w:spacing w:val="-19"/>
        </w:rPr>
        <w:t> </w:t>
      </w:r>
      <w:r>
        <w:rPr/>
        <w:t>recepción</w:t>
      </w:r>
      <w:r>
        <w:rPr>
          <w:spacing w:val="-19"/>
        </w:rPr>
        <w:t> </w:t>
      </w:r>
      <w:r>
        <w:rPr/>
        <w:t>e</w:t>
      </w:r>
      <w:r>
        <w:rPr>
          <w:spacing w:val="-19"/>
        </w:rPr>
        <w:t> </w:t>
      </w:r>
      <w:r>
        <w:rPr/>
        <w:t>intercambio</w:t>
      </w:r>
      <w:r>
        <w:rPr>
          <w:spacing w:val="-20"/>
        </w:rPr>
        <w:t> </w:t>
      </w:r>
      <w:r>
        <w:rPr/>
        <w:t>de</w:t>
      </w:r>
      <w:r>
        <w:rPr>
          <w:spacing w:val="-19"/>
        </w:rPr>
        <w:t> </w:t>
      </w:r>
      <w:r>
        <w:rPr/>
        <w:t>contenedores y otras cargas entre los diversos modos de</w:t>
      </w:r>
      <w:r>
        <w:rPr>
          <w:spacing w:val="-14"/>
        </w:rPr>
        <w:t> </w:t>
      </w:r>
      <w:r>
        <w:rPr/>
        <w:t>transporte</w:t>
      </w:r>
      <w:r>
        <w:rPr>
          <w:position w:val="8"/>
          <w:sz w:val="13"/>
        </w:rPr>
        <w:t>111</w:t>
      </w:r>
      <w:r>
        <w:rPr/>
        <w:t>.</w:t>
      </w:r>
    </w:p>
    <w:p>
      <w:pPr>
        <w:pStyle w:val="BodyText"/>
        <w:spacing w:before="4"/>
        <w:rPr>
          <w:sz w:val="22"/>
        </w:rPr>
      </w:pPr>
    </w:p>
    <w:p>
      <w:pPr>
        <w:pStyle w:val="ListParagraph"/>
        <w:numPr>
          <w:ilvl w:val="2"/>
          <w:numId w:val="7"/>
        </w:numPr>
        <w:tabs>
          <w:tab w:pos="685" w:val="left" w:leader="none"/>
        </w:tabs>
        <w:spacing w:line="235" w:lineRule="auto" w:before="0" w:after="0"/>
        <w:ind w:left="684" w:right="107" w:hanging="284"/>
        <w:jc w:val="both"/>
        <w:rPr>
          <w:sz w:val="23"/>
        </w:rPr>
      </w:pPr>
      <w:r>
        <w:rPr>
          <w:sz w:val="23"/>
        </w:rPr>
        <w:t>Zona de actividad logística e industrial, superficie de un millón setecientos cuarenta y ocho mil setecientos sesenta y tres metros cuadrados con naves de finalidad logística, naves de finalidad industrial, zona de muelles de carga, patio de maniobras y recinto fiscal estratégico</w:t>
      </w:r>
      <w:r>
        <w:rPr>
          <w:position w:val="8"/>
          <w:sz w:val="13"/>
        </w:rPr>
        <w:t>112</w:t>
      </w:r>
      <w:r>
        <w:rPr>
          <w:sz w:val="23"/>
        </w:rPr>
        <w:t>. Según el diseñador, operará recibiendo insumos  de diversos países o regiones para su procesamiento industrial y su posterior distribución en cadenas comerciales del área metropolitana, Estados Unidos y</w:t>
      </w:r>
      <w:r>
        <w:rPr>
          <w:spacing w:val="-6"/>
          <w:sz w:val="23"/>
        </w:rPr>
        <w:t> </w:t>
      </w:r>
      <w:r>
        <w:rPr>
          <w:sz w:val="23"/>
        </w:rPr>
        <w:t>Canadá</w:t>
      </w:r>
      <w:r>
        <w:rPr>
          <w:position w:val="8"/>
          <w:sz w:val="13"/>
        </w:rPr>
        <w:t>113</w:t>
      </w:r>
      <w:r>
        <w:rPr>
          <w:sz w:val="23"/>
        </w:rPr>
        <w:t>.</w:t>
      </w:r>
    </w:p>
    <w:p>
      <w:pPr>
        <w:pStyle w:val="BodyText"/>
        <w:spacing w:before="3"/>
        <w:rPr>
          <w:sz w:val="22"/>
        </w:rPr>
      </w:pPr>
    </w:p>
    <w:p>
      <w:pPr>
        <w:pStyle w:val="ListParagraph"/>
        <w:numPr>
          <w:ilvl w:val="2"/>
          <w:numId w:val="7"/>
        </w:numPr>
        <w:tabs>
          <w:tab w:pos="685" w:val="left" w:leader="none"/>
        </w:tabs>
        <w:spacing w:line="262" w:lineRule="exact" w:before="0" w:after="0"/>
        <w:ind w:left="684" w:right="0" w:hanging="284"/>
        <w:jc w:val="left"/>
        <w:rPr>
          <w:sz w:val="23"/>
        </w:rPr>
      </w:pPr>
      <w:r>
        <w:rPr>
          <w:sz w:val="23"/>
        </w:rPr>
        <w:t>Área habitacional para trescientas mil viviendas que beneficiarán a  </w:t>
      </w:r>
      <w:r>
        <w:rPr>
          <w:spacing w:val="18"/>
          <w:sz w:val="23"/>
        </w:rPr>
        <w:t> </w:t>
      </w:r>
      <w:r>
        <w:rPr>
          <w:sz w:val="23"/>
        </w:rPr>
        <w:t>la</w:t>
      </w:r>
    </w:p>
    <w:p>
      <w:pPr>
        <w:pStyle w:val="BodyText"/>
        <w:spacing w:line="262" w:lineRule="exact"/>
        <w:ind w:left="684"/>
      </w:pPr>
      <w:r>
        <w:rPr/>
        <w:t>población inmigrante de los próximos veinte años</w:t>
      </w:r>
      <w:r>
        <w:rPr>
          <w:position w:val="8"/>
          <w:sz w:val="13"/>
        </w:rPr>
        <w:t>114</w:t>
      </w:r>
      <w:r>
        <w:rPr/>
        <w:t>.</w:t>
      </w:r>
    </w:p>
    <w:p>
      <w:pPr>
        <w:pStyle w:val="BodyText"/>
        <w:spacing w:before="6"/>
        <w:rPr>
          <w:sz w:val="22"/>
        </w:rPr>
      </w:pPr>
    </w:p>
    <w:p>
      <w:pPr>
        <w:pStyle w:val="ListParagraph"/>
        <w:numPr>
          <w:ilvl w:val="2"/>
          <w:numId w:val="7"/>
        </w:numPr>
        <w:tabs>
          <w:tab w:pos="685" w:val="left" w:leader="none"/>
        </w:tabs>
        <w:spacing w:line="235" w:lineRule="auto" w:before="1" w:after="0"/>
        <w:ind w:left="684" w:right="107" w:hanging="284"/>
        <w:jc w:val="both"/>
        <w:rPr>
          <w:sz w:val="23"/>
        </w:rPr>
      </w:pPr>
      <w:r>
        <w:rPr>
          <w:sz w:val="23"/>
        </w:rPr>
        <w:t>Ciudad del transporte, extensión de un millón trescientos cincuenta y seis mil setecientos cincuenta y nueve metros cuadrados que incluía área comercial, servicios para transportistas, servicios vehiculares y estacionamiento</w:t>
      </w:r>
      <w:r>
        <w:rPr>
          <w:position w:val="8"/>
          <w:sz w:val="13"/>
        </w:rPr>
        <w:t>115</w:t>
      </w:r>
      <w:r>
        <w:rPr>
          <w:sz w:val="23"/>
        </w:rPr>
        <w:t>; todo ello para impulsar el mercado del transporte de mercancías en</w:t>
      </w:r>
      <w:r>
        <w:rPr>
          <w:spacing w:val="-2"/>
          <w:sz w:val="23"/>
        </w:rPr>
        <w:t> </w:t>
      </w:r>
      <w:r>
        <w:rPr>
          <w:sz w:val="23"/>
        </w:rPr>
        <w:t>contenedores.</w:t>
      </w:r>
    </w:p>
    <w:p>
      <w:pPr>
        <w:pStyle w:val="BodyText"/>
        <w:spacing w:before="7"/>
        <w:rPr>
          <w:sz w:val="22"/>
        </w:rPr>
      </w:pPr>
    </w:p>
    <w:p>
      <w:pPr>
        <w:pStyle w:val="BodyText"/>
        <w:spacing w:line="235" w:lineRule="auto" w:before="1"/>
        <w:ind w:left="117" w:right="107"/>
        <w:jc w:val="both"/>
      </w:pPr>
      <w:r>
        <w:rPr/>
        <w:t>Para ejecutar el proyecto </w:t>
      </w:r>
      <w:r>
        <w:rPr>
          <w:spacing w:val="-7"/>
        </w:rPr>
        <w:t>PLATAH, </w:t>
      </w:r>
      <w:r>
        <w:rPr/>
        <w:t>el gobierno del Estado de Hidalgo ha optado por realizar gestiones independientes  con  el  gobierno  federal  y  con la iniciativa privada, evidenciando así que el proyecto de obra civil y arquitectónica existe pero no así un plan de negocios estratégicamente efectivo. Como trámite más antiguo, se encontró que en el año 2000 el gobernador</w:t>
      </w:r>
      <w:r>
        <w:rPr>
          <w:spacing w:val="-14"/>
        </w:rPr>
        <w:t> </w:t>
      </w:r>
      <w:r>
        <w:rPr/>
        <w:t>del</w:t>
      </w:r>
      <w:r>
        <w:rPr>
          <w:spacing w:val="-14"/>
        </w:rPr>
        <w:t> </w:t>
      </w:r>
      <w:r>
        <w:rPr/>
        <w:t>estado</w:t>
      </w:r>
      <w:r>
        <w:rPr>
          <w:spacing w:val="-14"/>
        </w:rPr>
        <w:t> </w:t>
      </w:r>
      <w:r>
        <w:rPr/>
        <w:t>(1999-2005)</w:t>
      </w:r>
      <w:r>
        <w:rPr>
          <w:spacing w:val="-14"/>
        </w:rPr>
        <w:t> </w:t>
      </w:r>
      <w:r>
        <w:rPr/>
        <w:t>solicitó</w:t>
      </w:r>
      <w:r>
        <w:rPr>
          <w:spacing w:val="-13"/>
        </w:rPr>
        <w:t> </w:t>
      </w:r>
      <w:r>
        <w:rPr/>
        <w:t>a</w:t>
      </w:r>
      <w:r>
        <w:rPr>
          <w:spacing w:val="-14"/>
        </w:rPr>
        <w:t> </w:t>
      </w:r>
      <w:r>
        <w:rPr/>
        <w:t>la</w:t>
      </w:r>
      <w:r>
        <w:rPr>
          <w:spacing w:val="-14"/>
        </w:rPr>
        <w:t> </w:t>
      </w:r>
      <w:r>
        <w:rPr/>
        <w:t>SCT</w:t>
      </w:r>
      <w:r>
        <w:rPr>
          <w:spacing w:val="-18"/>
        </w:rPr>
        <w:t> </w:t>
      </w:r>
      <w:r>
        <w:rPr/>
        <w:t>la</w:t>
      </w:r>
      <w:r>
        <w:rPr>
          <w:spacing w:val="-14"/>
        </w:rPr>
        <w:t> </w:t>
      </w:r>
      <w:r>
        <w:rPr/>
        <w:t>concesión</w:t>
      </w:r>
      <w:r>
        <w:rPr>
          <w:spacing w:val="-14"/>
        </w:rPr>
        <w:t> </w:t>
      </w:r>
      <w:r>
        <w:rPr/>
        <w:t>para</w:t>
      </w:r>
      <w:r>
        <w:rPr>
          <w:spacing w:val="-14"/>
        </w:rPr>
        <w:t> </w:t>
      </w:r>
      <w:r>
        <w:rPr/>
        <w:t>instalar en los terrenos del proyecto </w:t>
      </w:r>
      <w:r>
        <w:rPr>
          <w:spacing w:val="-8"/>
        </w:rPr>
        <w:t>PLATAH </w:t>
      </w:r>
      <w:r>
        <w:rPr/>
        <w:t>un aeropuerto de carga con posibilidad de ampliación, o bien, para trasladar el aeropuerto de la ciudad de Pachuca </w:t>
      </w:r>
      <w:r>
        <w:rPr>
          <w:u w:val="single"/>
        </w:rPr>
        <w:t>(capital</w:t>
      </w:r>
      <w:r>
        <w:rPr>
          <w:spacing w:val="-12"/>
          <w:u w:val="single"/>
        </w:rPr>
        <w:t> </w:t>
      </w:r>
      <w:r>
        <w:rPr>
          <w:u w:val="single"/>
        </w:rPr>
        <w:t>del</w:t>
      </w:r>
      <w:r>
        <w:rPr>
          <w:spacing w:val="-11"/>
          <w:u w:val="single"/>
        </w:rPr>
        <w:t> </w:t>
      </w:r>
      <w:r>
        <w:rPr>
          <w:u w:val="single"/>
        </w:rPr>
        <w:t>esta</w:t>
      </w:r>
      <w:r>
        <w:rPr/>
        <w:t>do)</w:t>
      </w:r>
      <w:r>
        <w:rPr>
          <w:position w:val="8"/>
          <w:sz w:val="13"/>
        </w:rPr>
        <w:t>116</w:t>
      </w:r>
      <w:r>
        <w:rPr/>
        <w:t>.</w:t>
      </w:r>
      <w:r>
        <w:rPr>
          <w:spacing w:val="-12"/>
        </w:rPr>
        <w:t> </w:t>
      </w:r>
      <w:r>
        <w:rPr/>
        <w:t>El</w:t>
      </w:r>
      <w:r>
        <w:rPr>
          <w:spacing w:val="-12"/>
        </w:rPr>
        <w:t> </w:t>
      </w:r>
      <w:r>
        <w:rPr/>
        <w:t>trámite</w:t>
      </w:r>
      <w:r>
        <w:rPr>
          <w:spacing w:val="-12"/>
        </w:rPr>
        <w:t> </w:t>
      </w:r>
      <w:r>
        <w:rPr/>
        <w:t>coincidió</w:t>
      </w:r>
      <w:r>
        <w:rPr>
          <w:spacing w:val="-12"/>
        </w:rPr>
        <w:t> </w:t>
      </w:r>
      <w:r>
        <w:rPr/>
        <w:t>con</w:t>
      </w:r>
      <w:r>
        <w:rPr>
          <w:spacing w:val="-12"/>
        </w:rPr>
        <w:t> </w:t>
      </w:r>
      <w:r>
        <w:rPr/>
        <w:t>el</w:t>
      </w:r>
      <w:r>
        <w:rPr>
          <w:spacing w:val="-12"/>
        </w:rPr>
        <w:t> </w:t>
      </w:r>
      <w:r>
        <w:rPr/>
        <w:t>proyecto</w:t>
      </w:r>
      <w:r>
        <w:rPr>
          <w:spacing w:val="-11"/>
        </w:rPr>
        <w:t> </w:t>
      </w:r>
      <w:r>
        <w:rPr/>
        <w:t>federal</w:t>
      </w:r>
      <w:r>
        <w:rPr>
          <w:spacing w:val="-12"/>
        </w:rPr>
        <w:t> </w:t>
      </w:r>
      <w:r>
        <w:rPr/>
        <w:t>de</w:t>
      </w:r>
      <w:r>
        <w:rPr>
          <w:spacing w:val="-11"/>
        </w:rPr>
        <w:t> </w:t>
      </w:r>
      <w:r>
        <w:rPr/>
        <w:t>construir</w:t>
      </w:r>
    </w:p>
    <w:p>
      <w:pPr>
        <w:spacing w:line="200" w:lineRule="exact" w:before="38"/>
        <w:ind w:left="400" w:right="108" w:hanging="284"/>
        <w:jc w:val="both"/>
        <w:rPr>
          <w:sz w:val="18"/>
        </w:rPr>
      </w:pPr>
      <w:r>
        <w:rPr>
          <w:position w:val="7"/>
          <w:sz w:val="11"/>
        </w:rPr>
        <w:t>111 </w:t>
      </w:r>
      <w:r>
        <w:rPr>
          <w:sz w:val="18"/>
        </w:rPr>
        <w:t>Gobierno del Estado de Hidalgo, </w:t>
      </w:r>
      <w:r>
        <w:rPr>
          <w:i/>
          <w:sz w:val="18"/>
        </w:rPr>
        <w:t>plataforma logística de Tizayuca, presentación de gabinete </w:t>
      </w:r>
      <w:r>
        <w:rPr>
          <w:i/>
          <w:sz w:val="18"/>
        </w:rPr>
        <w:t>PLATAH 190607; </w:t>
      </w:r>
      <w:r>
        <w:rPr>
          <w:sz w:val="18"/>
        </w:rPr>
        <w:t>México, presentación power point, diapositiva 9.</w:t>
      </w:r>
    </w:p>
    <w:p>
      <w:pPr>
        <w:spacing w:line="200" w:lineRule="exact" w:before="0"/>
        <w:ind w:left="400" w:right="108" w:hanging="284"/>
        <w:jc w:val="both"/>
        <w:rPr>
          <w:sz w:val="18"/>
        </w:rPr>
      </w:pPr>
      <w:r>
        <w:rPr>
          <w:position w:val="7"/>
          <w:sz w:val="11"/>
        </w:rPr>
        <w:t>112 </w:t>
      </w:r>
      <w:r>
        <w:rPr>
          <w:sz w:val="18"/>
        </w:rPr>
        <w:t>Gobierno del Estado de Hidalgo, </w:t>
      </w:r>
      <w:r>
        <w:rPr>
          <w:i/>
          <w:sz w:val="18"/>
        </w:rPr>
        <w:t>PLATAH, plataforma logística de Tizayuca</w:t>
      </w:r>
      <w:r>
        <w:rPr>
          <w:sz w:val="18"/>
        </w:rPr>
        <w:t>, </w:t>
      </w:r>
      <w:r>
        <w:rPr>
          <w:i/>
          <w:sz w:val="18"/>
        </w:rPr>
        <w:t>plan maestro</w:t>
      </w:r>
      <w:r>
        <w:rPr>
          <w:sz w:val="18"/>
        </w:rPr>
        <w:t>; México, presentación power point, septiembre de 2007, diapositivas 28, 31 y 32.</w:t>
      </w:r>
    </w:p>
    <w:p>
      <w:pPr>
        <w:spacing w:line="200" w:lineRule="exact" w:before="0"/>
        <w:ind w:left="344" w:right="108" w:hanging="227"/>
        <w:jc w:val="both"/>
        <w:rPr>
          <w:sz w:val="18"/>
        </w:rPr>
      </w:pPr>
      <w:r>
        <w:rPr>
          <w:position w:val="7"/>
          <w:sz w:val="11"/>
        </w:rPr>
        <w:t>113 </w:t>
      </w:r>
      <w:r>
        <w:rPr>
          <w:sz w:val="18"/>
        </w:rPr>
        <w:t>Gobierno del Estado de Hidalgo, plataforma logística de Tizayuca, presentación de gabinete PLATAH 190607; México, presentación power point, diapositiva 10.</w:t>
      </w:r>
    </w:p>
    <w:p>
      <w:pPr>
        <w:spacing w:line="193" w:lineRule="exact" w:before="0"/>
        <w:ind w:left="117" w:right="0" w:firstLine="0"/>
        <w:jc w:val="left"/>
        <w:rPr>
          <w:sz w:val="18"/>
        </w:rPr>
      </w:pPr>
      <w:r>
        <w:rPr>
          <w:position w:val="7"/>
          <w:sz w:val="11"/>
        </w:rPr>
        <w:t>114    </w:t>
      </w:r>
      <w:r>
        <w:rPr>
          <w:i/>
          <w:sz w:val="18"/>
        </w:rPr>
        <w:t>Ibídem, </w:t>
      </w:r>
      <w:r>
        <w:rPr>
          <w:sz w:val="18"/>
        </w:rPr>
        <w:t>diapositiva 3.</w:t>
      </w:r>
    </w:p>
    <w:p>
      <w:pPr>
        <w:spacing w:line="202" w:lineRule="exact" w:before="0"/>
        <w:ind w:left="117" w:right="0" w:firstLine="0"/>
        <w:jc w:val="left"/>
        <w:rPr>
          <w:i/>
          <w:sz w:val="18"/>
        </w:rPr>
      </w:pPr>
      <w:r>
        <w:rPr>
          <w:position w:val="7"/>
          <w:sz w:val="11"/>
        </w:rPr>
        <w:t>115          </w:t>
      </w:r>
      <w:r>
        <w:rPr>
          <w:sz w:val="18"/>
        </w:rPr>
        <w:t>Gobierno del Estado de Hidalgo, </w:t>
      </w:r>
      <w:r>
        <w:rPr>
          <w:i/>
          <w:sz w:val="18"/>
        </w:rPr>
        <w:t>PLATAH, plataforma logística de Tizayuca</w:t>
      </w:r>
      <w:r>
        <w:rPr>
          <w:sz w:val="18"/>
        </w:rPr>
        <w:t>, </w:t>
      </w:r>
      <w:r>
        <w:rPr>
          <w:i/>
          <w:sz w:val="18"/>
        </w:rPr>
        <w:t>plan maestro;</w:t>
      </w:r>
    </w:p>
    <w:p>
      <w:pPr>
        <w:spacing w:line="198" w:lineRule="exact" w:before="0"/>
        <w:ind w:left="400" w:right="0" w:firstLine="0"/>
        <w:jc w:val="left"/>
        <w:rPr>
          <w:sz w:val="18"/>
        </w:rPr>
      </w:pPr>
      <w:r>
        <w:rPr>
          <w:sz w:val="18"/>
        </w:rPr>
        <w:t>México, presentación power point, septiembre de 2007, diapositivas 28, 31 y 32.</w:t>
      </w:r>
    </w:p>
    <w:p>
      <w:pPr>
        <w:spacing w:line="200" w:lineRule="exact" w:before="7"/>
        <w:ind w:left="400" w:right="108" w:hanging="284"/>
        <w:jc w:val="both"/>
        <w:rPr>
          <w:sz w:val="18"/>
        </w:rPr>
      </w:pPr>
      <w:r>
        <w:rPr>
          <w:position w:val="7"/>
          <w:sz w:val="11"/>
        </w:rPr>
        <w:t>116 </w:t>
      </w:r>
      <w:r>
        <w:rPr>
          <w:sz w:val="18"/>
        </w:rPr>
        <w:t>Otras versiones al respecto aseguran que las gestiones del aeropuerto se iniciaron desde el sexenio estatal 1993-1999, y que la base fue la planeación urbanística que se realizó durante  el sexenio 1981-1987. Información proporcionada para esta investigación en entrevista con ex funcionarios</w:t>
      </w:r>
      <w:r>
        <w:rPr>
          <w:spacing w:val="-7"/>
          <w:sz w:val="18"/>
        </w:rPr>
        <w:t> </w:t>
      </w:r>
      <w:r>
        <w:rPr>
          <w:sz w:val="18"/>
        </w:rPr>
        <w:t>estatales</w:t>
      </w:r>
      <w:r>
        <w:rPr>
          <w:spacing w:val="-8"/>
          <w:sz w:val="18"/>
        </w:rPr>
        <w:t> </w:t>
      </w:r>
      <w:r>
        <w:rPr>
          <w:sz w:val="18"/>
        </w:rPr>
        <w:t>participantes</w:t>
      </w:r>
      <w:r>
        <w:rPr>
          <w:spacing w:val="-7"/>
          <w:sz w:val="18"/>
        </w:rPr>
        <w:t> </w:t>
      </w:r>
      <w:r>
        <w:rPr>
          <w:sz w:val="18"/>
        </w:rPr>
        <w:t>en</w:t>
      </w:r>
      <w:r>
        <w:rPr>
          <w:spacing w:val="-7"/>
          <w:sz w:val="18"/>
        </w:rPr>
        <w:t> </w:t>
      </w:r>
      <w:r>
        <w:rPr>
          <w:sz w:val="18"/>
        </w:rPr>
        <w:t>los</w:t>
      </w:r>
      <w:r>
        <w:rPr>
          <w:spacing w:val="-7"/>
          <w:sz w:val="18"/>
        </w:rPr>
        <w:t> </w:t>
      </w:r>
      <w:r>
        <w:rPr>
          <w:sz w:val="18"/>
        </w:rPr>
        <w:t>proyectos</w:t>
      </w:r>
      <w:r>
        <w:rPr>
          <w:spacing w:val="-7"/>
          <w:sz w:val="18"/>
        </w:rPr>
        <w:t> </w:t>
      </w:r>
      <w:r>
        <w:rPr>
          <w:sz w:val="18"/>
        </w:rPr>
        <w:t>estratégicos</w:t>
      </w:r>
      <w:r>
        <w:rPr>
          <w:spacing w:val="-8"/>
          <w:sz w:val="18"/>
        </w:rPr>
        <w:t> </w:t>
      </w:r>
      <w:r>
        <w:rPr>
          <w:sz w:val="18"/>
        </w:rPr>
        <w:t>del</w:t>
      </w:r>
      <w:r>
        <w:rPr>
          <w:spacing w:val="-7"/>
          <w:sz w:val="18"/>
        </w:rPr>
        <w:t> </w:t>
      </w:r>
      <w:r>
        <w:rPr>
          <w:sz w:val="18"/>
        </w:rPr>
        <w:t>estado,</w:t>
      </w:r>
      <w:r>
        <w:rPr>
          <w:spacing w:val="-7"/>
          <w:sz w:val="18"/>
        </w:rPr>
        <w:t> </w:t>
      </w:r>
      <w:r>
        <w:rPr>
          <w:sz w:val="18"/>
        </w:rPr>
        <w:t>8</w:t>
      </w:r>
      <w:r>
        <w:rPr>
          <w:spacing w:val="-7"/>
          <w:sz w:val="18"/>
        </w:rPr>
        <w:t> </w:t>
      </w:r>
      <w:r>
        <w:rPr>
          <w:sz w:val="18"/>
        </w:rPr>
        <w:t>de</w:t>
      </w:r>
      <w:r>
        <w:rPr>
          <w:spacing w:val="-7"/>
          <w:sz w:val="18"/>
        </w:rPr>
        <w:t> </w:t>
      </w:r>
      <w:r>
        <w:rPr>
          <w:sz w:val="18"/>
        </w:rPr>
        <w:t>julio</w:t>
      </w:r>
      <w:r>
        <w:rPr>
          <w:spacing w:val="-7"/>
          <w:sz w:val="18"/>
        </w:rPr>
        <w:t> </w:t>
      </w:r>
      <w:r>
        <w:rPr>
          <w:sz w:val="18"/>
        </w:rPr>
        <w:t>del</w:t>
      </w:r>
      <w:r>
        <w:rPr>
          <w:spacing w:val="-7"/>
          <w:sz w:val="18"/>
        </w:rPr>
        <w:t> </w:t>
      </w:r>
      <w:r>
        <w:rPr>
          <w:sz w:val="18"/>
        </w:rPr>
        <w:t>2011.</w:t>
      </w:r>
    </w:p>
    <w:p>
      <w:pPr>
        <w:spacing w:after="0" w:line="200" w:lineRule="exact"/>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spacing w:line="260" w:lineRule="exact" w:before="77"/>
        <w:ind w:left="110" w:right="115" w:firstLine="0"/>
        <w:jc w:val="both"/>
        <w:rPr>
          <w:i/>
          <w:sz w:val="23"/>
        </w:rPr>
      </w:pPr>
      <w:r>
        <w:rPr>
          <w:sz w:val="23"/>
        </w:rPr>
        <w:t>un aeropuerto alternativo a la Ciudad de México en el año 2001, proceso    en el cual compitieron los estados de México, Puebla, Querétaro e Hidalgo. La propuesta hidalguense esgrimió las bondades de la zona geográfica: (se trata de un) </w:t>
      </w:r>
      <w:r>
        <w:rPr>
          <w:i/>
          <w:sz w:val="23"/>
        </w:rPr>
        <w:t>valle despejado, carente de contaminación, con clima que va de </w:t>
      </w:r>
      <w:r>
        <w:rPr>
          <w:i/>
          <w:sz w:val="23"/>
        </w:rPr>
        <w:t>seco a </w:t>
      </w:r>
      <w:r>
        <w:rPr>
          <w:i/>
          <w:spacing w:val="-3"/>
          <w:sz w:val="23"/>
        </w:rPr>
        <w:t>semiseco… </w:t>
      </w:r>
      <w:r>
        <w:rPr>
          <w:i/>
          <w:sz w:val="23"/>
        </w:rPr>
        <w:t>las </w:t>
      </w:r>
      <w:r>
        <w:rPr>
          <w:i/>
          <w:spacing w:val="-4"/>
          <w:sz w:val="23"/>
        </w:rPr>
        <w:t>precipitaciones </w:t>
      </w:r>
      <w:r>
        <w:rPr>
          <w:i/>
          <w:spacing w:val="-3"/>
          <w:sz w:val="23"/>
        </w:rPr>
        <w:t>anuales alcanzan </w:t>
      </w:r>
      <w:r>
        <w:rPr>
          <w:i/>
          <w:sz w:val="23"/>
        </w:rPr>
        <w:t>en </w:t>
      </w:r>
      <w:r>
        <w:rPr>
          <w:i/>
          <w:spacing w:val="-4"/>
          <w:sz w:val="23"/>
        </w:rPr>
        <w:t>promedio </w:t>
      </w:r>
      <w:r>
        <w:rPr>
          <w:i/>
          <w:sz w:val="23"/>
        </w:rPr>
        <w:t>350</w:t>
      </w:r>
      <w:r>
        <w:rPr>
          <w:i/>
          <w:spacing w:val="36"/>
          <w:sz w:val="23"/>
        </w:rPr>
        <w:t> </w:t>
      </w:r>
      <w:r>
        <w:rPr>
          <w:i/>
          <w:spacing w:val="-3"/>
          <w:sz w:val="23"/>
        </w:rPr>
        <w:t>mm,</w:t>
      </w:r>
    </w:p>
    <w:p>
      <w:pPr>
        <w:spacing w:line="235" w:lineRule="auto" w:before="0"/>
        <w:ind w:left="110" w:right="116" w:firstLine="0"/>
        <w:jc w:val="both"/>
        <w:rPr>
          <w:sz w:val="23"/>
        </w:rPr>
      </w:pPr>
      <w:r>
        <w:rPr>
          <w:i/>
          <w:sz w:val="23"/>
        </w:rPr>
        <w:t>–alrededor de la mitad de las del aeropuerto internacional de la ciudad de </w:t>
      </w:r>
      <w:r>
        <w:rPr>
          <w:i/>
          <w:sz w:val="23"/>
        </w:rPr>
        <w:t>México (AICM) y menos del 50 por ciento de las de Texcoco, que alcanzan 810 mm– . Esto significa que prácticamente no hay niebla. Adicionalmente, no existen elevaciones importantes en un perímetro de 18 kilómetros</w:t>
      </w:r>
      <w:r>
        <w:rPr>
          <w:position w:val="8"/>
          <w:sz w:val="13"/>
        </w:rPr>
        <w:t>117</w:t>
      </w:r>
      <w:r>
        <w:rPr>
          <w:sz w:val="23"/>
        </w:rPr>
        <w:t>.</w:t>
      </w:r>
    </w:p>
    <w:p>
      <w:pPr>
        <w:pStyle w:val="BodyText"/>
        <w:spacing w:before="7"/>
        <w:rPr>
          <w:sz w:val="22"/>
        </w:rPr>
      </w:pPr>
    </w:p>
    <w:p>
      <w:pPr>
        <w:spacing w:line="235" w:lineRule="auto" w:before="1"/>
        <w:ind w:left="110" w:right="115" w:firstLine="0"/>
        <w:jc w:val="both"/>
        <w:rPr>
          <w:i/>
          <w:sz w:val="23"/>
        </w:rPr>
      </w:pPr>
      <w:r>
        <w:rPr>
          <w:sz w:val="23"/>
        </w:rPr>
        <w:t>Sin embargo, la distancia con respecto a la ciudad central era la</w:t>
      </w:r>
      <w:r>
        <w:rPr>
          <w:spacing w:val="-20"/>
          <w:sz w:val="23"/>
        </w:rPr>
        <w:t> </w:t>
      </w:r>
      <w:r>
        <w:rPr>
          <w:sz w:val="23"/>
        </w:rPr>
        <w:t>determinante en contra de la propuesta, pese a ello, el gobierno estatal argumentaba lo siguiente: </w:t>
      </w:r>
      <w:r>
        <w:rPr>
          <w:i/>
          <w:sz w:val="23"/>
        </w:rPr>
        <w:t>el recorrido desde la estación de trenes en Buenavista podrá </w:t>
      </w:r>
      <w:r>
        <w:rPr>
          <w:i/>
          <w:sz w:val="23"/>
        </w:rPr>
        <w:t>realizarse</w:t>
      </w:r>
      <w:r>
        <w:rPr>
          <w:i/>
          <w:spacing w:val="-10"/>
          <w:sz w:val="23"/>
        </w:rPr>
        <w:t> </w:t>
      </w:r>
      <w:r>
        <w:rPr>
          <w:i/>
          <w:sz w:val="23"/>
        </w:rPr>
        <w:t>en</w:t>
      </w:r>
      <w:r>
        <w:rPr>
          <w:i/>
          <w:spacing w:val="-10"/>
          <w:sz w:val="23"/>
        </w:rPr>
        <w:t> </w:t>
      </w:r>
      <w:r>
        <w:rPr>
          <w:i/>
          <w:sz w:val="23"/>
        </w:rPr>
        <w:t>sólo</w:t>
      </w:r>
      <w:r>
        <w:rPr>
          <w:i/>
          <w:spacing w:val="-9"/>
          <w:sz w:val="23"/>
        </w:rPr>
        <w:t> </w:t>
      </w:r>
      <w:r>
        <w:rPr>
          <w:i/>
          <w:sz w:val="23"/>
        </w:rPr>
        <w:t>32</w:t>
      </w:r>
      <w:r>
        <w:rPr>
          <w:i/>
          <w:spacing w:val="-10"/>
          <w:sz w:val="23"/>
        </w:rPr>
        <w:t> </w:t>
      </w:r>
      <w:r>
        <w:rPr>
          <w:i/>
          <w:sz w:val="23"/>
        </w:rPr>
        <w:t>minutos</w:t>
      </w:r>
      <w:r>
        <w:rPr>
          <w:position w:val="8"/>
          <w:sz w:val="13"/>
        </w:rPr>
        <w:t>118</w:t>
      </w:r>
      <w:r>
        <w:rPr>
          <w:i/>
          <w:sz w:val="23"/>
        </w:rPr>
        <w:t>.</w:t>
      </w:r>
      <w:r>
        <w:rPr>
          <w:i/>
          <w:spacing w:val="-10"/>
          <w:sz w:val="23"/>
        </w:rPr>
        <w:t> </w:t>
      </w:r>
      <w:r>
        <w:rPr>
          <w:sz w:val="23"/>
        </w:rPr>
        <w:t>(El)</w:t>
      </w:r>
      <w:r>
        <w:rPr>
          <w:spacing w:val="-10"/>
          <w:sz w:val="23"/>
        </w:rPr>
        <w:t> </w:t>
      </w:r>
      <w:r>
        <w:rPr>
          <w:i/>
          <w:sz w:val="23"/>
        </w:rPr>
        <w:t>acceso</w:t>
      </w:r>
      <w:r>
        <w:rPr>
          <w:i/>
          <w:spacing w:val="-10"/>
          <w:sz w:val="23"/>
        </w:rPr>
        <w:t> </w:t>
      </w:r>
      <w:r>
        <w:rPr>
          <w:i/>
          <w:sz w:val="23"/>
        </w:rPr>
        <w:t>por</w:t>
      </w:r>
      <w:r>
        <w:rPr>
          <w:i/>
          <w:spacing w:val="-10"/>
          <w:sz w:val="23"/>
        </w:rPr>
        <w:t> </w:t>
      </w:r>
      <w:r>
        <w:rPr>
          <w:i/>
          <w:sz w:val="23"/>
        </w:rPr>
        <w:t>carretera</w:t>
      </w:r>
      <w:r>
        <w:rPr>
          <w:i/>
          <w:spacing w:val="-10"/>
          <w:sz w:val="23"/>
        </w:rPr>
        <w:t> </w:t>
      </w:r>
      <w:r>
        <w:rPr>
          <w:sz w:val="23"/>
        </w:rPr>
        <w:t>(se</w:t>
      </w:r>
      <w:r>
        <w:rPr>
          <w:spacing w:val="-10"/>
          <w:sz w:val="23"/>
        </w:rPr>
        <w:t> </w:t>
      </w:r>
      <w:r>
        <w:rPr>
          <w:sz w:val="23"/>
        </w:rPr>
        <w:t>optimizará</w:t>
      </w:r>
      <w:r>
        <w:rPr>
          <w:spacing w:val="-10"/>
          <w:sz w:val="23"/>
        </w:rPr>
        <w:t> </w:t>
      </w:r>
      <w:r>
        <w:rPr>
          <w:sz w:val="23"/>
        </w:rPr>
        <w:t>por) </w:t>
      </w:r>
      <w:r>
        <w:rPr>
          <w:i/>
          <w:sz w:val="23"/>
        </w:rPr>
        <w:t>la ampliación y mejoramiento de la salida a Indios </w:t>
      </w:r>
      <w:r>
        <w:rPr>
          <w:i/>
          <w:spacing w:val="-5"/>
          <w:sz w:val="23"/>
        </w:rPr>
        <w:t>Verdes, </w:t>
      </w:r>
      <w:r>
        <w:rPr>
          <w:i/>
          <w:sz w:val="23"/>
        </w:rPr>
        <w:t>lo cual permitirá </w:t>
      </w:r>
      <w:r>
        <w:rPr>
          <w:i/>
          <w:sz w:val="23"/>
        </w:rPr>
        <w:t>que se reduzca la duración del recorrido que actualmente es de 55 minutos, a menos de 40</w:t>
      </w:r>
      <w:r>
        <w:rPr>
          <w:position w:val="8"/>
          <w:sz w:val="13"/>
        </w:rPr>
        <w:t>119</w:t>
      </w:r>
      <w:r>
        <w:rPr>
          <w:i/>
          <w:sz w:val="23"/>
        </w:rPr>
        <w:t>. </w:t>
      </w:r>
      <w:r>
        <w:rPr>
          <w:sz w:val="23"/>
        </w:rPr>
        <w:t>(La ubicación del aeropuerto permitirá el) </w:t>
      </w:r>
      <w:r>
        <w:rPr>
          <w:i/>
          <w:sz w:val="23"/>
        </w:rPr>
        <w:t>vínculo Golfo- </w:t>
      </w:r>
      <w:r>
        <w:rPr>
          <w:i/>
          <w:sz w:val="23"/>
        </w:rPr>
        <w:t>Pacífico por la autopista Manzanillo</w:t>
      </w:r>
      <w:r>
        <w:rPr>
          <w:i/>
          <w:spacing w:val="-21"/>
          <w:sz w:val="23"/>
        </w:rPr>
        <w:t> </w:t>
      </w:r>
      <w:r>
        <w:rPr>
          <w:i/>
          <w:sz w:val="23"/>
        </w:rPr>
        <w:t>Tuxpan</w:t>
      </w:r>
      <w:r>
        <w:rPr>
          <w:position w:val="8"/>
          <w:sz w:val="13"/>
        </w:rPr>
        <w:t>120</w:t>
      </w:r>
      <w:r>
        <w:rPr>
          <w:i/>
          <w:sz w:val="23"/>
        </w:rPr>
        <w:t>.</w:t>
      </w:r>
    </w:p>
    <w:p>
      <w:pPr>
        <w:pStyle w:val="BodyText"/>
        <w:spacing w:before="10"/>
        <w:rPr>
          <w:i/>
          <w:sz w:val="22"/>
        </w:rPr>
      </w:pPr>
    </w:p>
    <w:p>
      <w:pPr>
        <w:pStyle w:val="BodyText"/>
        <w:spacing w:line="260" w:lineRule="exact"/>
        <w:ind w:left="110" w:right="115"/>
        <w:jc w:val="both"/>
      </w:pPr>
      <w:r>
        <w:rPr/>
        <w:t>En el año 2001, el gobierno federal falló a favor de la propuesta del gobierno del</w:t>
      </w:r>
      <w:r>
        <w:rPr>
          <w:spacing w:val="-10"/>
        </w:rPr>
        <w:t> </w:t>
      </w:r>
      <w:r>
        <w:rPr/>
        <w:t>Estado</w:t>
      </w:r>
      <w:r>
        <w:rPr>
          <w:spacing w:val="-11"/>
        </w:rPr>
        <w:t> </w:t>
      </w:r>
      <w:r>
        <w:rPr/>
        <w:t>de</w:t>
      </w:r>
      <w:r>
        <w:rPr>
          <w:spacing w:val="-10"/>
        </w:rPr>
        <w:t> </w:t>
      </w:r>
      <w:r>
        <w:rPr/>
        <w:t>México</w:t>
      </w:r>
      <w:r>
        <w:rPr>
          <w:spacing w:val="-10"/>
        </w:rPr>
        <w:t> </w:t>
      </w:r>
      <w:r>
        <w:rPr/>
        <w:t>sobre</w:t>
      </w:r>
      <w:r>
        <w:rPr>
          <w:spacing w:val="-10"/>
        </w:rPr>
        <w:t> </w:t>
      </w:r>
      <w:r>
        <w:rPr/>
        <w:t>establecer</w:t>
      </w:r>
      <w:r>
        <w:rPr>
          <w:spacing w:val="-11"/>
        </w:rPr>
        <w:t> </w:t>
      </w:r>
      <w:r>
        <w:rPr/>
        <w:t>un</w:t>
      </w:r>
      <w:r>
        <w:rPr>
          <w:spacing w:val="-10"/>
        </w:rPr>
        <w:t> </w:t>
      </w:r>
      <w:r>
        <w:rPr/>
        <w:t>aeropuerto</w:t>
      </w:r>
      <w:r>
        <w:rPr>
          <w:spacing w:val="-11"/>
        </w:rPr>
        <w:t> </w:t>
      </w:r>
      <w:r>
        <w:rPr/>
        <w:t>en</w:t>
      </w:r>
      <w:r>
        <w:rPr>
          <w:spacing w:val="-15"/>
        </w:rPr>
        <w:t> </w:t>
      </w:r>
      <w:r>
        <w:rPr>
          <w:spacing w:val="-3"/>
        </w:rPr>
        <w:t>Texcoco.</w:t>
      </w:r>
      <w:r>
        <w:rPr>
          <w:spacing w:val="-11"/>
        </w:rPr>
        <w:t> </w:t>
      </w:r>
      <w:r>
        <w:rPr/>
        <w:t>El</w:t>
      </w:r>
      <w:r>
        <w:rPr>
          <w:spacing w:val="-10"/>
        </w:rPr>
        <w:t> </w:t>
      </w:r>
      <w:r>
        <w:rPr/>
        <w:t>ejecutivo federal</w:t>
      </w:r>
      <w:r>
        <w:rPr>
          <w:spacing w:val="-6"/>
        </w:rPr>
        <w:t> </w:t>
      </w:r>
      <w:r>
        <w:rPr/>
        <w:t>decretó</w:t>
      </w:r>
      <w:r>
        <w:rPr>
          <w:spacing w:val="-6"/>
        </w:rPr>
        <w:t> </w:t>
      </w:r>
      <w:r>
        <w:rPr/>
        <w:t>la</w:t>
      </w:r>
      <w:r>
        <w:rPr>
          <w:spacing w:val="-6"/>
        </w:rPr>
        <w:t> </w:t>
      </w:r>
      <w:r>
        <w:rPr/>
        <w:t>expropiación</w:t>
      </w:r>
      <w:r>
        <w:rPr>
          <w:spacing w:val="-6"/>
        </w:rPr>
        <w:t> </w:t>
      </w:r>
      <w:r>
        <w:rPr/>
        <w:t>de</w:t>
      </w:r>
      <w:r>
        <w:rPr>
          <w:spacing w:val="-6"/>
        </w:rPr>
        <w:t> </w:t>
      </w:r>
      <w:r>
        <w:rPr/>
        <w:t>terrenos</w:t>
      </w:r>
      <w:r>
        <w:rPr>
          <w:spacing w:val="-6"/>
        </w:rPr>
        <w:t> </w:t>
      </w:r>
      <w:r>
        <w:rPr/>
        <w:t>ejidales</w:t>
      </w:r>
      <w:r>
        <w:rPr>
          <w:spacing w:val="-6"/>
        </w:rPr>
        <w:t> </w:t>
      </w:r>
      <w:r>
        <w:rPr/>
        <w:t>en</w:t>
      </w:r>
      <w:r>
        <w:rPr>
          <w:spacing w:val="-6"/>
        </w:rPr>
        <w:t> </w:t>
      </w:r>
      <w:r>
        <w:rPr/>
        <w:t>San</w:t>
      </w:r>
      <w:r>
        <w:rPr>
          <w:spacing w:val="-5"/>
        </w:rPr>
        <w:t> </w:t>
      </w:r>
      <w:r>
        <w:rPr/>
        <w:t>Salvador</w:t>
      </w:r>
      <w:r>
        <w:rPr>
          <w:spacing w:val="-17"/>
        </w:rPr>
        <w:t> </w:t>
      </w:r>
      <w:r>
        <w:rPr/>
        <w:t>Atenco</w:t>
      </w:r>
      <w:r>
        <w:rPr>
          <w:spacing w:val="-5"/>
        </w:rPr>
        <w:t> </w:t>
      </w:r>
      <w:r>
        <w:rPr/>
        <w:t>y el gobierno mexiquense se dispuso a cubrir las indemnizaciones, no</w:t>
      </w:r>
      <w:r>
        <w:rPr>
          <w:spacing w:val="-36"/>
        </w:rPr>
        <w:t> </w:t>
      </w:r>
      <w:r>
        <w:rPr/>
        <w:t>obstante, el núcleo ejidal protagonizó una sólida resistencia al proyecto hasta lograr, </w:t>
      </w:r>
      <w:r>
        <w:rPr>
          <w:i/>
        </w:rPr>
        <w:t>a </w:t>
      </w:r>
      <w:r>
        <w:rPr>
          <w:i/>
        </w:rPr>
        <w:t>filo</w:t>
      </w:r>
      <w:r>
        <w:rPr>
          <w:i/>
          <w:spacing w:val="-6"/>
        </w:rPr>
        <w:t> </w:t>
      </w:r>
      <w:r>
        <w:rPr>
          <w:i/>
        </w:rPr>
        <w:t>de</w:t>
      </w:r>
      <w:r>
        <w:rPr>
          <w:i/>
          <w:spacing w:val="-6"/>
        </w:rPr>
        <w:t> </w:t>
      </w:r>
      <w:r>
        <w:rPr>
          <w:i/>
        </w:rPr>
        <w:t>machete</w:t>
      </w:r>
      <w:r>
        <w:rPr/>
        <w:t>,</w:t>
      </w:r>
      <w:r>
        <w:rPr>
          <w:spacing w:val="-5"/>
        </w:rPr>
        <w:t> </w:t>
      </w:r>
      <w:r>
        <w:rPr/>
        <w:t>la</w:t>
      </w:r>
      <w:r>
        <w:rPr>
          <w:spacing w:val="-6"/>
        </w:rPr>
        <w:t> </w:t>
      </w:r>
      <w:r>
        <w:rPr/>
        <w:t>cancelación.</w:t>
      </w:r>
      <w:r>
        <w:rPr>
          <w:spacing w:val="-6"/>
        </w:rPr>
        <w:t> </w:t>
      </w:r>
      <w:r>
        <w:rPr/>
        <w:t>La</w:t>
      </w:r>
      <w:r>
        <w:rPr>
          <w:spacing w:val="-6"/>
        </w:rPr>
        <w:t> </w:t>
      </w:r>
      <w:r>
        <w:rPr/>
        <w:t>resolución</w:t>
      </w:r>
      <w:r>
        <w:rPr>
          <w:spacing w:val="-6"/>
        </w:rPr>
        <w:t> </w:t>
      </w:r>
      <w:r>
        <w:rPr/>
        <w:t>obligada</w:t>
      </w:r>
      <w:r>
        <w:rPr>
          <w:spacing w:val="-6"/>
        </w:rPr>
        <w:t> </w:t>
      </w:r>
      <w:r>
        <w:rPr/>
        <w:t>fue</w:t>
      </w:r>
      <w:r>
        <w:rPr>
          <w:spacing w:val="-6"/>
        </w:rPr>
        <w:t> </w:t>
      </w:r>
      <w:r>
        <w:rPr/>
        <w:t>la</w:t>
      </w:r>
      <w:r>
        <w:rPr>
          <w:spacing w:val="-6"/>
        </w:rPr>
        <w:t> </w:t>
      </w:r>
      <w:r>
        <w:rPr/>
        <w:t>construcción</w:t>
      </w:r>
      <w:r>
        <w:rPr>
          <w:spacing w:val="-6"/>
        </w:rPr>
        <w:t> </w:t>
      </w:r>
      <w:r>
        <w:rPr/>
        <w:t>de la terminal dos del aeropuerto internacional de la Cuidad de México en</w:t>
      </w:r>
      <w:r>
        <w:rPr>
          <w:spacing w:val="-32"/>
        </w:rPr>
        <w:t> </w:t>
      </w:r>
      <w:r>
        <w:rPr/>
        <w:t>2001, así como la remodelación de la terminal uno en 2004, por lo que las</w:t>
      </w:r>
      <w:r>
        <w:rPr>
          <w:spacing w:val="-29"/>
        </w:rPr>
        <w:t> </w:t>
      </w:r>
      <w:r>
        <w:rPr/>
        <w:t>opciones de los estados de Querétaro, Puebla e Hidalgo fueron</w:t>
      </w:r>
      <w:r>
        <w:rPr>
          <w:spacing w:val="-22"/>
        </w:rPr>
        <w:t> </w:t>
      </w:r>
      <w:r>
        <w:rPr/>
        <w:t>desechadas.</w:t>
      </w:r>
    </w:p>
    <w:p>
      <w:pPr>
        <w:pStyle w:val="BodyText"/>
        <w:spacing w:before="7"/>
        <w:rPr>
          <w:sz w:val="22"/>
        </w:rPr>
      </w:pPr>
    </w:p>
    <w:p>
      <w:pPr>
        <w:pStyle w:val="BodyText"/>
        <w:spacing w:line="260" w:lineRule="exact"/>
        <w:ind w:left="110" w:right="115"/>
        <w:jc w:val="both"/>
      </w:pPr>
      <w:r>
        <w:rPr/>
        <w:t>Con tales antecedentes, el trámite del gobierno hidalguense sobre la terminal aérea</w:t>
      </w:r>
      <w:r>
        <w:rPr>
          <w:spacing w:val="-20"/>
        </w:rPr>
        <w:t> </w:t>
      </w:r>
      <w:r>
        <w:rPr/>
        <w:t>del</w:t>
      </w:r>
      <w:r>
        <w:rPr>
          <w:spacing w:val="-19"/>
        </w:rPr>
        <w:t> </w:t>
      </w:r>
      <w:r>
        <w:rPr/>
        <w:t>proyecto</w:t>
      </w:r>
      <w:r>
        <w:rPr>
          <w:spacing w:val="-19"/>
        </w:rPr>
        <w:t> </w:t>
      </w:r>
      <w:r>
        <w:rPr>
          <w:spacing w:val="-8"/>
        </w:rPr>
        <w:t>PLATAH</w:t>
      </w:r>
      <w:r>
        <w:rPr>
          <w:spacing w:val="-19"/>
        </w:rPr>
        <w:t> </w:t>
      </w:r>
      <w:r>
        <w:rPr/>
        <w:t>está</w:t>
      </w:r>
      <w:r>
        <w:rPr>
          <w:spacing w:val="-20"/>
        </w:rPr>
        <w:t> </w:t>
      </w:r>
      <w:r>
        <w:rPr/>
        <w:t>aún</w:t>
      </w:r>
      <w:r>
        <w:rPr>
          <w:spacing w:val="-19"/>
        </w:rPr>
        <w:t> </w:t>
      </w:r>
      <w:r>
        <w:rPr/>
        <w:t>pendiente</w:t>
      </w:r>
      <w:r>
        <w:rPr>
          <w:spacing w:val="-19"/>
        </w:rPr>
        <w:t> </w:t>
      </w:r>
      <w:r>
        <w:rPr/>
        <w:t>según</w:t>
      </w:r>
      <w:r>
        <w:rPr>
          <w:spacing w:val="-19"/>
        </w:rPr>
        <w:t> </w:t>
      </w:r>
      <w:r>
        <w:rPr/>
        <w:t>las</w:t>
      </w:r>
      <w:r>
        <w:rPr>
          <w:spacing w:val="-19"/>
        </w:rPr>
        <w:t> </w:t>
      </w:r>
      <w:r>
        <w:rPr/>
        <w:t>mismas</w:t>
      </w:r>
      <w:r>
        <w:rPr>
          <w:spacing w:val="-20"/>
        </w:rPr>
        <w:t> </w:t>
      </w:r>
      <w:r>
        <w:rPr/>
        <w:t>dos</w:t>
      </w:r>
      <w:r>
        <w:rPr>
          <w:spacing w:val="-19"/>
        </w:rPr>
        <w:t> </w:t>
      </w:r>
      <w:r>
        <w:rPr/>
        <w:t>opciones</w:t>
      </w:r>
    </w:p>
    <w:p>
      <w:pPr>
        <w:pStyle w:val="BodyText"/>
        <w:spacing w:before="10"/>
        <w:rPr>
          <w:sz w:val="27"/>
        </w:rPr>
      </w:pPr>
      <w:r>
        <w:rPr/>
        <w:pict>
          <v:line style="position:absolute;mso-position-horizontal-relative:page;mso-position-vertical-relative:paragraph;z-index:2560;mso-wrap-distance-left:0;mso-wrap-distance-right:0" from="42.519699pt,18.504601pt" to="114.519699pt,18.504601pt" stroked="true" strokeweight="1pt" strokecolor="#000000">
            <w10:wrap type="topAndBottom"/>
          </v:line>
        </w:pict>
      </w:r>
    </w:p>
    <w:p>
      <w:pPr>
        <w:spacing w:line="249" w:lineRule="auto" w:before="28"/>
        <w:ind w:left="393" w:right="114" w:hanging="284"/>
        <w:jc w:val="both"/>
        <w:rPr>
          <w:sz w:val="18"/>
        </w:rPr>
      </w:pPr>
      <w:r>
        <w:rPr>
          <w:position w:val="7"/>
          <w:sz w:val="11"/>
        </w:rPr>
        <w:t>117 </w:t>
      </w:r>
      <w:r>
        <w:rPr>
          <w:sz w:val="18"/>
        </w:rPr>
        <w:t>Gobierno del Estado de Hidalgo, </w:t>
      </w:r>
      <w:r>
        <w:rPr>
          <w:i/>
          <w:sz w:val="18"/>
        </w:rPr>
        <w:t>aeropuerto Tizayuca</w:t>
      </w:r>
      <w:r>
        <w:rPr>
          <w:sz w:val="18"/>
        </w:rPr>
        <w:t>, México, folio 069548, biblioteca central del Estado de Hidalgo, p. 5.</w:t>
      </w:r>
    </w:p>
    <w:p>
      <w:pPr>
        <w:spacing w:line="249" w:lineRule="auto" w:before="20"/>
        <w:ind w:left="393" w:right="117" w:hanging="284"/>
        <w:jc w:val="both"/>
        <w:rPr>
          <w:sz w:val="18"/>
        </w:rPr>
      </w:pPr>
      <w:r>
        <w:rPr>
          <w:position w:val="7"/>
          <w:sz w:val="11"/>
        </w:rPr>
        <w:t>118 </w:t>
      </w:r>
      <w:r>
        <w:rPr>
          <w:sz w:val="18"/>
        </w:rPr>
        <w:t>Se recalca que a la fecha prácticamente no hay tránsito férreo en esa vía, mucho menos de pasajeros.</w:t>
      </w:r>
    </w:p>
    <w:p>
      <w:pPr>
        <w:spacing w:before="20"/>
        <w:ind w:left="110" w:right="0" w:firstLine="0"/>
        <w:jc w:val="left"/>
        <w:rPr>
          <w:sz w:val="18"/>
        </w:rPr>
      </w:pPr>
      <w:r>
        <w:rPr>
          <w:position w:val="7"/>
          <w:sz w:val="11"/>
        </w:rPr>
        <w:t>119    </w:t>
      </w:r>
      <w:r>
        <w:rPr>
          <w:i/>
          <w:sz w:val="18"/>
        </w:rPr>
        <w:t>Ibídem, </w:t>
      </w:r>
      <w:r>
        <w:rPr>
          <w:sz w:val="18"/>
        </w:rPr>
        <w:t>p. 9.</w:t>
      </w:r>
    </w:p>
    <w:p>
      <w:pPr>
        <w:spacing w:line="249" w:lineRule="auto" w:before="28"/>
        <w:ind w:left="393" w:right="115" w:hanging="284"/>
        <w:jc w:val="both"/>
        <w:rPr>
          <w:sz w:val="18"/>
        </w:rPr>
      </w:pPr>
      <w:r>
        <w:rPr>
          <w:position w:val="7"/>
          <w:sz w:val="11"/>
        </w:rPr>
        <w:t>120 </w:t>
      </w:r>
      <w:r>
        <w:rPr>
          <w:i/>
          <w:sz w:val="18"/>
        </w:rPr>
        <w:t>Ibídem, </w:t>
      </w:r>
      <w:r>
        <w:rPr>
          <w:sz w:val="18"/>
        </w:rPr>
        <w:t>p. 21. Se aclara que la autopista Manzanillo Tuxpan a la fecha no existe, sólo se han abierto a la circulación algunos tramos que representan un porcentaje mínimo de la longitud total prevista.</w:t>
      </w:r>
    </w:p>
    <w:p>
      <w:pPr>
        <w:spacing w:after="0" w:line="249" w:lineRule="auto"/>
        <w:jc w:val="both"/>
        <w:rPr>
          <w:sz w:val="18"/>
        </w:rPr>
        <w:sectPr>
          <w:pgSz w:w="9360" w:h="13040"/>
          <w:pgMar w:header="527" w:footer="515" w:top="720" w:bottom="700" w:left="740" w:right="1300"/>
        </w:sectPr>
      </w:pPr>
    </w:p>
    <w:p>
      <w:pPr>
        <w:pStyle w:val="BodyText"/>
        <w:spacing w:before="11"/>
        <w:rPr>
          <w:sz w:val="29"/>
        </w:rPr>
      </w:pPr>
    </w:p>
    <w:p>
      <w:pPr>
        <w:spacing w:line="235" w:lineRule="auto" w:before="75"/>
        <w:ind w:left="117" w:right="107" w:hanging="1"/>
        <w:jc w:val="both"/>
        <w:rPr>
          <w:sz w:val="23"/>
        </w:rPr>
      </w:pPr>
      <w:r>
        <w:rPr>
          <w:sz w:val="23"/>
        </w:rPr>
        <w:t>iniciales: un aeropuerto de carga o el traslado del aeropuerto de Pachuca</w:t>
      </w:r>
      <w:r>
        <w:rPr>
          <w:position w:val="8"/>
          <w:sz w:val="13"/>
        </w:rPr>
        <w:t>121</w:t>
      </w:r>
      <w:r>
        <w:rPr>
          <w:sz w:val="23"/>
        </w:rPr>
        <w:t>. Durante</w:t>
      </w:r>
      <w:r>
        <w:rPr>
          <w:spacing w:val="-9"/>
          <w:sz w:val="23"/>
        </w:rPr>
        <w:t> </w:t>
      </w:r>
      <w:r>
        <w:rPr>
          <w:sz w:val="23"/>
        </w:rPr>
        <w:t>el</w:t>
      </w:r>
      <w:r>
        <w:rPr>
          <w:spacing w:val="-9"/>
          <w:sz w:val="23"/>
        </w:rPr>
        <w:t> </w:t>
      </w:r>
      <w:r>
        <w:rPr>
          <w:sz w:val="23"/>
        </w:rPr>
        <w:t>desarrollo</w:t>
      </w:r>
      <w:r>
        <w:rPr>
          <w:spacing w:val="-9"/>
          <w:sz w:val="23"/>
        </w:rPr>
        <w:t> </w:t>
      </w:r>
      <w:r>
        <w:rPr>
          <w:sz w:val="23"/>
        </w:rPr>
        <w:t>inicial</w:t>
      </w:r>
      <w:r>
        <w:rPr>
          <w:spacing w:val="-10"/>
          <w:sz w:val="23"/>
        </w:rPr>
        <w:t> </w:t>
      </w:r>
      <w:r>
        <w:rPr>
          <w:sz w:val="23"/>
        </w:rPr>
        <w:t>de</w:t>
      </w:r>
      <w:r>
        <w:rPr>
          <w:spacing w:val="-9"/>
          <w:sz w:val="23"/>
        </w:rPr>
        <w:t> </w:t>
      </w:r>
      <w:r>
        <w:rPr>
          <w:sz w:val="23"/>
        </w:rPr>
        <w:t>la</w:t>
      </w:r>
      <w:r>
        <w:rPr>
          <w:spacing w:val="-9"/>
          <w:sz w:val="23"/>
        </w:rPr>
        <w:t> </w:t>
      </w:r>
      <w:r>
        <w:rPr>
          <w:sz w:val="23"/>
        </w:rPr>
        <w:t>presente</w:t>
      </w:r>
      <w:r>
        <w:rPr>
          <w:spacing w:val="-9"/>
          <w:sz w:val="23"/>
        </w:rPr>
        <w:t> </w:t>
      </w:r>
      <w:r>
        <w:rPr>
          <w:sz w:val="23"/>
        </w:rPr>
        <w:t>investigación,</w:t>
      </w:r>
      <w:r>
        <w:rPr>
          <w:spacing w:val="-10"/>
          <w:sz w:val="23"/>
        </w:rPr>
        <w:t> </w:t>
      </w:r>
      <w:r>
        <w:rPr>
          <w:sz w:val="23"/>
        </w:rPr>
        <w:t>la</w:t>
      </w:r>
      <w:r>
        <w:rPr>
          <w:spacing w:val="-9"/>
          <w:sz w:val="23"/>
        </w:rPr>
        <w:t> </w:t>
      </w:r>
      <w:r>
        <w:rPr>
          <w:sz w:val="23"/>
        </w:rPr>
        <w:t>SCT</w:t>
      </w:r>
      <w:r>
        <w:rPr>
          <w:spacing w:val="-13"/>
          <w:sz w:val="23"/>
        </w:rPr>
        <w:t> </w:t>
      </w:r>
      <w:r>
        <w:rPr>
          <w:sz w:val="23"/>
        </w:rPr>
        <w:t>manifiestaba que el trámite respectivo se encontraba en la etapa de </w:t>
      </w:r>
      <w:r>
        <w:rPr>
          <w:i/>
          <w:sz w:val="23"/>
        </w:rPr>
        <w:t>acreditación de </w:t>
      </w:r>
      <w:r>
        <w:rPr>
          <w:i/>
          <w:sz w:val="23"/>
        </w:rPr>
        <w:t>capacidades</w:t>
      </w:r>
      <w:r>
        <w:rPr>
          <w:i/>
          <w:spacing w:val="-13"/>
          <w:sz w:val="23"/>
        </w:rPr>
        <w:t> </w:t>
      </w:r>
      <w:r>
        <w:rPr>
          <w:i/>
          <w:sz w:val="23"/>
        </w:rPr>
        <w:t>jurídica,</w:t>
      </w:r>
      <w:r>
        <w:rPr>
          <w:i/>
          <w:spacing w:val="-13"/>
          <w:sz w:val="23"/>
        </w:rPr>
        <w:t> </w:t>
      </w:r>
      <w:r>
        <w:rPr>
          <w:i/>
          <w:sz w:val="23"/>
        </w:rPr>
        <w:t>técnica,</w:t>
      </w:r>
      <w:r>
        <w:rPr>
          <w:i/>
          <w:spacing w:val="-13"/>
          <w:sz w:val="23"/>
        </w:rPr>
        <w:t> </w:t>
      </w:r>
      <w:r>
        <w:rPr>
          <w:i/>
          <w:sz w:val="23"/>
        </w:rPr>
        <w:t>financiera</w:t>
      </w:r>
      <w:r>
        <w:rPr>
          <w:i/>
          <w:spacing w:val="-13"/>
          <w:sz w:val="23"/>
        </w:rPr>
        <w:t> </w:t>
      </w:r>
      <w:r>
        <w:rPr>
          <w:i/>
          <w:sz w:val="23"/>
        </w:rPr>
        <w:t>y</w:t>
      </w:r>
      <w:r>
        <w:rPr>
          <w:i/>
          <w:spacing w:val="-13"/>
          <w:sz w:val="23"/>
        </w:rPr>
        <w:t> </w:t>
      </w:r>
      <w:r>
        <w:rPr>
          <w:i/>
          <w:sz w:val="23"/>
        </w:rPr>
        <w:t>administrativa</w:t>
      </w:r>
      <w:r>
        <w:rPr>
          <w:i/>
          <w:spacing w:val="-13"/>
          <w:sz w:val="23"/>
        </w:rPr>
        <w:t> </w:t>
      </w:r>
      <w:r>
        <w:rPr>
          <w:i/>
          <w:sz w:val="23"/>
        </w:rPr>
        <w:t>para</w:t>
      </w:r>
      <w:r>
        <w:rPr>
          <w:i/>
          <w:spacing w:val="-13"/>
          <w:sz w:val="23"/>
        </w:rPr>
        <w:t> </w:t>
      </w:r>
      <w:r>
        <w:rPr>
          <w:i/>
          <w:sz w:val="23"/>
        </w:rPr>
        <w:t>la</w:t>
      </w:r>
      <w:r>
        <w:rPr>
          <w:i/>
          <w:spacing w:val="-13"/>
          <w:sz w:val="23"/>
        </w:rPr>
        <w:t> </w:t>
      </w:r>
      <w:r>
        <w:rPr>
          <w:i/>
          <w:sz w:val="23"/>
        </w:rPr>
        <w:t>integración del expediente que comprende la documentación que presenta el solicitante, conforme a la ley de aeropuertos y su reglamento. El solicitante de una concesión para </w:t>
      </w:r>
      <w:r>
        <w:rPr>
          <w:i/>
          <w:spacing w:val="-3"/>
          <w:sz w:val="23"/>
        </w:rPr>
        <w:t>construir, explotar, </w:t>
      </w:r>
      <w:r>
        <w:rPr>
          <w:i/>
          <w:sz w:val="23"/>
        </w:rPr>
        <w:t>administrar  y operar  un aeropuerto en el Estado de Hidalgo (mismo que nos ocupa en el presente), se encuentra en esa etapa, ya que ha presentado algunos documentos, más no la totalidad de ellos</w:t>
      </w:r>
      <w:r>
        <w:rPr>
          <w:position w:val="8"/>
          <w:sz w:val="13"/>
        </w:rPr>
        <w:t>122</w:t>
      </w:r>
      <w:r>
        <w:rPr>
          <w:sz w:val="23"/>
        </w:rPr>
        <w:t>.</w:t>
      </w:r>
      <w:r>
        <w:rPr>
          <w:spacing w:val="-9"/>
          <w:sz w:val="23"/>
        </w:rPr>
        <w:t> </w:t>
      </w:r>
      <w:r>
        <w:rPr>
          <w:sz w:val="23"/>
        </w:rPr>
        <w:t>Para</w:t>
      </w:r>
      <w:r>
        <w:rPr>
          <w:spacing w:val="-9"/>
          <w:sz w:val="23"/>
        </w:rPr>
        <w:t> </w:t>
      </w:r>
      <w:r>
        <w:rPr>
          <w:sz w:val="23"/>
        </w:rPr>
        <w:t>ese</w:t>
      </w:r>
      <w:r>
        <w:rPr>
          <w:spacing w:val="-9"/>
          <w:sz w:val="23"/>
        </w:rPr>
        <w:t> </w:t>
      </w:r>
      <w:r>
        <w:rPr>
          <w:sz w:val="23"/>
        </w:rPr>
        <w:t>momento,</w:t>
      </w:r>
      <w:r>
        <w:rPr>
          <w:spacing w:val="-10"/>
          <w:sz w:val="23"/>
        </w:rPr>
        <w:t> </w:t>
      </w:r>
      <w:r>
        <w:rPr>
          <w:sz w:val="23"/>
        </w:rPr>
        <w:t>las</w:t>
      </w:r>
      <w:r>
        <w:rPr>
          <w:spacing w:val="-9"/>
          <w:sz w:val="23"/>
        </w:rPr>
        <w:t> </w:t>
      </w:r>
      <w:r>
        <w:rPr>
          <w:sz w:val="23"/>
        </w:rPr>
        <w:t>etapas</w:t>
      </w:r>
      <w:r>
        <w:rPr>
          <w:spacing w:val="-9"/>
          <w:sz w:val="23"/>
        </w:rPr>
        <w:t> </w:t>
      </w:r>
      <w:r>
        <w:rPr>
          <w:sz w:val="23"/>
        </w:rPr>
        <w:t>de</w:t>
      </w:r>
      <w:r>
        <w:rPr>
          <w:spacing w:val="-9"/>
          <w:sz w:val="23"/>
        </w:rPr>
        <w:t> </w:t>
      </w:r>
      <w:r>
        <w:rPr>
          <w:sz w:val="23"/>
        </w:rPr>
        <w:t>análisis</w:t>
      </w:r>
      <w:r>
        <w:rPr>
          <w:spacing w:val="-10"/>
          <w:sz w:val="23"/>
        </w:rPr>
        <w:t> </w:t>
      </w:r>
      <w:r>
        <w:rPr>
          <w:sz w:val="23"/>
        </w:rPr>
        <w:t>de</w:t>
      </w:r>
      <w:r>
        <w:rPr>
          <w:spacing w:val="-9"/>
          <w:sz w:val="23"/>
        </w:rPr>
        <w:t> </w:t>
      </w:r>
      <w:r>
        <w:rPr>
          <w:sz w:val="23"/>
        </w:rPr>
        <w:t>la</w:t>
      </w:r>
      <w:r>
        <w:rPr>
          <w:spacing w:val="-9"/>
          <w:sz w:val="23"/>
        </w:rPr>
        <w:t> </w:t>
      </w:r>
      <w:r>
        <w:rPr>
          <w:sz w:val="23"/>
        </w:rPr>
        <w:t>información</w:t>
      </w:r>
      <w:r>
        <w:rPr>
          <w:spacing w:val="-9"/>
          <w:sz w:val="23"/>
        </w:rPr>
        <w:t> </w:t>
      </w:r>
      <w:r>
        <w:rPr>
          <w:sz w:val="23"/>
        </w:rPr>
        <w:t>presentada y</w:t>
      </w:r>
      <w:r>
        <w:rPr>
          <w:spacing w:val="-17"/>
          <w:sz w:val="23"/>
        </w:rPr>
        <w:t> </w:t>
      </w:r>
      <w:r>
        <w:rPr>
          <w:sz w:val="23"/>
        </w:rPr>
        <w:t>de</w:t>
      </w:r>
      <w:r>
        <w:rPr>
          <w:spacing w:val="-17"/>
          <w:sz w:val="23"/>
        </w:rPr>
        <w:t> </w:t>
      </w:r>
      <w:r>
        <w:rPr>
          <w:sz w:val="23"/>
        </w:rPr>
        <w:t>resolución</w:t>
      </w:r>
      <w:r>
        <w:rPr>
          <w:spacing w:val="-17"/>
          <w:sz w:val="23"/>
        </w:rPr>
        <w:t> </w:t>
      </w:r>
      <w:r>
        <w:rPr>
          <w:sz w:val="23"/>
        </w:rPr>
        <w:t>estaban</w:t>
      </w:r>
      <w:r>
        <w:rPr>
          <w:spacing w:val="-17"/>
          <w:sz w:val="23"/>
        </w:rPr>
        <w:t> </w:t>
      </w:r>
      <w:r>
        <w:rPr>
          <w:sz w:val="23"/>
        </w:rPr>
        <w:t>condicionadas</w:t>
      </w:r>
      <w:r>
        <w:rPr>
          <w:spacing w:val="-18"/>
          <w:sz w:val="23"/>
        </w:rPr>
        <w:t> </w:t>
      </w:r>
      <w:r>
        <w:rPr>
          <w:sz w:val="23"/>
        </w:rPr>
        <w:t>a</w:t>
      </w:r>
      <w:r>
        <w:rPr>
          <w:spacing w:val="-17"/>
          <w:sz w:val="23"/>
        </w:rPr>
        <w:t> </w:t>
      </w:r>
      <w:r>
        <w:rPr>
          <w:sz w:val="23"/>
        </w:rPr>
        <w:t>que</w:t>
      </w:r>
      <w:r>
        <w:rPr>
          <w:spacing w:val="-17"/>
          <w:sz w:val="23"/>
        </w:rPr>
        <w:t> </w:t>
      </w:r>
      <w:r>
        <w:rPr>
          <w:sz w:val="23"/>
        </w:rPr>
        <w:t>el</w:t>
      </w:r>
      <w:r>
        <w:rPr>
          <w:spacing w:val="-17"/>
          <w:sz w:val="23"/>
        </w:rPr>
        <w:t> </w:t>
      </w:r>
      <w:r>
        <w:rPr>
          <w:sz w:val="23"/>
        </w:rPr>
        <w:t>gobierno</w:t>
      </w:r>
      <w:r>
        <w:rPr>
          <w:spacing w:val="-17"/>
          <w:sz w:val="23"/>
        </w:rPr>
        <w:t> </w:t>
      </w:r>
      <w:r>
        <w:rPr>
          <w:sz w:val="23"/>
        </w:rPr>
        <w:t>del</w:t>
      </w:r>
      <w:r>
        <w:rPr>
          <w:spacing w:val="-17"/>
          <w:sz w:val="23"/>
        </w:rPr>
        <w:t> </w:t>
      </w:r>
      <w:r>
        <w:rPr>
          <w:sz w:val="23"/>
        </w:rPr>
        <w:t>Estado</w:t>
      </w:r>
      <w:r>
        <w:rPr>
          <w:spacing w:val="-17"/>
          <w:sz w:val="23"/>
        </w:rPr>
        <w:t> </w:t>
      </w:r>
      <w:r>
        <w:rPr>
          <w:sz w:val="23"/>
        </w:rPr>
        <w:t>de</w:t>
      </w:r>
      <w:r>
        <w:rPr>
          <w:spacing w:val="-17"/>
          <w:sz w:val="23"/>
        </w:rPr>
        <w:t> </w:t>
      </w:r>
      <w:r>
        <w:rPr>
          <w:sz w:val="23"/>
        </w:rPr>
        <w:t>Hidalgo complementara el expediente de su solicitud, para lo cual la SCT estimaba que el trámite completo sería efectuado en tres</w:t>
      </w:r>
      <w:r>
        <w:rPr>
          <w:spacing w:val="-4"/>
          <w:sz w:val="23"/>
        </w:rPr>
        <w:t> </w:t>
      </w:r>
      <w:r>
        <w:rPr>
          <w:sz w:val="23"/>
        </w:rPr>
        <w:t>años</w:t>
      </w:r>
      <w:r>
        <w:rPr>
          <w:position w:val="8"/>
          <w:sz w:val="13"/>
        </w:rPr>
        <w:t>123</w:t>
      </w:r>
      <w:r>
        <w:rPr>
          <w:sz w:val="23"/>
        </w:rPr>
        <w:t>.</w:t>
      </w:r>
    </w:p>
    <w:p>
      <w:pPr>
        <w:pStyle w:val="BodyText"/>
        <w:spacing w:before="7"/>
        <w:rPr>
          <w:sz w:val="22"/>
        </w:rPr>
      </w:pPr>
    </w:p>
    <w:p>
      <w:pPr>
        <w:pStyle w:val="BodyText"/>
        <w:spacing w:line="235" w:lineRule="auto" w:before="1"/>
        <w:ind w:left="117" w:right="107"/>
        <w:jc w:val="both"/>
      </w:pPr>
      <w:r>
        <w:rPr/>
        <w:t>En</w:t>
      </w:r>
      <w:r>
        <w:rPr>
          <w:spacing w:val="-12"/>
        </w:rPr>
        <w:t> </w:t>
      </w:r>
      <w:r>
        <w:rPr/>
        <w:t>contraparte,</w:t>
      </w:r>
      <w:r>
        <w:rPr>
          <w:spacing w:val="-12"/>
        </w:rPr>
        <w:t> </w:t>
      </w:r>
      <w:r>
        <w:rPr/>
        <w:t>los</w:t>
      </w:r>
      <w:r>
        <w:rPr>
          <w:spacing w:val="-12"/>
        </w:rPr>
        <w:t> </w:t>
      </w:r>
      <w:r>
        <w:rPr/>
        <w:t>funcionarios</w:t>
      </w:r>
      <w:r>
        <w:rPr>
          <w:spacing w:val="-12"/>
        </w:rPr>
        <w:t> </w:t>
      </w:r>
      <w:r>
        <w:rPr/>
        <w:t>estatales</w:t>
      </w:r>
      <w:r>
        <w:rPr>
          <w:spacing w:val="-13"/>
        </w:rPr>
        <w:t> </w:t>
      </w:r>
      <w:r>
        <w:rPr/>
        <w:t>tenían</w:t>
      </w:r>
      <w:r>
        <w:rPr>
          <w:spacing w:val="-13"/>
        </w:rPr>
        <w:t> </w:t>
      </w:r>
      <w:r>
        <w:rPr/>
        <w:t>la</w:t>
      </w:r>
      <w:r>
        <w:rPr>
          <w:spacing w:val="-12"/>
        </w:rPr>
        <w:t> </w:t>
      </w:r>
      <w:r>
        <w:rPr/>
        <w:t>seguridad</w:t>
      </w:r>
      <w:r>
        <w:rPr>
          <w:spacing w:val="-12"/>
        </w:rPr>
        <w:t> </w:t>
      </w:r>
      <w:r>
        <w:rPr/>
        <w:t>de</w:t>
      </w:r>
      <w:r>
        <w:rPr>
          <w:spacing w:val="-12"/>
        </w:rPr>
        <w:t> </w:t>
      </w:r>
      <w:r>
        <w:rPr/>
        <w:t>que</w:t>
      </w:r>
      <w:r>
        <w:rPr>
          <w:spacing w:val="-12"/>
        </w:rPr>
        <w:t> </w:t>
      </w:r>
      <w:r>
        <w:rPr/>
        <w:t>la</w:t>
      </w:r>
      <w:r>
        <w:rPr>
          <w:spacing w:val="-12"/>
        </w:rPr>
        <w:t> </w:t>
      </w:r>
      <w:r>
        <w:rPr/>
        <w:t>demora obedecía a la falta de afinidad política entre los ejecutivos estatal y federal, agregando al respecto que el argumento oficial de la SCT era que el</w:t>
      </w:r>
      <w:r>
        <w:rPr>
          <w:spacing w:val="-20"/>
        </w:rPr>
        <w:t> </w:t>
      </w:r>
      <w:r>
        <w:rPr/>
        <w:t>proyecto aeroportuario</w:t>
      </w:r>
      <w:r>
        <w:rPr>
          <w:spacing w:val="-8"/>
        </w:rPr>
        <w:t> PLATAH</w:t>
      </w:r>
      <w:r>
        <w:rPr>
          <w:spacing w:val="-7"/>
        </w:rPr>
        <w:t> </w:t>
      </w:r>
      <w:r>
        <w:rPr/>
        <w:t>(interfería)</w:t>
      </w:r>
      <w:r>
        <w:rPr>
          <w:spacing w:val="-7"/>
        </w:rPr>
        <w:t> </w:t>
      </w:r>
      <w:r>
        <w:rPr>
          <w:i/>
        </w:rPr>
        <w:t>con</w:t>
      </w:r>
      <w:r>
        <w:rPr>
          <w:i/>
          <w:spacing w:val="-7"/>
        </w:rPr>
        <w:t> </w:t>
      </w:r>
      <w:r>
        <w:rPr>
          <w:i/>
        </w:rPr>
        <w:t>la</w:t>
      </w:r>
      <w:r>
        <w:rPr>
          <w:i/>
          <w:spacing w:val="-7"/>
        </w:rPr>
        <w:t> </w:t>
      </w:r>
      <w:r>
        <w:rPr>
          <w:i/>
        </w:rPr>
        <w:t>zona</w:t>
      </w:r>
      <w:r>
        <w:rPr>
          <w:i/>
          <w:spacing w:val="-7"/>
        </w:rPr>
        <w:t> </w:t>
      </w:r>
      <w:r>
        <w:rPr>
          <w:i/>
        </w:rPr>
        <w:t>de</w:t>
      </w:r>
      <w:r>
        <w:rPr>
          <w:i/>
          <w:spacing w:val="-7"/>
        </w:rPr>
        <w:t> </w:t>
      </w:r>
      <w:r>
        <w:rPr>
          <w:i/>
        </w:rPr>
        <w:t>influencia</w:t>
      </w:r>
      <w:r>
        <w:rPr>
          <w:i/>
          <w:spacing w:val="-7"/>
        </w:rPr>
        <w:t> </w:t>
      </w:r>
      <w:r>
        <w:rPr>
          <w:i/>
        </w:rPr>
        <w:t>aérea</w:t>
      </w:r>
      <w:r>
        <w:rPr>
          <w:i/>
          <w:spacing w:val="-7"/>
        </w:rPr>
        <w:t> </w:t>
      </w:r>
      <w:r>
        <w:rPr>
          <w:i/>
        </w:rPr>
        <w:t>de</w:t>
      </w:r>
      <w:r>
        <w:rPr>
          <w:i/>
          <w:spacing w:val="-7"/>
        </w:rPr>
        <w:t> </w:t>
      </w:r>
      <w:r>
        <w:rPr>
          <w:i/>
        </w:rPr>
        <w:t>la</w:t>
      </w:r>
      <w:r>
        <w:rPr>
          <w:i/>
          <w:spacing w:val="-7"/>
        </w:rPr>
        <w:t> </w:t>
      </w:r>
      <w:r>
        <w:rPr>
          <w:i/>
        </w:rPr>
        <w:t>base </w:t>
      </w:r>
      <w:r>
        <w:rPr>
          <w:i/>
        </w:rPr>
        <w:t>militar de Santa Lucia </w:t>
      </w:r>
      <w:r>
        <w:rPr/>
        <w:t>(Zumpango Estado de México)</w:t>
      </w:r>
      <w:r>
        <w:rPr>
          <w:position w:val="8"/>
          <w:sz w:val="13"/>
        </w:rPr>
        <w:t>124</w:t>
      </w:r>
      <w:r>
        <w:rPr/>
        <w:t>. Posteriormente, el 28 de junio de 2012, el gobierno del Estado de Hidalgo declaró a los medios locales</w:t>
      </w:r>
      <w:r>
        <w:rPr>
          <w:spacing w:val="-5"/>
        </w:rPr>
        <w:t> </w:t>
      </w:r>
      <w:r>
        <w:rPr/>
        <w:t>que</w:t>
      </w:r>
      <w:r>
        <w:rPr>
          <w:spacing w:val="-5"/>
        </w:rPr>
        <w:t> </w:t>
      </w:r>
      <w:r>
        <w:rPr/>
        <w:t>durante</w:t>
      </w:r>
      <w:r>
        <w:rPr>
          <w:spacing w:val="-5"/>
        </w:rPr>
        <w:t> </w:t>
      </w:r>
      <w:r>
        <w:rPr/>
        <w:t>el</w:t>
      </w:r>
      <w:r>
        <w:rPr>
          <w:spacing w:val="-5"/>
        </w:rPr>
        <w:t> </w:t>
      </w:r>
      <w:r>
        <w:rPr/>
        <w:t>mes</w:t>
      </w:r>
      <w:r>
        <w:rPr>
          <w:spacing w:val="-5"/>
        </w:rPr>
        <w:t> </w:t>
      </w:r>
      <w:r>
        <w:rPr/>
        <w:t>de</w:t>
      </w:r>
      <w:r>
        <w:rPr>
          <w:spacing w:val="-5"/>
        </w:rPr>
        <w:t> </w:t>
      </w:r>
      <w:r>
        <w:rPr/>
        <w:t>abril</w:t>
      </w:r>
      <w:r>
        <w:rPr>
          <w:spacing w:val="-5"/>
        </w:rPr>
        <w:t> </w:t>
      </w:r>
      <w:r>
        <w:rPr/>
        <w:t>anterior</w:t>
      </w:r>
      <w:r>
        <w:rPr>
          <w:spacing w:val="-5"/>
        </w:rPr>
        <w:t> </w:t>
      </w:r>
      <w:r>
        <w:rPr/>
        <w:t>la</w:t>
      </w:r>
      <w:r>
        <w:rPr>
          <w:spacing w:val="-5"/>
        </w:rPr>
        <w:t> </w:t>
      </w:r>
      <w:r>
        <w:rPr/>
        <w:t>SCT</w:t>
      </w:r>
      <w:r>
        <w:rPr>
          <w:spacing w:val="-9"/>
        </w:rPr>
        <w:t> </w:t>
      </w:r>
      <w:r>
        <w:rPr/>
        <w:t>había</w:t>
      </w:r>
      <w:r>
        <w:rPr>
          <w:spacing w:val="-5"/>
        </w:rPr>
        <w:t> </w:t>
      </w:r>
      <w:r>
        <w:rPr/>
        <w:t>negado</w:t>
      </w:r>
      <w:r>
        <w:rPr>
          <w:spacing w:val="-5"/>
        </w:rPr>
        <w:t> </w:t>
      </w:r>
      <w:r>
        <w:rPr/>
        <w:t>la</w:t>
      </w:r>
      <w:r>
        <w:rPr>
          <w:spacing w:val="-5"/>
        </w:rPr>
        <w:t> </w:t>
      </w:r>
      <w:r>
        <w:rPr/>
        <w:t>concesión del aeropuerto que nos ocupa bajo los argumentos</w:t>
      </w:r>
      <w:r>
        <w:rPr>
          <w:spacing w:val="-3"/>
        </w:rPr>
        <w:t> </w:t>
      </w:r>
      <w:r>
        <w:rPr/>
        <w:t>expuestos</w:t>
      </w:r>
      <w:r>
        <w:rPr>
          <w:position w:val="8"/>
          <w:sz w:val="13"/>
        </w:rPr>
        <w:t>125</w:t>
      </w:r>
      <w:r>
        <w:rPr/>
        <w:t>.</w:t>
      </w:r>
    </w:p>
    <w:p>
      <w:pPr>
        <w:pStyle w:val="BodyText"/>
        <w:spacing w:before="10"/>
        <w:rPr>
          <w:sz w:val="22"/>
        </w:rPr>
      </w:pPr>
    </w:p>
    <w:p>
      <w:pPr>
        <w:spacing w:line="260" w:lineRule="exact" w:before="0"/>
        <w:ind w:left="117" w:right="107" w:firstLine="0"/>
        <w:jc w:val="both"/>
        <w:rPr>
          <w:i/>
          <w:sz w:val="23"/>
        </w:rPr>
      </w:pPr>
      <w:r>
        <w:rPr>
          <w:sz w:val="23"/>
        </w:rPr>
        <w:t>Otras gestiones han tenido un desenlace diferente, tal fue el resultado del trámite de instalaciones aduaneras. En ese trámite, mediante oficio del 19   de mayo del 2004, el gobernador del estado manifestó al Secretario de Hacienda y Crédito Público </w:t>
      </w:r>
      <w:r>
        <w:rPr>
          <w:i/>
          <w:sz w:val="23"/>
        </w:rPr>
        <w:t>la falta de servicios aduanales en el estado, en </w:t>
      </w:r>
      <w:r>
        <w:rPr>
          <w:i/>
          <w:sz w:val="23"/>
        </w:rPr>
        <w:t>particular en el corredor Tizayuca-Pachuca… estamos listos para presentar a</w:t>
      </w:r>
      <w:r>
        <w:rPr>
          <w:i/>
          <w:spacing w:val="-9"/>
          <w:sz w:val="23"/>
        </w:rPr>
        <w:t> </w:t>
      </w:r>
      <w:r>
        <w:rPr>
          <w:i/>
          <w:sz w:val="23"/>
        </w:rPr>
        <w:t>quien</w:t>
      </w:r>
      <w:r>
        <w:rPr>
          <w:i/>
          <w:spacing w:val="-9"/>
          <w:sz w:val="23"/>
        </w:rPr>
        <w:t> </w:t>
      </w:r>
      <w:r>
        <w:rPr>
          <w:i/>
          <w:sz w:val="23"/>
        </w:rPr>
        <w:t>Usted</w:t>
      </w:r>
      <w:r>
        <w:rPr>
          <w:i/>
          <w:spacing w:val="-9"/>
          <w:sz w:val="23"/>
        </w:rPr>
        <w:t> </w:t>
      </w:r>
      <w:r>
        <w:rPr>
          <w:i/>
          <w:sz w:val="23"/>
        </w:rPr>
        <w:t>nos</w:t>
      </w:r>
      <w:r>
        <w:rPr>
          <w:i/>
          <w:spacing w:val="-9"/>
          <w:sz w:val="23"/>
        </w:rPr>
        <w:t> </w:t>
      </w:r>
      <w:r>
        <w:rPr>
          <w:i/>
          <w:sz w:val="23"/>
        </w:rPr>
        <w:t>indique</w:t>
      </w:r>
      <w:r>
        <w:rPr>
          <w:i/>
          <w:spacing w:val="-9"/>
          <w:sz w:val="23"/>
        </w:rPr>
        <w:t> </w:t>
      </w:r>
      <w:r>
        <w:rPr>
          <w:i/>
          <w:sz w:val="23"/>
        </w:rPr>
        <w:t>el</w:t>
      </w:r>
      <w:r>
        <w:rPr>
          <w:i/>
          <w:spacing w:val="-9"/>
          <w:sz w:val="23"/>
        </w:rPr>
        <w:t> </w:t>
      </w:r>
      <w:r>
        <w:rPr>
          <w:i/>
          <w:sz w:val="23"/>
        </w:rPr>
        <w:t>proyecto</w:t>
      </w:r>
      <w:r>
        <w:rPr>
          <w:i/>
          <w:spacing w:val="-9"/>
          <w:sz w:val="23"/>
        </w:rPr>
        <w:t> </w:t>
      </w:r>
      <w:r>
        <w:rPr>
          <w:i/>
          <w:sz w:val="23"/>
        </w:rPr>
        <w:t>en</w:t>
      </w:r>
      <w:r>
        <w:rPr>
          <w:i/>
          <w:spacing w:val="-9"/>
          <w:sz w:val="23"/>
        </w:rPr>
        <w:t> </w:t>
      </w:r>
      <w:r>
        <w:rPr>
          <w:i/>
          <w:sz w:val="23"/>
        </w:rPr>
        <w:t>donde</w:t>
      </w:r>
      <w:r>
        <w:rPr>
          <w:i/>
          <w:spacing w:val="-9"/>
          <w:sz w:val="23"/>
        </w:rPr>
        <w:t> </w:t>
      </w:r>
      <w:r>
        <w:rPr>
          <w:i/>
          <w:sz w:val="23"/>
        </w:rPr>
        <w:t>se</w:t>
      </w:r>
      <w:r>
        <w:rPr>
          <w:i/>
          <w:spacing w:val="-9"/>
          <w:sz w:val="23"/>
        </w:rPr>
        <w:t> </w:t>
      </w:r>
      <w:r>
        <w:rPr>
          <w:i/>
          <w:sz w:val="23"/>
        </w:rPr>
        <w:t>considera</w:t>
      </w:r>
      <w:r>
        <w:rPr>
          <w:i/>
          <w:spacing w:val="-9"/>
          <w:sz w:val="23"/>
        </w:rPr>
        <w:t> </w:t>
      </w:r>
      <w:r>
        <w:rPr>
          <w:i/>
          <w:sz w:val="23"/>
        </w:rPr>
        <w:t>podría</w:t>
      </w:r>
      <w:r>
        <w:rPr>
          <w:i/>
          <w:spacing w:val="-9"/>
          <w:sz w:val="23"/>
        </w:rPr>
        <w:t> </w:t>
      </w:r>
      <w:r>
        <w:rPr>
          <w:i/>
          <w:sz w:val="23"/>
        </w:rPr>
        <w:t>prestarse el</w:t>
      </w:r>
      <w:r>
        <w:rPr>
          <w:i/>
          <w:spacing w:val="22"/>
          <w:sz w:val="23"/>
        </w:rPr>
        <w:t> </w:t>
      </w:r>
      <w:r>
        <w:rPr>
          <w:i/>
          <w:sz w:val="23"/>
        </w:rPr>
        <w:t>servicio</w:t>
      </w:r>
      <w:r>
        <w:rPr>
          <w:i/>
          <w:spacing w:val="22"/>
          <w:sz w:val="23"/>
        </w:rPr>
        <w:t> </w:t>
      </w:r>
      <w:r>
        <w:rPr>
          <w:i/>
          <w:sz w:val="23"/>
        </w:rPr>
        <w:t>aduanal</w:t>
      </w:r>
      <w:r>
        <w:rPr>
          <w:i/>
          <w:spacing w:val="22"/>
          <w:sz w:val="23"/>
        </w:rPr>
        <w:t> </w:t>
      </w:r>
      <w:r>
        <w:rPr>
          <w:i/>
          <w:sz w:val="23"/>
        </w:rPr>
        <w:t>a</w:t>
      </w:r>
      <w:r>
        <w:rPr>
          <w:i/>
          <w:spacing w:val="22"/>
          <w:sz w:val="23"/>
        </w:rPr>
        <w:t> </w:t>
      </w:r>
      <w:r>
        <w:rPr>
          <w:i/>
          <w:sz w:val="23"/>
        </w:rPr>
        <w:t>que</w:t>
      </w:r>
      <w:r>
        <w:rPr>
          <w:i/>
          <w:spacing w:val="22"/>
          <w:sz w:val="23"/>
        </w:rPr>
        <w:t> </w:t>
      </w:r>
      <w:r>
        <w:rPr>
          <w:i/>
          <w:sz w:val="23"/>
        </w:rPr>
        <w:t>hago</w:t>
      </w:r>
      <w:r>
        <w:rPr>
          <w:i/>
          <w:spacing w:val="22"/>
          <w:sz w:val="23"/>
        </w:rPr>
        <w:t> </w:t>
      </w:r>
      <w:r>
        <w:rPr>
          <w:i/>
          <w:sz w:val="23"/>
        </w:rPr>
        <w:t>referencia</w:t>
      </w:r>
      <w:r>
        <w:rPr>
          <w:i/>
          <w:spacing w:val="21"/>
          <w:sz w:val="23"/>
        </w:rPr>
        <w:t> </w:t>
      </w:r>
      <w:r>
        <w:rPr>
          <w:i/>
          <w:sz w:val="23"/>
        </w:rPr>
        <w:t>en</w:t>
      </w:r>
      <w:r>
        <w:rPr>
          <w:i/>
          <w:spacing w:val="22"/>
          <w:sz w:val="23"/>
        </w:rPr>
        <w:t> </w:t>
      </w:r>
      <w:r>
        <w:rPr>
          <w:i/>
          <w:sz w:val="23"/>
        </w:rPr>
        <w:t>este</w:t>
      </w:r>
      <w:r>
        <w:rPr>
          <w:i/>
          <w:spacing w:val="21"/>
          <w:sz w:val="23"/>
        </w:rPr>
        <w:t> </w:t>
      </w:r>
      <w:r>
        <w:rPr>
          <w:i/>
          <w:sz w:val="23"/>
        </w:rPr>
        <w:t>escrito,</w:t>
      </w:r>
      <w:r>
        <w:rPr>
          <w:i/>
          <w:spacing w:val="21"/>
          <w:sz w:val="23"/>
        </w:rPr>
        <w:t> </w:t>
      </w:r>
      <w:r>
        <w:rPr>
          <w:i/>
          <w:sz w:val="23"/>
        </w:rPr>
        <w:t>contando</w:t>
      </w:r>
      <w:r>
        <w:rPr>
          <w:i/>
          <w:spacing w:val="21"/>
          <w:sz w:val="23"/>
        </w:rPr>
        <w:t> </w:t>
      </w:r>
      <w:r>
        <w:rPr>
          <w:i/>
          <w:sz w:val="23"/>
        </w:rPr>
        <w:t>con</w:t>
      </w:r>
      <w:r>
        <w:rPr>
          <w:i/>
          <w:spacing w:val="21"/>
          <w:sz w:val="23"/>
        </w:rPr>
        <w:t> </w:t>
      </w:r>
      <w:r>
        <w:rPr>
          <w:i/>
          <w:sz w:val="23"/>
        </w:rPr>
        <w:t>el</w:t>
      </w:r>
    </w:p>
    <w:p>
      <w:pPr>
        <w:pStyle w:val="BodyText"/>
        <w:spacing w:before="9"/>
        <w:rPr>
          <w:i/>
          <w:sz w:val="10"/>
        </w:rPr>
      </w:pPr>
      <w:r>
        <w:rPr/>
        <w:pict>
          <v:line style="position:absolute;mso-position-horizontal-relative:page;mso-position-vertical-relative:paragraph;z-index:2584;mso-wrap-distance-left:0;mso-wrap-distance-right:0" from="70.866096pt,8.691096pt" to="142.866096pt,8.691096pt" stroked="true" strokeweight="1pt" strokecolor="#000000">
            <w10:wrap type="topAndBottom"/>
          </v:line>
        </w:pict>
      </w:r>
    </w:p>
    <w:p>
      <w:pPr>
        <w:spacing w:line="249" w:lineRule="auto" w:before="28"/>
        <w:ind w:left="400" w:right="108" w:hanging="284"/>
        <w:jc w:val="both"/>
        <w:rPr>
          <w:sz w:val="18"/>
        </w:rPr>
      </w:pPr>
      <w:r>
        <w:rPr>
          <w:position w:val="7"/>
          <w:sz w:val="11"/>
        </w:rPr>
        <w:t>121 </w:t>
      </w:r>
      <w:r>
        <w:rPr>
          <w:sz w:val="18"/>
        </w:rPr>
        <w:t>Información proporcionada para esta investigación en entrevista con un funcionario estatal participante del proyecto PLATAH, 13 de octubre del 2010.</w:t>
      </w:r>
    </w:p>
    <w:p>
      <w:pPr>
        <w:spacing w:line="249" w:lineRule="auto" w:before="20"/>
        <w:ind w:left="400" w:right="108" w:hanging="284"/>
        <w:jc w:val="both"/>
        <w:rPr>
          <w:sz w:val="18"/>
        </w:rPr>
      </w:pPr>
      <w:r>
        <w:rPr>
          <w:position w:val="7"/>
          <w:sz w:val="11"/>
        </w:rPr>
        <w:t>122    </w:t>
      </w:r>
      <w:r>
        <w:rPr>
          <w:sz w:val="18"/>
        </w:rPr>
        <w:t>Información proporcionada por el instituto federal de acceso a la información y protección    de datos, según solicitud 0000900079911 del sistema INFOMEX gobierno federal, y según recurso con número de expediente 2578/116 resuelto el 13 de julio de 2011, p.</w:t>
      </w:r>
      <w:r>
        <w:rPr>
          <w:spacing w:val="-18"/>
          <w:sz w:val="18"/>
        </w:rPr>
        <w:t> </w:t>
      </w:r>
      <w:r>
        <w:rPr>
          <w:sz w:val="18"/>
        </w:rPr>
        <w:t>9.</w:t>
      </w:r>
    </w:p>
    <w:p>
      <w:pPr>
        <w:spacing w:before="20"/>
        <w:ind w:left="117" w:right="0" w:firstLine="0"/>
        <w:jc w:val="left"/>
        <w:rPr>
          <w:sz w:val="18"/>
        </w:rPr>
      </w:pPr>
      <w:r>
        <w:rPr>
          <w:position w:val="7"/>
          <w:sz w:val="11"/>
        </w:rPr>
        <w:t>123    </w:t>
      </w:r>
      <w:r>
        <w:rPr>
          <w:i/>
          <w:sz w:val="18"/>
        </w:rPr>
        <w:t>Ibídem, </w:t>
      </w:r>
      <w:r>
        <w:rPr>
          <w:sz w:val="18"/>
        </w:rPr>
        <w:t>p. 14.</w:t>
      </w:r>
    </w:p>
    <w:p>
      <w:pPr>
        <w:spacing w:line="249" w:lineRule="auto" w:before="28"/>
        <w:ind w:left="400" w:right="108" w:hanging="284"/>
        <w:jc w:val="both"/>
        <w:rPr>
          <w:sz w:val="18"/>
        </w:rPr>
      </w:pPr>
      <w:r>
        <w:rPr>
          <w:position w:val="7"/>
          <w:sz w:val="11"/>
        </w:rPr>
        <w:t>124 </w:t>
      </w:r>
      <w:r>
        <w:rPr>
          <w:sz w:val="18"/>
        </w:rPr>
        <w:t>Información proporcionada para esta investigación en entrevista con ex funcionarios estatales participantes en los proyectos estratégicos del estado, 8 de julio del 2011.</w:t>
      </w:r>
    </w:p>
    <w:p>
      <w:pPr>
        <w:spacing w:line="249" w:lineRule="auto" w:before="20"/>
        <w:ind w:left="400" w:right="108" w:hanging="284"/>
        <w:jc w:val="both"/>
        <w:rPr>
          <w:sz w:val="18"/>
        </w:rPr>
      </w:pPr>
      <w:r>
        <w:rPr>
          <w:position w:val="7"/>
          <w:sz w:val="11"/>
        </w:rPr>
        <w:t>125</w:t>
      </w:r>
      <w:r>
        <w:rPr>
          <w:spacing w:val="20"/>
          <w:position w:val="7"/>
          <w:sz w:val="11"/>
        </w:rPr>
        <w:t> </w:t>
      </w:r>
      <w:r>
        <w:rPr>
          <w:sz w:val="18"/>
        </w:rPr>
        <w:t>Neria,</w:t>
      </w:r>
      <w:r>
        <w:rPr>
          <w:spacing w:val="-11"/>
          <w:sz w:val="18"/>
        </w:rPr>
        <w:t> </w:t>
      </w:r>
      <w:r>
        <w:rPr>
          <w:sz w:val="18"/>
        </w:rPr>
        <w:t>Gerardo;</w:t>
      </w:r>
      <w:r>
        <w:rPr>
          <w:spacing w:val="-11"/>
          <w:sz w:val="18"/>
        </w:rPr>
        <w:t> </w:t>
      </w:r>
      <w:r>
        <w:rPr>
          <w:i/>
          <w:sz w:val="18"/>
        </w:rPr>
        <w:t>Busca</w:t>
      </w:r>
      <w:r>
        <w:rPr>
          <w:i/>
          <w:spacing w:val="-11"/>
          <w:sz w:val="18"/>
        </w:rPr>
        <w:t> </w:t>
      </w:r>
      <w:r>
        <w:rPr>
          <w:i/>
          <w:sz w:val="18"/>
        </w:rPr>
        <w:t>Hidalgo</w:t>
      </w:r>
      <w:r>
        <w:rPr>
          <w:i/>
          <w:spacing w:val="-11"/>
          <w:sz w:val="18"/>
        </w:rPr>
        <w:t> </w:t>
      </w:r>
      <w:r>
        <w:rPr>
          <w:i/>
          <w:sz w:val="18"/>
        </w:rPr>
        <w:t>asesoría</w:t>
      </w:r>
      <w:r>
        <w:rPr>
          <w:i/>
          <w:spacing w:val="-11"/>
          <w:sz w:val="18"/>
        </w:rPr>
        <w:t> </w:t>
      </w:r>
      <w:r>
        <w:rPr>
          <w:i/>
          <w:sz w:val="18"/>
        </w:rPr>
        <w:t>internacional</w:t>
      </w:r>
      <w:r>
        <w:rPr>
          <w:i/>
          <w:spacing w:val="-11"/>
          <w:sz w:val="18"/>
        </w:rPr>
        <w:t> </w:t>
      </w:r>
      <w:r>
        <w:rPr>
          <w:i/>
          <w:sz w:val="18"/>
        </w:rPr>
        <w:t>para</w:t>
      </w:r>
      <w:r>
        <w:rPr>
          <w:i/>
          <w:spacing w:val="-11"/>
          <w:sz w:val="18"/>
        </w:rPr>
        <w:t> </w:t>
      </w:r>
      <w:r>
        <w:rPr>
          <w:i/>
          <w:sz w:val="18"/>
        </w:rPr>
        <w:t>validar</w:t>
      </w:r>
      <w:r>
        <w:rPr>
          <w:i/>
          <w:spacing w:val="-11"/>
          <w:sz w:val="18"/>
        </w:rPr>
        <w:t> </w:t>
      </w:r>
      <w:r>
        <w:rPr>
          <w:i/>
          <w:sz w:val="18"/>
        </w:rPr>
        <w:t>aeropuerto</w:t>
      </w:r>
      <w:r>
        <w:rPr>
          <w:i/>
          <w:spacing w:val="-11"/>
          <w:sz w:val="18"/>
        </w:rPr>
        <w:t> </w:t>
      </w:r>
      <w:r>
        <w:rPr>
          <w:i/>
          <w:sz w:val="18"/>
        </w:rPr>
        <w:t>en</w:t>
      </w:r>
      <w:r>
        <w:rPr>
          <w:i/>
          <w:spacing w:val="-11"/>
          <w:sz w:val="18"/>
        </w:rPr>
        <w:t> </w:t>
      </w:r>
      <w:r>
        <w:rPr>
          <w:i/>
          <w:sz w:val="18"/>
        </w:rPr>
        <w:t>Tizayuca</w:t>
      </w:r>
      <w:r>
        <w:rPr>
          <w:sz w:val="18"/>
        </w:rPr>
        <w:t>.</w:t>
      </w:r>
      <w:r>
        <w:rPr>
          <w:spacing w:val="-11"/>
          <w:sz w:val="18"/>
        </w:rPr>
        <w:t> </w:t>
      </w:r>
      <w:r>
        <w:rPr>
          <w:sz w:val="18"/>
        </w:rPr>
        <w:t>En El Independiente de Hidalgo, 28 de junio del 2012, año 4, número</w:t>
      </w:r>
      <w:r>
        <w:rPr>
          <w:spacing w:val="-17"/>
          <w:sz w:val="18"/>
        </w:rPr>
        <w:t> </w:t>
      </w:r>
      <w:r>
        <w:rPr>
          <w:sz w:val="18"/>
        </w:rPr>
        <w:t>1153.</w:t>
      </w:r>
    </w:p>
    <w:p>
      <w:pPr>
        <w:spacing w:after="0" w:line="249" w:lineRule="auto"/>
        <w:jc w:val="both"/>
        <w:rPr>
          <w:sz w:val="18"/>
        </w:rPr>
        <w:sectPr>
          <w:pgSz w:w="9360" w:h="13040"/>
          <w:pgMar w:header="547" w:footer="514" w:top="940" w:bottom="700" w:left="1300" w:right="740"/>
        </w:sectPr>
      </w:pPr>
    </w:p>
    <w:p>
      <w:pPr>
        <w:pStyle w:val="BodyText"/>
        <w:rPr>
          <w:sz w:val="20"/>
        </w:rPr>
      </w:pPr>
    </w:p>
    <w:p>
      <w:pPr>
        <w:pStyle w:val="BodyText"/>
        <w:spacing w:before="1"/>
        <w:rPr>
          <w:sz w:val="29"/>
        </w:rPr>
      </w:pPr>
    </w:p>
    <w:p>
      <w:pPr>
        <w:spacing w:line="260" w:lineRule="exact" w:before="77"/>
        <w:ind w:left="110" w:right="115" w:firstLine="0"/>
        <w:jc w:val="both"/>
        <w:rPr>
          <w:sz w:val="23"/>
        </w:rPr>
      </w:pPr>
      <w:r>
        <w:rPr>
          <w:i/>
          <w:sz w:val="23"/>
        </w:rPr>
        <w:t>apoyo financiero del gobierno estatal, los gobiernos municipales, así como </w:t>
      </w:r>
      <w:r>
        <w:rPr>
          <w:i/>
          <w:sz w:val="23"/>
        </w:rPr>
        <w:t>los propios empresarios de la terminal intermodal</w:t>
      </w:r>
      <w:r>
        <w:rPr>
          <w:position w:val="8"/>
          <w:sz w:val="13"/>
        </w:rPr>
        <w:t>126</w:t>
      </w:r>
      <w:r>
        <w:rPr>
          <w:i/>
          <w:sz w:val="23"/>
        </w:rPr>
        <w:t>. </w:t>
      </w:r>
      <w:r>
        <w:rPr>
          <w:sz w:val="23"/>
        </w:rPr>
        <w:t>Ante la anuencia de    la autoridad federal, el 22 de noviembre del 2004 la empresa distribución y servicios logísticos S. A. (DISELO), cuya ubicación es muy cercana a los terrenos del proyecto </w:t>
      </w:r>
      <w:r>
        <w:rPr>
          <w:spacing w:val="-7"/>
          <w:sz w:val="23"/>
        </w:rPr>
        <w:t>PLATAH, </w:t>
      </w:r>
      <w:r>
        <w:rPr>
          <w:sz w:val="23"/>
        </w:rPr>
        <w:t>propuso habilitar una bodega para recibir carga bajo el régimen aduanero de depósito y recinto fiscal, relacionando además empresas de la región como usuarios</w:t>
      </w:r>
      <w:r>
        <w:rPr>
          <w:spacing w:val="-3"/>
          <w:sz w:val="23"/>
        </w:rPr>
        <w:t> </w:t>
      </w:r>
      <w:r>
        <w:rPr>
          <w:sz w:val="23"/>
        </w:rPr>
        <w:t>potenciales.</w:t>
      </w:r>
    </w:p>
    <w:p>
      <w:pPr>
        <w:pStyle w:val="BodyText"/>
        <w:spacing w:before="4"/>
        <w:rPr>
          <w:sz w:val="22"/>
        </w:rPr>
      </w:pPr>
    </w:p>
    <w:p>
      <w:pPr>
        <w:pStyle w:val="BodyText"/>
        <w:spacing w:line="235" w:lineRule="auto"/>
        <w:ind w:left="110" w:right="114"/>
        <w:jc w:val="both"/>
      </w:pPr>
      <w:r>
        <w:rPr/>
        <w:t>En</w:t>
      </w:r>
      <w:r>
        <w:rPr>
          <w:spacing w:val="-7"/>
        </w:rPr>
        <w:t> </w:t>
      </w:r>
      <w:r>
        <w:rPr/>
        <w:t>la</w:t>
      </w:r>
      <w:r>
        <w:rPr>
          <w:spacing w:val="-8"/>
        </w:rPr>
        <w:t> </w:t>
      </w:r>
      <w:r>
        <w:rPr/>
        <w:t>secuencia</w:t>
      </w:r>
      <w:r>
        <w:rPr>
          <w:spacing w:val="-7"/>
        </w:rPr>
        <w:t> </w:t>
      </w:r>
      <w:r>
        <w:rPr/>
        <w:t>de</w:t>
      </w:r>
      <w:r>
        <w:rPr>
          <w:spacing w:val="-7"/>
        </w:rPr>
        <w:t> </w:t>
      </w:r>
      <w:r>
        <w:rPr/>
        <w:t>las</w:t>
      </w:r>
      <w:r>
        <w:rPr>
          <w:spacing w:val="-8"/>
        </w:rPr>
        <w:t> </w:t>
      </w:r>
      <w:r>
        <w:rPr/>
        <w:t>promociones,</w:t>
      </w:r>
      <w:r>
        <w:rPr>
          <w:spacing w:val="-8"/>
        </w:rPr>
        <w:t> </w:t>
      </w:r>
      <w:r>
        <w:rPr/>
        <w:t>para</w:t>
      </w:r>
      <w:r>
        <w:rPr>
          <w:spacing w:val="-8"/>
        </w:rPr>
        <w:t> </w:t>
      </w:r>
      <w:r>
        <w:rPr/>
        <w:t>marzo</w:t>
      </w:r>
      <w:r>
        <w:rPr>
          <w:spacing w:val="-8"/>
        </w:rPr>
        <w:t> </w:t>
      </w:r>
      <w:r>
        <w:rPr/>
        <w:t>del</w:t>
      </w:r>
      <w:r>
        <w:rPr>
          <w:spacing w:val="-8"/>
        </w:rPr>
        <w:t> </w:t>
      </w:r>
      <w:r>
        <w:rPr/>
        <w:t>2005</w:t>
      </w:r>
      <w:r>
        <w:rPr>
          <w:spacing w:val="-7"/>
        </w:rPr>
        <w:t> </w:t>
      </w:r>
      <w:r>
        <w:rPr/>
        <w:t>las</w:t>
      </w:r>
      <w:r>
        <w:rPr>
          <w:spacing w:val="-8"/>
        </w:rPr>
        <w:t> </w:t>
      </w:r>
      <w:r>
        <w:rPr/>
        <w:t>partes</w:t>
      </w:r>
      <w:r>
        <w:rPr>
          <w:spacing w:val="-8"/>
        </w:rPr>
        <w:t> </w:t>
      </w:r>
      <w:r>
        <w:rPr/>
        <w:t>acordaron celebrar un contrato de comodato e iniciar así el funcionamiento de las instalaciones aduaneras</w:t>
      </w:r>
      <w:r>
        <w:rPr>
          <w:position w:val="8"/>
          <w:sz w:val="13"/>
        </w:rPr>
        <w:t>127</w:t>
      </w:r>
      <w:r>
        <w:rPr/>
        <w:t>. Otro aliciente para el proyecto </w:t>
      </w:r>
      <w:r>
        <w:rPr>
          <w:spacing w:val="-8"/>
        </w:rPr>
        <w:t>PLATAH </w:t>
      </w:r>
      <w:r>
        <w:rPr/>
        <w:t>fue la apertura</w:t>
      </w:r>
      <w:r>
        <w:rPr>
          <w:spacing w:val="-18"/>
        </w:rPr>
        <w:t> </w:t>
      </w:r>
      <w:r>
        <w:rPr/>
        <w:t>total</w:t>
      </w:r>
      <w:r>
        <w:rPr>
          <w:spacing w:val="-18"/>
        </w:rPr>
        <w:t> </w:t>
      </w:r>
      <w:r>
        <w:rPr/>
        <w:t>del</w:t>
      </w:r>
      <w:r>
        <w:rPr>
          <w:spacing w:val="-18"/>
        </w:rPr>
        <w:t> </w:t>
      </w:r>
      <w:r>
        <w:rPr/>
        <w:t>arco</w:t>
      </w:r>
      <w:r>
        <w:rPr>
          <w:spacing w:val="-18"/>
        </w:rPr>
        <w:t> </w:t>
      </w:r>
      <w:r>
        <w:rPr/>
        <w:t>norte</w:t>
      </w:r>
      <w:r>
        <w:rPr>
          <w:spacing w:val="-18"/>
        </w:rPr>
        <w:t> </w:t>
      </w:r>
      <w:r>
        <w:rPr/>
        <w:t>de</w:t>
      </w:r>
      <w:r>
        <w:rPr>
          <w:spacing w:val="-18"/>
        </w:rPr>
        <w:t> </w:t>
      </w:r>
      <w:r>
        <w:rPr/>
        <w:t>la</w:t>
      </w:r>
      <w:r>
        <w:rPr>
          <w:spacing w:val="-18"/>
        </w:rPr>
        <w:t> </w:t>
      </w:r>
      <w:r>
        <w:rPr/>
        <w:t>Ciudad</w:t>
      </w:r>
      <w:r>
        <w:rPr>
          <w:spacing w:val="-18"/>
        </w:rPr>
        <w:t> </w:t>
      </w:r>
      <w:r>
        <w:rPr/>
        <w:t>de</w:t>
      </w:r>
      <w:r>
        <w:rPr>
          <w:spacing w:val="-18"/>
        </w:rPr>
        <w:t> </w:t>
      </w:r>
      <w:r>
        <w:rPr/>
        <w:t>México</w:t>
      </w:r>
      <w:r>
        <w:rPr>
          <w:spacing w:val="-17"/>
        </w:rPr>
        <w:t> </w:t>
      </w:r>
      <w:r>
        <w:rPr/>
        <w:t>a</w:t>
      </w:r>
      <w:r>
        <w:rPr>
          <w:spacing w:val="-18"/>
        </w:rPr>
        <w:t> </w:t>
      </w:r>
      <w:r>
        <w:rPr/>
        <w:t>partir</w:t>
      </w:r>
      <w:r>
        <w:rPr>
          <w:spacing w:val="-17"/>
        </w:rPr>
        <w:t> </w:t>
      </w:r>
      <w:r>
        <w:rPr/>
        <w:t>del</w:t>
      </w:r>
      <w:r>
        <w:rPr>
          <w:spacing w:val="-18"/>
        </w:rPr>
        <w:t> </w:t>
      </w:r>
      <w:r>
        <w:rPr/>
        <w:t>25</w:t>
      </w:r>
      <w:r>
        <w:rPr>
          <w:spacing w:val="-18"/>
        </w:rPr>
        <w:t> </w:t>
      </w:r>
      <w:r>
        <w:rPr/>
        <w:t>de</w:t>
      </w:r>
      <w:r>
        <w:rPr>
          <w:spacing w:val="-18"/>
        </w:rPr>
        <w:t> </w:t>
      </w:r>
      <w:r>
        <w:rPr/>
        <w:t>agosto</w:t>
      </w:r>
      <w:r>
        <w:rPr>
          <w:spacing w:val="-18"/>
        </w:rPr>
        <w:t> </w:t>
      </w:r>
      <w:r>
        <w:rPr/>
        <w:t>de 2009,</w:t>
      </w:r>
      <w:r>
        <w:rPr>
          <w:spacing w:val="-10"/>
        </w:rPr>
        <w:t> </w:t>
      </w:r>
      <w:r>
        <w:rPr/>
        <w:t>se</w:t>
      </w:r>
      <w:r>
        <w:rPr>
          <w:spacing w:val="-10"/>
        </w:rPr>
        <w:t> </w:t>
      </w:r>
      <w:r>
        <w:rPr/>
        <w:t>trata</w:t>
      </w:r>
      <w:r>
        <w:rPr>
          <w:spacing w:val="-11"/>
        </w:rPr>
        <w:t> </w:t>
      </w:r>
      <w:r>
        <w:rPr/>
        <w:t>de</w:t>
      </w:r>
      <w:r>
        <w:rPr>
          <w:spacing w:val="-10"/>
        </w:rPr>
        <w:t> </w:t>
      </w:r>
      <w:r>
        <w:rPr/>
        <w:t>una</w:t>
      </w:r>
      <w:r>
        <w:rPr>
          <w:spacing w:val="-10"/>
        </w:rPr>
        <w:t> </w:t>
      </w:r>
      <w:r>
        <w:rPr/>
        <w:t>autopista</w:t>
      </w:r>
      <w:r>
        <w:rPr>
          <w:spacing w:val="-11"/>
        </w:rPr>
        <w:t> </w:t>
      </w:r>
      <w:r>
        <w:rPr/>
        <w:t>de</w:t>
      </w:r>
      <w:r>
        <w:rPr>
          <w:spacing w:val="-10"/>
        </w:rPr>
        <w:t> </w:t>
      </w:r>
      <w:r>
        <w:rPr/>
        <w:t>cuota</w:t>
      </w:r>
      <w:r>
        <w:rPr>
          <w:spacing w:val="-11"/>
        </w:rPr>
        <w:t> </w:t>
      </w:r>
      <w:r>
        <w:rPr/>
        <w:t>concéntrica</w:t>
      </w:r>
      <w:r>
        <w:rPr>
          <w:spacing w:val="-11"/>
        </w:rPr>
        <w:t> </w:t>
      </w:r>
      <w:r>
        <w:rPr/>
        <w:t>a</w:t>
      </w:r>
      <w:r>
        <w:rPr>
          <w:spacing w:val="-10"/>
        </w:rPr>
        <w:t> </w:t>
      </w:r>
      <w:r>
        <w:rPr/>
        <w:t>la</w:t>
      </w:r>
      <w:r>
        <w:rPr>
          <w:spacing w:val="-10"/>
        </w:rPr>
        <w:t> </w:t>
      </w:r>
      <w:r>
        <w:rPr/>
        <w:t>metrópoli</w:t>
      </w:r>
      <w:r>
        <w:rPr>
          <w:spacing w:val="-11"/>
        </w:rPr>
        <w:t> </w:t>
      </w:r>
      <w:r>
        <w:rPr/>
        <w:t>central</w:t>
      </w:r>
      <w:r>
        <w:rPr>
          <w:spacing w:val="-11"/>
        </w:rPr>
        <w:t> </w:t>
      </w:r>
      <w:r>
        <w:rPr/>
        <w:t>para ligar las radiales provenientes de Querétaro, Pachuca y Puebla. A su vez, se asegura</w:t>
      </w:r>
      <w:r>
        <w:rPr>
          <w:spacing w:val="-15"/>
        </w:rPr>
        <w:t> </w:t>
      </w:r>
      <w:r>
        <w:rPr/>
        <w:t>que</w:t>
      </w:r>
      <w:r>
        <w:rPr>
          <w:spacing w:val="-14"/>
        </w:rPr>
        <w:t> </w:t>
      </w:r>
      <w:r>
        <w:rPr/>
        <w:t>las</w:t>
      </w:r>
      <w:r>
        <w:rPr>
          <w:spacing w:val="-15"/>
        </w:rPr>
        <w:t> </w:t>
      </w:r>
      <w:r>
        <w:rPr/>
        <w:t>gestiones</w:t>
      </w:r>
      <w:r>
        <w:rPr>
          <w:spacing w:val="-14"/>
        </w:rPr>
        <w:t> </w:t>
      </w:r>
      <w:r>
        <w:rPr/>
        <w:t>del</w:t>
      </w:r>
      <w:r>
        <w:rPr>
          <w:spacing w:val="-14"/>
        </w:rPr>
        <w:t> </w:t>
      </w:r>
      <w:r>
        <w:rPr/>
        <w:t>servicio</w:t>
      </w:r>
      <w:r>
        <w:rPr>
          <w:spacing w:val="-14"/>
        </w:rPr>
        <w:t> </w:t>
      </w:r>
      <w:r>
        <w:rPr/>
        <w:t>de</w:t>
      </w:r>
      <w:r>
        <w:rPr>
          <w:spacing w:val="-14"/>
        </w:rPr>
        <w:t> </w:t>
      </w:r>
      <w:r>
        <w:rPr/>
        <w:t>agua</w:t>
      </w:r>
      <w:r>
        <w:rPr>
          <w:spacing w:val="-15"/>
        </w:rPr>
        <w:t> </w:t>
      </w:r>
      <w:r>
        <w:rPr/>
        <w:t>potable,</w:t>
      </w:r>
      <w:r>
        <w:rPr>
          <w:spacing w:val="-14"/>
        </w:rPr>
        <w:t> </w:t>
      </w:r>
      <w:r>
        <w:rPr/>
        <w:t>del</w:t>
      </w:r>
      <w:r>
        <w:rPr>
          <w:spacing w:val="-14"/>
        </w:rPr>
        <w:t> </w:t>
      </w:r>
      <w:r>
        <w:rPr/>
        <w:t>suministro</w:t>
      </w:r>
      <w:r>
        <w:rPr>
          <w:spacing w:val="-14"/>
        </w:rPr>
        <w:t> </w:t>
      </w:r>
      <w:r>
        <w:rPr/>
        <w:t>eléctrico y de la liberación de derechos de vía presentan avances</w:t>
      </w:r>
      <w:r>
        <w:rPr>
          <w:spacing w:val="-7"/>
        </w:rPr>
        <w:t> </w:t>
      </w:r>
      <w:r>
        <w:rPr/>
        <w:t>significativos</w:t>
      </w:r>
      <w:r>
        <w:rPr>
          <w:position w:val="8"/>
          <w:sz w:val="13"/>
        </w:rPr>
        <w:t>128</w:t>
      </w:r>
      <w:r>
        <w:rPr/>
        <w:t>.</w:t>
      </w:r>
    </w:p>
    <w:p>
      <w:pPr>
        <w:pStyle w:val="BodyText"/>
        <w:spacing w:before="7"/>
        <w:rPr>
          <w:sz w:val="22"/>
        </w:rPr>
      </w:pPr>
    </w:p>
    <w:p>
      <w:pPr>
        <w:pStyle w:val="BodyText"/>
        <w:spacing w:line="235" w:lineRule="auto" w:before="1"/>
        <w:ind w:left="110" w:right="114"/>
        <w:jc w:val="both"/>
      </w:pPr>
      <w:r>
        <w:rPr/>
        <w:t>Sobre las gestiones que el gobierno estatal ha realizado con la iniciativa privada, para 2007 existía lo siguiente: a) una alianza estratégica con la empresa consultora española </w:t>
      </w:r>
      <w:r>
        <w:rPr>
          <w:i/>
        </w:rPr>
        <w:t>PROINTEC </w:t>
      </w:r>
      <w:r>
        <w:rPr/>
        <w:t>para  la planeación, vinculación     y participación del proyecto; b) una sociedad mercantil denominada </w:t>
      </w:r>
      <w:r>
        <w:rPr>
          <w:i/>
        </w:rPr>
        <w:t>“Plataforma Logística de Tizayuca </w:t>
      </w:r>
      <w:r>
        <w:rPr>
          <w:i/>
          <w:spacing w:val="-4"/>
        </w:rPr>
        <w:t>PLATAH, </w:t>
      </w:r>
      <w:r>
        <w:rPr>
          <w:i/>
        </w:rPr>
        <w:t>S.A. de </w:t>
      </w:r>
      <w:r>
        <w:rPr>
          <w:i/>
          <w:spacing w:val="-6"/>
        </w:rPr>
        <w:t>C.V.”</w:t>
      </w:r>
      <w:r>
        <w:rPr>
          <w:spacing w:val="-6"/>
        </w:rPr>
        <w:t>; </w:t>
      </w:r>
      <w:r>
        <w:rPr/>
        <w:t>y c) capital social integrado con aportaciones públicas y privadas: gobierno del estado, empresarios</w:t>
      </w:r>
      <w:r>
        <w:rPr>
          <w:spacing w:val="-11"/>
        </w:rPr>
        <w:t> </w:t>
      </w:r>
      <w:r>
        <w:rPr/>
        <w:t>hidalguenses,</w:t>
      </w:r>
      <w:r>
        <w:rPr>
          <w:spacing w:val="-10"/>
        </w:rPr>
        <w:t> </w:t>
      </w:r>
      <w:r>
        <w:rPr/>
        <w:t>empresarios</w:t>
      </w:r>
      <w:r>
        <w:rPr>
          <w:spacing w:val="-11"/>
        </w:rPr>
        <w:t> </w:t>
      </w:r>
      <w:r>
        <w:rPr/>
        <w:t>nacionales</w:t>
      </w:r>
      <w:r>
        <w:rPr>
          <w:spacing w:val="-10"/>
        </w:rPr>
        <w:t> </w:t>
      </w:r>
      <w:r>
        <w:rPr/>
        <w:t>y</w:t>
      </w:r>
      <w:r>
        <w:rPr>
          <w:spacing w:val="-11"/>
        </w:rPr>
        <w:t> </w:t>
      </w:r>
      <w:r>
        <w:rPr/>
        <w:t>empresas</w:t>
      </w:r>
      <w:r>
        <w:rPr>
          <w:spacing w:val="-11"/>
        </w:rPr>
        <w:t> </w:t>
      </w:r>
      <w:r>
        <w:rPr/>
        <w:t>internacionales especializadas en</w:t>
      </w:r>
      <w:r>
        <w:rPr>
          <w:spacing w:val="3"/>
        </w:rPr>
        <w:t> </w:t>
      </w:r>
      <w:r>
        <w:rPr/>
        <w:t>logística</w:t>
      </w:r>
      <w:r>
        <w:rPr>
          <w:position w:val="8"/>
          <w:sz w:val="13"/>
        </w:rPr>
        <w:t>129</w:t>
      </w:r>
      <w:r>
        <w:rPr/>
        <w:t>.</w:t>
      </w:r>
    </w:p>
    <w:p>
      <w:pPr>
        <w:pStyle w:val="BodyText"/>
        <w:spacing w:before="10"/>
        <w:rPr>
          <w:sz w:val="22"/>
        </w:rPr>
      </w:pPr>
    </w:p>
    <w:p>
      <w:pPr>
        <w:pStyle w:val="BodyText"/>
        <w:spacing w:line="260" w:lineRule="exact"/>
        <w:ind w:left="110" w:right="114"/>
        <w:jc w:val="both"/>
      </w:pPr>
      <w:r>
        <w:rPr/>
        <w:t>Con esa organización, el proyecto fue presentado en el país y en el</w:t>
      </w:r>
      <w:r>
        <w:rPr>
          <w:spacing w:val="-31"/>
        </w:rPr>
        <w:t> </w:t>
      </w:r>
      <w:r>
        <w:rPr/>
        <w:t>extranjero a fin de integrar un mayor número de inversionistas, sin embargo, a partir de 2009 la crisis financiera internacional provocó desinterés en el proyecto y varios</w:t>
      </w:r>
      <w:r>
        <w:rPr>
          <w:spacing w:val="20"/>
        </w:rPr>
        <w:t> </w:t>
      </w:r>
      <w:r>
        <w:rPr/>
        <w:t>promovidos</w:t>
      </w:r>
      <w:r>
        <w:rPr>
          <w:spacing w:val="20"/>
        </w:rPr>
        <w:t> </w:t>
      </w:r>
      <w:r>
        <w:rPr/>
        <w:t>se</w:t>
      </w:r>
      <w:r>
        <w:rPr>
          <w:spacing w:val="20"/>
        </w:rPr>
        <w:t> </w:t>
      </w:r>
      <w:r>
        <w:rPr/>
        <w:t>retiraron</w:t>
      </w:r>
      <w:r>
        <w:rPr>
          <w:position w:val="8"/>
          <w:sz w:val="13"/>
        </w:rPr>
        <w:t>130</w:t>
      </w:r>
      <w:r>
        <w:rPr/>
        <w:t>.</w:t>
      </w:r>
      <w:r>
        <w:rPr>
          <w:spacing w:val="20"/>
        </w:rPr>
        <w:t> </w:t>
      </w:r>
      <w:r>
        <w:rPr/>
        <w:t>Para</w:t>
      </w:r>
      <w:r>
        <w:rPr>
          <w:spacing w:val="20"/>
        </w:rPr>
        <w:t> </w:t>
      </w:r>
      <w:r>
        <w:rPr/>
        <w:t>el</w:t>
      </w:r>
      <w:r>
        <w:rPr>
          <w:spacing w:val="20"/>
        </w:rPr>
        <w:t> </w:t>
      </w:r>
      <w:r>
        <w:rPr/>
        <w:t>año</w:t>
      </w:r>
      <w:r>
        <w:rPr>
          <w:spacing w:val="20"/>
        </w:rPr>
        <w:t> </w:t>
      </w:r>
      <w:r>
        <w:rPr/>
        <w:t>2012,</w:t>
      </w:r>
      <w:r>
        <w:rPr>
          <w:spacing w:val="20"/>
        </w:rPr>
        <w:t> </w:t>
      </w:r>
      <w:r>
        <w:rPr/>
        <w:t>el</w:t>
      </w:r>
      <w:r>
        <w:rPr>
          <w:spacing w:val="20"/>
        </w:rPr>
        <w:t> </w:t>
      </w:r>
      <w:r>
        <w:rPr/>
        <w:t>terreno</w:t>
      </w:r>
      <w:r>
        <w:rPr>
          <w:spacing w:val="19"/>
        </w:rPr>
        <w:t> </w:t>
      </w:r>
      <w:r>
        <w:rPr/>
        <w:t>del</w:t>
      </w:r>
      <w:r>
        <w:rPr>
          <w:spacing w:val="20"/>
        </w:rPr>
        <w:t> </w:t>
      </w:r>
      <w:r>
        <w:rPr/>
        <w:t>proyecto</w:t>
      </w:r>
    </w:p>
    <w:p>
      <w:pPr>
        <w:pStyle w:val="BodyText"/>
        <w:spacing w:before="9"/>
        <w:rPr>
          <w:sz w:val="10"/>
        </w:rPr>
      </w:pPr>
      <w:r>
        <w:rPr/>
        <w:pict>
          <v:line style="position:absolute;mso-position-horizontal-relative:page;mso-position-vertical-relative:paragraph;z-index:2608;mso-wrap-distance-left:0;mso-wrap-distance-right:0" from="42.519699pt,8.651393pt" to="114.519699pt,8.651393pt" stroked="true" strokeweight="1pt" strokecolor="#000000">
            <w10:wrap type="topAndBottom"/>
          </v:line>
        </w:pict>
      </w:r>
    </w:p>
    <w:p>
      <w:pPr>
        <w:spacing w:line="249" w:lineRule="auto" w:before="28"/>
        <w:ind w:left="393" w:right="114" w:hanging="284"/>
        <w:jc w:val="both"/>
        <w:rPr>
          <w:sz w:val="18"/>
        </w:rPr>
      </w:pPr>
      <w:r>
        <w:rPr>
          <w:position w:val="7"/>
          <w:sz w:val="11"/>
        </w:rPr>
        <w:t>126 </w:t>
      </w:r>
      <w:r>
        <w:rPr>
          <w:sz w:val="18"/>
        </w:rPr>
        <w:t>Información proporcionada por la unidad de enlace del servicio de administración tributaria (SAT), según solicitud con el número de expediente 0610100061311 del sistema INFOMEX gobierno federal, 24 de mayo de 2011.</w:t>
      </w:r>
    </w:p>
    <w:p>
      <w:pPr>
        <w:spacing w:before="20"/>
        <w:ind w:left="110" w:right="0" w:firstLine="0"/>
        <w:jc w:val="left"/>
        <w:rPr>
          <w:i/>
          <w:sz w:val="18"/>
        </w:rPr>
      </w:pPr>
      <w:r>
        <w:rPr>
          <w:w w:val="105"/>
          <w:position w:val="7"/>
          <w:sz w:val="11"/>
        </w:rPr>
        <w:t>127  </w:t>
      </w:r>
      <w:r>
        <w:rPr>
          <w:i/>
          <w:w w:val="105"/>
          <w:sz w:val="18"/>
        </w:rPr>
        <w:t>Ibídem.</w:t>
      </w:r>
    </w:p>
    <w:p>
      <w:pPr>
        <w:spacing w:line="249" w:lineRule="auto" w:before="28"/>
        <w:ind w:left="393" w:right="115" w:hanging="284"/>
        <w:jc w:val="both"/>
        <w:rPr>
          <w:sz w:val="18"/>
        </w:rPr>
      </w:pPr>
      <w:r>
        <w:rPr>
          <w:position w:val="7"/>
          <w:sz w:val="11"/>
        </w:rPr>
        <w:t>128 </w:t>
      </w:r>
      <w:r>
        <w:rPr>
          <w:sz w:val="18"/>
        </w:rPr>
        <w:t>Información proporcionada para esta investigación en entrevista con ex funcionarios estatales participantes en los proyectos estratégicos del estado, 8 de julio del 2011.</w:t>
      </w:r>
    </w:p>
    <w:p>
      <w:pPr>
        <w:spacing w:line="249" w:lineRule="auto" w:before="20"/>
        <w:ind w:left="393" w:right="115" w:hanging="284"/>
        <w:jc w:val="both"/>
        <w:rPr>
          <w:sz w:val="18"/>
        </w:rPr>
      </w:pPr>
      <w:r>
        <w:rPr>
          <w:position w:val="7"/>
          <w:sz w:val="11"/>
        </w:rPr>
        <w:t>129 </w:t>
      </w:r>
      <w:r>
        <w:rPr>
          <w:sz w:val="18"/>
        </w:rPr>
        <w:t>Gobierno del Estado de Hidalgo, </w:t>
      </w:r>
      <w:r>
        <w:rPr>
          <w:i/>
          <w:sz w:val="18"/>
        </w:rPr>
        <w:t>PLATAH, plataforma logística de Tizayuca, presentación de </w:t>
      </w:r>
      <w:r>
        <w:rPr>
          <w:i/>
          <w:sz w:val="18"/>
        </w:rPr>
        <w:t>gabinete PLATAH 190607; </w:t>
      </w:r>
      <w:r>
        <w:rPr>
          <w:sz w:val="18"/>
        </w:rPr>
        <w:t>México, presentación power point, junio de 2007, diapositiva 15.</w:t>
      </w:r>
    </w:p>
    <w:p>
      <w:pPr>
        <w:spacing w:line="249" w:lineRule="auto" w:before="20"/>
        <w:ind w:left="393" w:right="116" w:hanging="284"/>
        <w:jc w:val="both"/>
        <w:rPr>
          <w:sz w:val="18"/>
        </w:rPr>
      </w:pPr>
      <w:r>
        <w:rPr>
          <w:position w:val="7"/>
          <w:sz w:val="11"/>
        </w:rPr>
        <w:t>130 </w:t>
      </w:r>
      <w:r>
        <w:rPr>
          <w:sz w:val="18"/>
        </w:rPr>
        <w:t>Información proporcionada para esta investigación en entrevista con un funcionario estatal participante del proyecto PLATAH, 13 de octubre del 2010.</w:t>
      </w:r>
    </w:p>
    <w:p>
      <w:pPr>
        <w:spacing w:after="0" w:line="249" w:lineRule="auto"/>
        <w:jc w:val="both"/>
        <w:rPr>
          <w:sz w:val="18"/>
        </w:rPr>
        <w:sectPr>
          <w:pgSz w:w="9360" w:h="13040"/>
          <w:pgMar w:header="527" w:footer="515" w:top="720" w:bottom="700" w:left="740" w:right="1300"/>
        </w:sectPr>
      </w:pPr>
    </w:p>
    <w:p>
      <w:pPr>
        <w:pStyle w:val="BodyText"/>
        <w:spacing w:before="11"/>
        <w:rPr>
          <w:sz w:val="29"/>
        </w:rPr>
      </w:pPr>
    </w:p>
    <w:p>
      <w:pPr>
        <w:spacing w:line="260" w:lineRule="exact" w:before="77"/>
        <w:ind w:left="117" w:right="108" w:firstLine="0"/>
        <w:jc w:val="both"/>
        <w:rPr>
          <w:sz w:val="23"/>
        </w:rPr>
      </w:pPr>
      <w:r>
        <w:rPr>
          <w:sz w:val="23"/>
        </w:rPr>
        <w:t>plataforma logística de Tizayuca </w:t>
      </w:r>
      <w:r>
        <w:rPr>
          <w:spacing w:val="-6"/>
          <w:sz w:val="23"/>
        </w:rPr>
        <w:t>(PLATAH) </w:t>
      </w:r>
      <w:r>
        <w:rPr>
          <w:sz w:val="23"/>
        </w:rPr>
        <w:t>sigue siendo baldío tal como lo muestra la fotografía </w:t>
      </w:r>
      <w:r>
        <w:rPr>
          <w:i/>
          <w:spacing w:val="-4"/>
          <w:sz w:val="23"/>
        </w:rPr>
        <w:t>“Terreno </w:t>
      </w:r>
      <w:r>
        <w:rPr>
          <w:i/>
          <w:sz w:val="23"/>
        </w:rPr>
        <w:t>del proyecto plataforma logística de</w:t>
      </w:r>
      <w:r>
        <w:rPr>
          <w:i/>
          <w:spacing w:val="-20"/>
          <w:sz w:val="23"/>
        </w:rPr>
        <w:t> </w:t>
      </w:r>
      <w:r>
        <w:rPr>
          <w:i/>
          <w:sz w:val="23"/>
        </w:rPr>
        <w:t>Tizayuca </w:t>
      </w:r>
      <w:r>
        <w:rPr>
          <w:i/>
          <w:spacing w:val="-3"/>
          <w:sz w:val="23"/>
        </w:rPr>
        <w:t>(PLATAH)” </w:t>
      </w:r>
      <w:r>
        <w:rPr>
          <w:sz w:val="23"/>
        </w:rPr>
        <w:t>en los </w:t>
      </w:r>
      <w:r>
        <w:rPr>
          <w:i/>
          <w:sz w:val="23"/>
        </w:rPr>
        <w:t>“Anexos del Capítulo IV”. </w:t>
      </w:r>
      <w:r>
        <w:rPr>
          <w:sz w:val="23"/>
        </w:rPr>
        <w:t>Como avance relativo, durante la campaña presidencial del 2012 el aeropuerto del proyecto </w:t>
      </w:r>
      <w:r>
        <w:rPr>
          <w:spacing w:val="-8"/>
          <w:sz w:val="23"/>
        </w:rPr>
        <w:t>PLATAH </w:t>
      </w:r>
      <w:r>
        <w:rPr>
          <w:sz w:val="23"/>
        </w:rPr>
        <w:t>pasó  a formar parte de los compromisos del candidato del Partido Revolucionario Institucional (candidato ganador de la elección).</w:t>
      </w:r>
    </w:p>
    <w:p>
      <w:pPr>
        <w:pStyle w:val="BodyText"/>
        <w:spacing w:before="7"/>
        <w:rPr>
          <w:sz w:val="22"/>
        </w:rPr>
      </w:pPr>
    </w:p>
    <w:p>
      <w:pPr>
        <w:pStyle w:val="BodyText"/>
        <w:spacing w:line="260" w:lineRule="exact"/>
        <w:ind w:left="117" w:right="107"/>
        <w:jc w:val="both"/>
      </w:pPr>
      <w:r>
        <w:rPr/>
        <w:t>En resumen, la falta de inversión privada se suma a la demora en la concesión del aeropuerto y a la carencia real del servicio ferroviario, inclinando negativamente la balanza con respecto a logros concretados  como la disposición de servicios básicos, aduaneros y carreteros. Sin una mesa de coordinación intergubernamental instalada, el proyecto </w:t>
      </w:r>
      <w:r>
        <w:rPr>
          <w:spacing w:val="-9"/>
        </w:rPr>
        <w:t>PLATAH </w:t>
      </w:r>
      <w:r>
        <w:rPr/>
        <w:t>mantiene cierta exclusividad y ningún apresuramiento; imitando la conducta especulativa del sector inmobiliario. En ese sentido, la proyección de áreas habitacionales</w:t>
      </w:r>
      <w:r>
        <w:rPr>
          <w:spacing w:val="-13"/>
        </w:rPr>
        <w:t> </w:t>
      </w:r>
      <w:r>
        <w:rPr/>
        <w:t>resulta</w:t>
      </w:r>
      <w:r>
        <w:rPr>
          <w:spacing w:val="-13"/>
        </w:rPr>
        <w:t> </w:t>
      </w:r>
      <w:r>
        <w:rPr/>
        <w:t>ser</w:t>
      </w:r>
      <w:r>
        <w:rPr>
          <w:spacing w:val="-13"/>
        </w:rPr>
        <w:t> </w:t>
      </w:r>
      <w:r>
        <w:rPr/>
        <w:t>un</w:t>
      </w:r>
      <w:r>
        <w:rPr>
          <w:spacing w:val="-13"/>
        </w:rPr>
        <w:t> </w:t>
      </w:r>
      <w:r>
        <w:rPr/>
        <w:t>uso</w:t>
      </w:r>
      <w:r>
        <w:rPr>
          <w:spacing w:val="-13"/>
        </w:rPr>
        <w:t> </w:t>
      </w:r>
      <w:r>
        <w:rPr/>
        <w:t>discordante</w:t>
      </w:r>
      <w:r>
        <w:rPr>
          <w:spacing w:val="-13"/>
        </w:rPr>
        <w:t> </w:t>
      </w:r>
      <w:r>
        <w:rPr/>
        <w:t>con</w:t>
      </w:r>
      <w:r>
        <w:rPr>
          <w:spacing w:val="-12"/>
        </w:rPr>
        <w:t> </w:t>
      </w:r>
      <w:r>
        <w:rPr/>
        <w:t>la</w:t>
      </w:r>
      <w:r>
        <w:rPr>
          <w:spacing w:val="-13"/>
        </w:rPr>
        <w:t> </w:t>
      </w:r>
      <w:r>
        <w:rPr/>
        <w:t>industria</w:t>
      </w:r>
      <w:r>
        <w:rPr>
          <w:spacing w:val="-13"/>
        </w:rPr>
        <w:t> </w:t>
      </w:r>
      <w:r>
        <w:rPr/>
        <w:t>y</w:t>
      </w:r>
      <w:r>
        <w:rPr>
          <w:spacing w:val="-13"/>
        </w:rPr>
        <w:t> </w:t>
      </w:r>
      <w:r>
        <w:rPr/>
        <w:t>de</w:t>
      </w:r>
      <w:r>
        <w:rPr>
          <w:spacing w:val="-13"/>
        </w:rPr>
        <w:t> </w:t>
      </w:r>
      <w:r>
        <w:rPr/>
        <w:t>justificación funcional cuestionable.</w:t>
      </w:r>
    </w:p>
    <w:p>
      <w:pPr>
        <w:pStyle w:val="BodyText"/>
        <w:spacing w:before="4"/>
        <w:rPr>
          <w:sz w:val="22"/>
        </w:rPr>
      </w:pPr>
    </w:p>
    <w:p>
      <w:pPr>
        <w:pStyle w:val="BodyText"/>
        <w:spacing w:line="235" w:lineRule="auto"/>
        <w:ind w:left="117" w:right="108"/>
        <w:jc w:val="both"/>
      </w:pPr>
      <w:r>
        <w:rPr/>
        <w:t>Por todo lo anterior, la realidad tangible es que, a once años de su inicio, el proyecto </w:t>
      </w:r>
      <w:r>
        <w:rPr>
          <w:spacing w:val="-8"/>
        </w:rPr>
        <w:t>PLATAH </w:t>
      </w:r>
      <w:r>
        <w:rPr/>
        <w:t>se compone por: 1) un terreno patrimonial del gobierno del Estado de Hidalgo; 2) un proyecto de obra civil y arquitectónica; y 3)  una agenda de gestión, pausada y no concurrente, de trámites sobre el proyecto referido. El gobierno estatal actual parece tener conciencia de las inconsistencias acumuladas al percibir el proyecto </w:t>
      </w:r>
      <w:r>
        <w:rPr>
          <w:spacing w:val="-8"/>
        </w:rPr>
        <w:t>PLATAH </w:t>
      </w:r>
      <w:r>
        <w:rPr/>
        <w:t>como </w:t>
      </w:r>
      <w:r>
        <w:rPr>
          <w:i/>
        </w:rPr>
        <w:t>piezas de </w:t>
      </w:r>
      <w:r>
        <w:rPr>
          <w:i/>
        </w:rPr>
        <w:t>ajedrez dispersas</w:t>
      </w:r>
      <w:r>
        <w:rPr/>
        <w:t>, en cuyo contexto, </w:t>
      </w:r>
      <w:r>
        <w:rPr>
          <w:i/>
        </w:rPr>
        <w:t>se quiere vender algo que sólo se tiene </w:t>
      </w:r>
      <w:r>
        <w:rPr>
          <w:i/>
        </w:rPr>
        <w:t>en el papel</w:t>
      </w:r>
      <w:r>
        <w:rPr/>
        <w:t>, por lo que en la actualidad se percibe cierta apertura hacia el replanteamiento: </w:t>
      </w:r>
      <w:r>
        <w:rPr>
          <w:i/>
        </w:rPr>
        <w:t>se deben cerrar carpetas y no seguir</w:t>
      </w:r>
      <w:r>
        <w:rPr>
          <w:i/>
          <w:spacing w:val="-3"/>
        </w:rPr>
        <w:t> </w:t>
      </w:r>
      <w:r>
        <w:rPr>
          <w:i/>
        </w:rPr>
        <w:t>empeñado</w:t>
      </w:r>
      <w:r>
        <w:rPr>
          <w:position w:val="8"/>
          <w:sz w:val="13"/>
        </w:rPr>
        <w:t>131</w:t>
      </w:r>
      <w:r>
        <w:rPr/>
        <w:t>.</w:t>
      </w:r>
    </w:p>
    <w:p>
      <w:pPr>
        <w:pStyle w:val="BodyText"/>
        <w:spacing w:before="10"/>
        <w:rPr>
          <w:sz w:val="22"/>
        </w:rPr>
      </w:pPr>
    </w:p>
    <w:p>
      <w:pPr>
        <w:pStyle w:val="Heading3"/>
        <w:spacing w:line="260" w:lineRule="exact"/>
        <w:ind w:right="108"/>
      </w:pPr>
      <w:r>
        <w:rPr/>
        <w:t>El proyecto puerto interior de carga Tepeji del Río (Hudchinson Port Holdings).</w:t>
      </w:r>
    </w:p>
    <w:p>
      <w:pPr>
        <w:pStyle w:val="BodyText"/>
        <w:spacing w:before="7"/>
        <w:rPr>
          <w:b/>
          <w:sz w:val="22"/>
        </w:rPr>
      </w:pPr>
    </w:p>
    <w:p>
      <w:pPr>
        <w:pStyle w:val="BodyText"/>
        <w:spacing w:line="260" w:lineRule="exact"/>
        <w:ind w:left="117" w:right="107"/>
        <w:jc w:val="both"/>
      </w:pPr>
      <w:r>
        <w:rPr/>
        <w:t>El puerto interior de carga </w:t>
      </w:r>
      <w:r>
        <w:rPr>
          <w:spacing w:val="-3"/>
        </w:rPr>
        <w:t>Tepeji </w:t>
      </w:r>
      <w:r>
        <w:rPr/>
        <w:t>del Río constituye una segunda adaptación del modelo de industrialización que ha resultado relativamente exitoso en otros estados. Su ubicación obedece al aprovechamiento de las prerrogativas de la zona metropolitana del </w:t>
      </w:r>
      <w:r>
        <w:rPr>
          <w:spacing w:val="-6"/>
        </w:rPr>
        <w:t>Valle </w:t>
      </w:r>
      <w:r>
        <w:rPr/>
        <w:t>de México, guardando así analogía con el proyecto </w:t>
      </w:r>
      <w:r>
        <w:rPr>
          <w:spacing w:val="-7"/>
        </w:rPr>
        <w:t>PLATAH, </w:t>
      </w:r>
      <w:r>
        <w:rPr/>
        <w:t>asimismo, se prevé la posible vinculación funcional con éste último emplazamiento. En ese sentido, la estación logística de </w:t>
      </w:r>
      <w:r>
        <w:rPr>
          <w:spacing w:val="-3"/>
        </w:rPr>
        <w:t>Tepeji </w:t>
      </w:r>
      <w:r>
        <w:rPr/>
        <w:t>del Río operará con medios de transporte que arriben por la autopista México</w:t>
      </w:r>
    </w:p>
    <w:p>
      <w:pPr>
        <w:pStyle w:val="BodyText"/>
        <w:spacing w:before="2"/>
        <w:rPr>
          <w:sz w:val="11"/>
        </w:rPr>
      </w:pPr>
      <w:r>
        <w:rPr/>
        <w:pict>
          <v:line style="position:absolute;mso-position-horizontal-relative:page;mso-position-vertical-relative:paragraph;z-index:2632;mso-wrap-distance-left:0;mso-wrap-distance-right:0" from="70.866096pt,8.894598pt" to="142.866096pt,8.894598pt" stroked="true" strokeweight="1pt" strokecolor="#000000">
            <w10:wrap type="topAndBottom"/>
          </v:line>
        </w:pict>
      </w:r>
    </w:p>
    <w:p>
      <w:pPr>
        <w:spacing w:line="249" w:lineRule="auto" w:before="28"/>
        <w:ind w:left="400" w:right="0" w:hanging="284"/>
        <w:jc w:val="left"/>
        <w:rPr>
          <w:sz w:val="18"/>
        </w:rPr>
      </w:pPr>
      <w:r>
        <w:rPr>
          <w:position w:val="7"/>
          <w:sz w:val="11"/>
        </w:rPr>
        <w:t>131 </w:t>
      </w:r>
      <w:r>
        <w:rPr>
          <w:sz w:val="18"/>
        </w:rPr>
        <w:t>Información proporcionada para esta investigación en entrevista con ex funcionarios estatales participantes en los proyectos estratégicos del estado, 8 de julio del 2011.</w:t>
      </w:r>
    </w:p>
    <w:p>
      <w:pPr>
        <w:spacing w:after="0" w:line="249" w:lineRule="auto"/>
        <w:jc w:val="left"/>
        <w:rPr>
          <w:sz w:val="18"/>
        </w:rPr>
        <w:sectPr>
          <w:pgSz w:w="9360" w:h="13040"/>
          <w:pgMar w:header="547" w:footer="514" w:top="940" w:bottom="700" w:left="1300" w:right="740"/>
        </w:sectPr>
      </w:pPr>
    </w:p>
    <w:p>
      <w:pPr>
        <w:pStyle w:val="BodyText"/>
        <w:rPr>
          <w:sz w:val="20"/>
        </w:rPr>
      </w:pPr>
    </w:p>
    <w:p>
      <w:pPr>
        <w:pStyle w:val="BodyText"/>
        <w:spacing w:before="1"/>
        <w:rPr>
          <w:sz w:val="29"/>
        </w:rPr>
      </w:pPr>
    </w:p>
    <w:p>
      <w:pPr>
        <w:pStyle w:val="BodyText"/>
        <w:spacing w:line="235" w:lineRule="auto" w:before="75"/>
        <w:ind w:left="110" w:right="114"/>
        <w:jc w:val="both"/>
      </w:pPr>
      <w:r>
        <w:rPr/>
        <w:t>Querétaro (considerada el eje carretero</w:t>
      </w:r>
      <w:r>
        <w:rPr>
          <w:spacing w:val="-40"/>
        </w:rPr>
        <w:t> </w:t>
      </w:r>
      <w:r>
        <w:rPr/>
        <w:t>panamericano: 57 </w:t>
      </w:r>
      <w:r>
        <w:rPr>
          <w:spacing w:val="-5"/>
        </w:rPr>
        <w:t>NAFTA </w:t>
      </w:r>
      <w:r>
        <w:rPr/>
        <w:t>Highway), por</w:t>
      </w:r>
      <w:r>
        <w:rPr>
          <w:spacing w:val="-18"/>
        </w:rPr>
        <w:t> </w:t>
      </w:r>
      <w:r>
        <w:rPr/>
        <w:t>las</w:t>
      </w:r>
      <w:r>
        <w:rPr>
          <w:spacing w:val="-18"/>
        </w:rPr>
        <w:t> </w:t>
      </w:r>
      <w:r>
        <w:rPr/>
        <w:t>vías</w:t>
      </w:r>
      <w:r>
        <w:rPr>
          <w:spacing w:val="-18"/>
        </w:rPr>
        <w:t> </w:t>
      </w:r>
      <w:r>
        <w:rPr/>
        <w:t>férreas</w:t>
      </w:r>
      <w:r>
        <w:rPr>
          <w:spacing w:val="-18"/>
        </w:rPr>
        <w:t> </w:t>
      </w:r>
      <w:r>
        <w:rPr/>
        <w:t>concesionadas</w:t>
      </w:r>
      <w:r>
        <w:rPr>
          <w:spacing w:val="-19"/>
        </w:rPr>
        <w:t> </w:t>
      </w:r>
      <w:r>
        <w:rPr/>
        <w:t>a</w:t>
      </w:r>
      <w:r>
        <w:rPr>
          <w:spacing w:val="-18"/>
        </w:rPr>
        <w:t> </w:t>
      </w:r>
      <w:r>
        <w:rPr/>
        <w:t>Ferrosur</w:t>
      </w:r>
      <w:r>
        <w:rPr>
          <w:spacing w:val="-17"/>
        </w:rPr>
        <w:t> </w:t>
      </w:r>
      <w:r>
        <w:rPr/>
        <w:t>y</w:t>
      </w:r>
      <w:r>
        <w:rPr>
          <w:spacing w:val="-18"/>
        </w:rPr>
        <w:t> </w:t>
      </w:r>
      <w:r>
        <w:rPr/>
        <w:t>a</w:t>
      </w:r>
      <w:r>
        <w:rPr>
          <w:spacing w:val="-18"/>
        </w:rPr>
        <w:t> </w:t>
      </w:r>
      <w:r>
        <w:rPr/>
        <w:t>Kansas</w:t>
      </w:r>
      <w:r>
        <w:rPr>
          <w:spacing w:val="-17"/>
        </w:rPr>
        <w:t> </w:t>
      </w:r>
      <w:r>
        <w:rPr/>
        <w:t>City</w:t>
      </w:r>
      <w:r>
        <w:rPr>
          <w:spacing w:val="-18"/>
        </w:rPr>
        <w:t> </w:t>
      </w:r>
      <w:r>
        <w:rPr/>
        <w:t>Southern</w:t>
      </w:r>
      <w:r>
        <w:rPr>
          <w:spacing w:val="-17"/>
        </w:rPr>
        <w:t> </w:t>
      </w:r>
      <w:r>
        <w:rPr/>
        <w:t>México (KCSM), y por el arco norte (cuya importancia estratégica se describe en el apartado anterior). Se considera que en </w:t>
      </w:r>
      <w:r>
        <w:rPr>
          <w:spacing w:val="-3"/>
        </w:rPr>
        <w:t>Tepeji </w:t>
      </w:r>
      <w:r>
        <w:rPr/>
        <w:t>del Río se instalará el puerto seco más grande de Latinoamérica, el cual estará a cargo de la iniciativa privada y contará con cuarenta mil viviendas adjuntas</w:t>
      </w:r>
      <w:r>
        <w:rPr>
          <w:position w:val="8"/>
          <w:sz w:val="13"/>
        </w:rPr>
        <w:t>132</w:t>
      </w:r>
      <w:r>
        <w:rPr/>
        <w:t>. Estará compuesto por dos fracciones, la zona de actividades logísticas y la terminal intermodal, ésta última incluirá una plataforma de carga, un patio de almacén de autos y la aduana</w:t>
      </w:r>
      <w:r>
        <w:rPr>
          <w:position w:val="8"/>
          <w:sz w:val="13"/>
        </w:rPr>
        <w:t>133</w:t>
      </w:r>
      <w:r>
        <w:rPr/>
        <w:t>. La primera fase incluirá el desarrollo de doscientas hectáreas de un total de quinientas cuarenta y</w:t>
      </w:r>
      <w:r>
        <w:rPr>
          <w:spacing w:val="3"/>
        </w:rPr>
        <w:t> </w:t>
      </w:r>
      <w:r>
        <w:rPr/>
        <w:t>una</w:t>
      </w:r>
      <w:r>
        <w:rPr>
          <w:position w:val="8"/>
          <w:sz w:val="13"/>
        </w:rPr>
        <w:t>134</w:t>
      </w:r>
      <w:r>
        <w:rPr/>
        <w:t>.</w:t>
      </w:r>
    </w:p>
    <w:p>
      <w:pPr>
        <w:pStyle w:val="BodyText"/>
        <w:spacing w:before="7"/>
        <w:rPr>
          <w:sz w:val="22"/>
        </w:rPr>
      </w:pPr>
    </w:p>
    <w:p>
      <w:pPr>
        <w:pStyle w:val="BodyText"/>
        <w:spacing w:line="235" w:lineRule="auto" w:before="1"/>
        <w:ind w:left="110" w:right="114"/>
        <w:jc w:val="both"/>
      </w:pPr>
      <w:r>
        <w:rPr/>
        <w:t>La gestión de la estación logística de Tepeji del Río </w:t>
      </w:r>
      <w:r>
        <w:rPr>
          <w:i/>
        </w:rPr>
        <w:t>inició en lo empresarial, </w:t>
      </w:r>
      <w:r>
        <w:rPr>
          <w:i/>
        </w:rPr>
        <w:t>se jugó al revés que en el proyecto PLATAH</w:t>
      </w:r>
      <w:r>
        <w:rPr>
          <w:position w:val="8"/>
          <w:sz w:val="13"/>
        </w:rPr>
        <w:t>135</w:t>
      </w:r>
      <w:r>
        <w:rPr/>
        <w:t>, por lo cual, la gestión organizacional entre el gobierno estatal y la iniciativa privada se percibe sostenible y muy bien definida. En el año 2009 se constituyó un fideicomiso cuyo patrimonio se compuso por los terrenos que el gobierno estatal había aportado para el desarrollo del proyecto y sus reservas, por las obras y construcciones permanentes que en su caso se realizaran sobre los terrenos fideicomitidos, y por las sumas de dinero provenientes de la venta de los lotes</w:t>
      </w:r>
      <w:r>
        <w:rPr>
          <w:position w:val="8"/>
          <w:sz w:val="13"/>
        </w:rPr>
        <w:t>136</w:t>
      </w:r>
      <w:r>
        <w:rPr/>
        <w:t>.</w:t>
      </w:r>
    </w:p>
    <w:p>
      <w:pPr>
        <w:pStyle w:val="BodyText"/>
        <w:spacing w:before="10"/>
        <w:rPr>
          <w:sz w:val="22"/>
        </w:rPr>
      </w:pPr>
    </w:p>
    <w:p>
      <w:pPr>
        <w:pStyle w:val="BodyText"/>
        <w:spacing w:line="260" w:lineRule="exact"/>
        <w:ind w:left="110" w:right="114"/>
        <w:jc w:val="both"/>
      </w:pPr>
      <w:r>
        <w:rPr/>
        <w:t>Adicionalmente, existe un plan de negocios en donde se ha convenido las obligaciones</w:t>
      </w:r>
      <w:r>
        <w:rPr>
          <w:spacing w:val="-19"/>
        </w:rPr>
        <w:t> </w:t>
      </w:r>
      <w:r>
        <w:rPr/>
        <w:t>del</w:t>
      </w:r>
      <w:r>
        <w:rPr>
          <w:spacing w:val="-19"/>
        </w:rPr>
        <w:t> </w:t>
      </w:r>
      <w:r>
        <w:rPr/>
        <w:t>gobierno</w:t>
      </w:r>
      <w:r>
        <w:rPr>
          <w:spacing w:val="-19"/>
        </w:rPr>
        <w:t> </w:t>
      </w:r>
      <w:r>
        <w:rPr/>
        <w:t>estatal:</w:t>
      </w:r>
      <w:r>
        <w:rPr>
          <w:spacing w:val="-19"/>
        </w:rPr>
        <w:t> </w:t>
      </w:r>
      <w:r>
        <w:rPr/>
        <w:t>a)</w:t>
      </w:r>
      <w:r>
        <w:rPr>
          <w:spacing w:val="-19"/>
        </w:rPr>
        <w:t> </w:t>
      </w:r>
      <w:r>
        <w:rPr/>
        <w:t>conseguir</w:t>
      </w:r>
      <w:r>
        <w:rPr>
          <w:spacing w:val="-19"/>
        </w:rPr>
        <w:t> </w:t>
      </w:r>
      <w:r>
        <w:rPr/>
        <w:t>el</w:t>
      </w:r>
      <w:r>
        <w:rPr>
          <w:spacing w:val="-19"/>
        </w:rPr>
        <w:t> </w:t>
      </w:r>
      <w:r>
        <w:rPr/>
        <w:t>establecimiento</w:t>
      </w:r>
      <w:r>
        <w:rPr>
          <w:spacing w:val="-19"/>
        </w:rPr>
        <w:t> </w:t>
      </w:r>
      <w:r>
        <w:rPr/>
        <w:t>de</w:t>
      </w:r>
      <w:r>
        <w:rPr>
          <w:spacing w:val="-19"/>
        </w:rPr>
        <w:t> </w:t>
      </w:r>
      <w:r>
        <w:rPr/>
        <w:t>la</w:t>
      </w:r>
      <w:r>
        <w:rPr>
          <w:spacing w:val="-19"/>
        </w:rPr>
        <w:t> </w:t>
      </w:r>
      <w:r>
        <w:rPr/>
        <w:t>aduana;</w:t>
      </w:r>
    </w:p>
    <w:p>
      <w:pPr>
        <w:pStyle w:val="BodyText"/>
        <w:spacing w:line="260" w:lineRule="exact"/>
        <w:ind w:left="110" w:right="114"/>
        <w:jc w:val="both"/>
      </w:pPr>
      <w:r>
        <w:rPr/>
        <w:t>b)</w:t>
      </w:r>
      <w:r>
        <w:rPr>
          <w:spacing w:val="-15"/>
        </w:rPr>
        <w:t> </w:t>
      </w:r>
      <w:r>
        <w:rPr/>
        <w:t>construir</w:t>
      </w:r>
      <w:r>
        <w:rPr>
          <w:spacing w:val="-15"/>
        </w:rPr>
        <w:t> </w:t>
      </w:r>
      <w:r>
        <w:rPr/>
        <w:t>la</w:t>
      </w:r>
      <w:r>
        <w:rPr>
          <w:spacing w:val="-15"/>
        </w:rPr>
        <w:t> </w:t>
      </w:r>
      <w:r>
        <w:rPr/>
        <w:t>vialidad</w:t>
      </w:r>
      <w:r>
        <w:rPr>
          <w:spacing w:val="-15"/>
        </w:rPr>
        <w:t> </w:t>
      </w:r>
      <w:r>
        <w:rPr/>
        <w:t>de</w:t>
      </w:r>
      <w:r>
        <w:rPr>
          <w:spacing w:val="-15"/>
        </w:rPr>
        <w:t> </w:t>
      </w:r>
      <w:r>
        <w:rPr/>
        <w:t>acceso</w:t>
      </w:r>
      <w:r>
        <w:rPr>
          <w:spacing w:val="-15"/>
        </w:rPr>
        <w:t> </w:t>
      </w:r>
      <w:r>
        <w:rPr/>
        <w:t>a</w:t>
      </w:r>
      <w:r>
        <w:rPr>
          <w:spacing w:val="-15"/>
        </w:rPr>
        <w:t> </w:t>
      </w:r>
      <w:r>
        <w:rPr/>
        <w:t>la</w:t>
      </w:r>
      <w:r>
        <w:rPr>
          <w:spacing w:val="-15"/>
        </w:rPr>
        <w:t> </w:t>
      </w:r>
      <w:r>
        <w:rPr/>
        <w:t>zona</w:t>
      </w:r>
      <w:r>
        <w:rPr>
          <w:spacing w:val="-15"/>
        </w:rPr>
        <w:t> </w:t>
      </w:r>
      <w:r>
        <w:rPr/>
        <w:t>de</w:t>
      </w:r>
      <w:r>
        <w:rPr>
          <w:spacing w:val="-15"/>
        </w:rPr>
        <w:t> </w:t>
      </w:r>
      <w:r>
        <w:rPr/>
        <w:t>actividad</w:t>
      </w:r>
      <w:r>
        <w:rPr>
          <w:spacing w:val="-15"/>
        </w:rPr>
        <w:t> </w:t>
      </w:r>
      <w:r>
        <w:rPr/>
        <w:t>logística</w:t>
      </w:r>
      <w:r>
        <w:rPr>
          <w:spacing w:val="-15"/>
        </w:rPr>
        <w:t> </w:t>
      </w:r>
      <w:r>
        <w:rPr/>
        <w:t>y</w:t>
      </w:r>
      <w:r>
        <w:rPr>
          <w:spacing w:val="-15"/>
        </w:rPr>
        <w:t> </w:t>
      </w:r>
      <w:r>
        <w:rPr/>
        <w:t>a</w:t>
      </w:r>
      <w:r>
        <w:rPr>
          <w:spacing w:val="-15"/>
        </w:rPr>
        <w:t> </w:t>
      </w:r>
      <w:r>
        <w:rPr/>
        <w:t>la</w:t>
      </w:r>
      <w:r>
        <w:rPr>
          <w:spacing w:val="-15"/>
        </w:rPr>
        <w:t> </w:t>
      </w:r>
      <w:r>
        <w:rPr/>
        <w:t>terminal intermodal,</w:t>
      </w:r>
      <w:r>
        <w:rPr>
          <w:spacing w:val="-16"/>
        </w:rPr>
        <w:t> </w:t>
      </w:r>
      <w:r>
        <w:rPr/>
        <w:t>incluyendo</w:t>
      </w:r>
      <w:r>
        <w:rPr>
          <w:spacing w:val="-16"/>
        </w:rPr>
        <w:t> </w:t>
      </w:r>
      <w:r>
        <w:rPr/>
        <w:t>la</w:t>
      </w:r>
      <w:r>
        <w:rPr>
          <w:spacing w:val="-15"/>
        </w:rPr>
        <w:t> </w:t>
      </w:r>
      <w:r>
        <w:rPr/>
        <w:t>gaza</w:t>
      </w:r>
      <w:r>
        <w:rPr>
          <w:spacing w:val="-15"/>
        </w:rPr>
        <w:t> </w:t>
      </w:r>
      <w:r>
        <w:rPr/>
        <w:t>de</w:t>
      </w:r>
      <w:r>
        <w:rPr>
          <w:spacing w:val="-15"/>
        </w:rPr>
        <w:t> </w:t>
      </w:r>
      <w:r>
        <w:rPr/>
        <w:t>incorporación</w:t>
      </w:r>
      <w:r>
        <w:rPr>
          <w:spacing w:val="-16"/>
        </w:rPr>
        <w:t> </w:t>
      </w:r>
      <w:r>
        <w:rPr/>
        <w:t>a</w:t>
      </w:r>
      <w:r>
        <w:rPr>
          <w:spacing w:val="-15"/>
        </w:rPr>
        <w:t> </w:t>
      </w:r>
      <w:r>
        <w:rPr/>
        <w:t>la</w:t>
      </w:r>
      <w:r>
        <w:rPr>
          <w:spacing w:val="-15"/>
        </w:rPr>
        <w:t> </w:t>
      </w:r>
      <w:r>
        <w:rPr/>
        <w:t>carretera</w:t>
      </w:r>
      <w:r>
        <w:rPr>
          <w:spacing w:val="-16"/>
        </w:rPr>
        <w:t> </w:t>
      </w:r>
      <w:r>
        <w:rPr/>
        <w:t>federal</w:t>
      </w:r>
      <w:r>
        <w:rPr>
          <w:spacing w:val="-15"/>
        </w:rPr>
        <w:t> </w:t>
      </w:r>
      <w:r>
        <w:rPr/>
        <w:t>Jorobas- Tula; c) construir el puente de cruce sobre las vías férreas concesionadas a la empresa</w:t>
      </w:r>
      <w:r>
        <w:rPr>
          <w:spacing w:val="-14"/>
        </w:rPr>
        <w:t> </w:t>
      </w:r>
      <w:r>
        <w:rPr/>
        <w:t>Kansas</w:t>
      </w:r>
      <w:r>
        <w:rPr>
          <w:spacing w:val="-13"/>
        </w:rPr>
        <w:t> </w:t>
      </w:r>
      <w:r>
        <w:rPr/>
        <w:t>City</w:t>
      </w:r>
      <w:r>
        <w:rPr>
          <w:spacing w:val="-14"/>
        </w:rPr>
        <w:t> </w:t>
      </w:r>
      <w:r>
        <w:rPr/>
        <w:t>Southern</w:t>
      </w:r>
      <w:r>
        <w:rPr>
          <w:spacing w:val="-13"/>
        </w:rPr>
        <w:t> </w:t>
      </w:r>
      <w:r>
        <w:rPr/>
        <w:t>de</w:t>
      </w:r>
      <w:r>
        <w:rPr>
          <w:spacing w:val="-14"/>
        </w:rPr>
        <w:t> </w:t>
      </w:r>
      <w:r>
        <w:rPr/>
        <w:t>México;</w:t>
      </w:r>
      <w:r>
        <w:rPr>
          <w:spacing w:val="-13"/>
        </w:rPr>
        <w:t> </w:t>
      </w:r>
      <w:r>
        <w:rPr/>
        <w:t>d)</w:t>
      </w:r>
      <w:r>
        <w:rPr>
          <w:spacing w:val="-14"/>
        </w:rPr>
        <w:t> </w:t>
      </w:r>
      <w:r>
        <w:rPr/>
        <w:t>construir</w:t>
      </w:r>
      <w:r>
        <w:rPr>
          <w:spacing w:val="-14"/>
        </w:rPr>
        <w:t> </w:t>
      </w:r>
      <w:r>
        <w:rPr/>
        <w:t>las</w:t>
      </w:r>
      <w:r>
        <w:rPr>
          <w:spacing w:val="-14"/>
        </w:rPr>
        <w:t> </w:t>
      </w:r>
      <w:r>
        <w:rPr/>
        <w:t>espuelas</w:t>
      </w:r>
      <w:r>
        <w:rPr>
          <w:spacing w:val="-14"/>
        </w:rPr>
        <w:t> </w:t>
      </w:r>
      <w:r>
        <w:rPr/>
        <w:t>de</w:t>
      </w:r>
      <w:r>
        <w:rPr>
          <w:spacing w:val="-14"/>
        </w:rPr>
        <w:t> </w:t>
      </w:r>
      <w:r>
        <w:rPr/>
        <w:t>entrada y</w:t>
      </w:r>
      <w:r>
        <w:rPr>
          <w:spacing w:val="-9"/>
        </w:rPr>
        <w:t> </w:t>
      </w:r>
      <w:r>
        <w:rPr/>
        <w:t>salida</w:t>
      </w:r>
      <w:r>
        <w:rPr>
          <w:spacing w:val="-9"/>
        </w:rPr>
        <w:t> </w:t>
      </w:r>
      <w:r>
        <w:rPr/>
        <w:t>ferroviarias</w:t>
      </w:r>
      <w:r>
        <w:rPr>
          <w:spacing w:val="-9"/>
        </w:rPr>
        <w:t> </w:t>
      </w:r>
      <w:r>
        <w:rPr/>
        <w:t>que</w:t>
      </w:r>
      <w:r>
        <w:rPr>
          <w:spacing w:val="-9"/>
        </w:rPr>
        <w:t> </w:t>
      </w:r>
      <w:r>
        <w:rPr/>
        <w:t>interconectaran</w:t>
      </w:r>
      <w:r>
        <w:rPr>
          <w:spacing w:val="-9"/>
        </w:rPr>
        <w:t> </w:t>
      </w:r>
      <w:r>
        <w:rPr/>
        <w:t>las</w:t>
      </w:r>
      <w:r>
        <w:rPr>
          <w:spacing w:val="-9"/>
        </w:rPr>
        <w:t> </w:t>
      </w:r>
      <w:r>
        <w:rPr/>
        <w:t>vías</w:t>
      </w:r>
      <w:r>
        <w:rPr>
          <w:spacing w:val="-9"/>
        </w:rPr>
        <w:t> </w:t>
      </w:r>
      <w:r>
        <w:rPr/>
        <w:t>de</w:t>
      </w:r>
      <w:r>
        <w:rPr>
          <w:spacing w:val="-9"/>
        </w:rPr>
        <w:t> </w:t>
      </w:r>
      <w:r>
        <w:rPr/>
        <w:t>Ferrosur</w:t>
      </w:r>
      <w:r>
        <w:rPr>
          <w:spacing w:val="-9"/>
        </w:rPr>
        <w:t> </w:t>
      </w:r>
      <w:r>
        <w:rPr/>
        <w:t>y</w:t>
      </w:r>
      <w:r>
        <w:rPr>
          <w:spacing w:val="-9"/>
        </w:rPr>
        <w:t> </w:t>
      </w:r>
      <w:r>
        <w:rPr/>
        <w:t>de</w:t>
      </w:r>
      <w:r>
        <w:rPr>
          <w:spacing w:val="-9"/>
        </w:rPr>
        <w:t> </w:t>
      </w:r>
      <w:r>
        <w:rPr/>
        <w:t>Kansas</w:t>
      </w:r>
      <w:r>
        <w:rPr>
          <w:spacing w:val="-9"/>
        </w:rPr>
        <w:t> </w:t>
      </w:r>
      <w:r>
        <w:rPr/>
        <w:t>City Southern</w:t>
      </w:r>
      <w:r>
        <w:rPr>
          <w:spacing w:val="-11"/>
        </w:rPr>
        <w:t> </w:t>
      </w:r>
      <w:r>
        <w:rPr/>
        <w:t>México</w:t>
      </w:r>
      <w:r>
        <w:rPr>
          <w:spacing w:val="-11"/>
        </w:rPr>
        <w:t> </w:t>
      </w:r>
      <w:r>
        <w:rPr/>
        <w:t>(KCSM);</w:t>
      </w:r>
      <w:r>
        <w:rPr>
          <w:spacing w:val="-12"/>
        </w:rPr>
        <w:t> </w:t>
      </w:r>
      <w:r>
        <w:rPr/>
        <w:t>e)</w:t>
      </w:r>
      <w:r>
        <w:rPr>
          <w:spacing w:val="-12"/>
        </w:rPr>
        <w:t> </w:t>
      </w:r>
      <w:r>
        <w:rPr/>
        <w:t>construir</w:t>
      </w:r>
      <w:r>
        <w:rPr>
          <w:spacing w:val="-12"/>
        </w:rPr>
        <w:t> </w:t>
      </w:r>
      <w:r>
        <w:rPr/>
        <w:t>la</w:t>
      </w:r>
      <w:r>
        <w:rPr>
          <w:spacing w:val="-12"/>
        </w:rPr>
        <w:t> </w:t>
      </w:r>
      <w:r>
        <w:rPr/>
        <w:t>línea</w:t>
      </w:r>
      <w:r>
        <w:rPr>
          <w:spacing w:val="-12"/>
        </w:rPr>
        <w:t> </w:t>
      </w:r>
      <w:r>
        <w:rPr/>
        <w:t>de</w:t>
      </w:r>
      <w:r>
        <w:rPr>
          <w:spacing w:val="-12"/>
        </w:rPr>
        <w:t> </w:t>
      </w:r>
      <w:r>
        <w:rPr/>
        <w:t>transmisión</w:t>
      </w:r>
      <w:r>
        <w:rPr>
          <w:spacing w:val="-13"/>
        </w:rPr>
        <w:t> </w:t>
      </w:r>
      <w:r>
        <w:rPr/>
        <w:t>eléctrica</w:t>
      </w:r>
      <w:r>
        <w:rPr>
          <w:spacing w:val="-12"/>
        </w:rPr>
        <w:t> </w:t>
      </w:r>
      <w:r>
        <w:rPr/>
        <w:t>desde la</w:t>
      </w:r>
      <w:r>
        <w:rPr>
          <w:spacing w:val="-10"/>
        </w:rPr>
        <w:t> </w:t>
      </w:r>
      <w:r>
        <w:rPr/>
        <w:t>nueva</w:t>
      </w:r>
      <w:r>
        <w:rPr>
          <w:spacing w:val="-10"/>
        </w:rPr>
        <w:t> </w:t>
      </w:r>
      <w:r>
        <w:rPr/>
        <w:t>subestación</w:t>
      </w:r>
      <w:r>
        <w:rPr>
          <w:spacing w:val="-10"/>
        </w:rPr>
        <w:t> </w:t>
      </w:r>
      <w:r>
        <w:rPr/>
        <w:t>principal</w:t>
      </w:r>
      <w:r>
        <w:rPr>
          <w:spacing w:val="-10"/>
        </w:rPr>
        <w:t> </w:t>
      </w:r>
      <w:r>
        <w:rPr>
          <w:i/>
        </w:rPr>
        <w:t>Ciudad</w:t>
      </w:r>
      <w:r>
        <w:rPr>
          <w:i/>
          <w:spacing w:val="-10"/>
        </w:rPr>
        <w:t> </w:t>
      </w:r>
      <w:r>
        <w:rPr>
          <w:i/>
        </w:rPr>
        <w:t>Bicentenario</w:t>
      </w:r>
      <w:r>
        <w:rPr>
          <w:i/>
          <w:spacing w:val="-11"/>
        </w:rPr>
        <w:t> </w:t>
      </w:r>
      <w:r>
        <w:rPr/>
        <w:t>a</w:t>
      </w:r>
      <w:r>
        <w:rPr>
          <w:spacing w:val="-10"/>
        </w:rPr>
        <w:t> </w:t>
      </w:r>
      <w:r>
        <w:rPr/>
        <w:t>los</w:t>
      </w:r>
      <w:r>
        <w:rPr>
          <w:spacing w:val="-10"/>
        </w:rPr>
        <w:t> </w:t>
      </w:r>
      <w:r>
        <w:rPr/>
        <w:t>límites</w:t>
      </w:r>
      <w:r>
        <w:rPr>
          <w:spacing w:val="-11"/>
        </w:rPr>
        <w:t> </w:t>
      </w:r>
      <w:r>
        <w:rPr/>
        <w:t>de</w:t>
      </w:r>
      <w:r>
        <w:rPr>
          <w:spacing w:val="-10"/>
        </w:rPr>
        <w:t> </w:t>
      </w:r>
      <w:r>
        <w:rPr/>
        <w:t>la</w:t>
      </w:r>
      <w:r>
        <w:rPr>
          <w:spacing w:val="-10"/>
        </w:rPr>
        <w:t> </w:t>
      </w:r>
      <w:r>
        <w:rPr/>
        <w:t>zona</w:t>
      </w:r>
      <w:r>
        <w:rPr>
          <w:spacing w:val="-11"/>
        </w:rPr>
        <w:t> </w:t>
      </w:r>
      <w:r>
        <w:rPr/>
        <w:t>de</w:t>
      </w:r>
    </w:p>
    <w:p>
      <w:pPr>
        <w:pStyle w:val="BodyText"/>
        <w:spacing w:before="4"/>
        <w:rPr>
          <w:sz w:val="13"/>
        </w:rPr>
      </w:pPr>
    </w:p>
    <w:p>
      <w:pPr>
        <w:spacing w:before="88"/>
        <w:ind w:left="110" w:right="0" w:firstLine="0"/>
        <w:jc w:val="left"/>
        <w:rPr>
          <w:i/>
          <w:sz w:val="18"/>
        </w:rPr>
      </w:pPr>
      <w:r>
        <w:rPr>
          <w:w w:val="105"/>
          <w:position w:val="7"/>
          <w:sz w:val="11"/>
        </w:rPr>
        <w:t>132  </w:t>
      </w:r>
      <w:r>
        <w:rPr>
          <w:i/>
          <w:w w:val="105"/>
          <w:sz w:val="18"/>
        </w:rPr>
        <w:t>Ibídem.</w:t>
      </w:r>
    </w:p>
    <w:p>
      <w:pPr>
        <w:spacing w:line="249" w:lineRule="auto" w:before="28"/>
        <w:ind w:left="393" w:right="115" w:hanging="284"/>
        <w:jc w:val="both"/>
        <w:rPr>
          <w:sz w:val="18"/>
        </w:rPr>
      </w:pPr>
      <w:r>
        <w:rPr>
          <w:position w:val="7"/>
          <w:sz w:val="11"/>
        </w:rPr>
        <w:t>133 </w:t>
      </w:r>
      <w:r>
        <w:rPr>
          <w:sz w:val="18"/>
        </w:rPr>
        <w:t>Gobierno del Estado de Hidalgo, Hudchinson Port Holdings</w:t>
      </w:r>
      <w:r>
        <w:rPr>
          <w:i/>
          <w:sz w:val="18"/>
        </w:rPr>
        <w:t>, </w:t>
      </w:r>
      <w:r>
        <w:rPr>
          <w:sz w:val="18"/>
        </w:rPr>
        <w:t>Corporativo UNNE, zona de actividades logísticas Hidalgo; </w:t>
      </w:r>
      <w:r>
        <w:rPr>
          <w:i/>
          <w:sz w:val="18"/>
        </w:rPr>
        <w:t>presentación proyecto; </w:t>
      </w:r>
      <w:r>
        <w:rPr>
          <w:sz w:val="18"/>
        </w:rPr>
        <w:t>México, presentación power point, diapositiva 2.</w:t>
      </w:r>
    </w:p>
    <w:p>
      <w:pPr>
        <w:spacing w:before="20"/>
        <w:ind w:left="110" w:right="0" w:firstLine="0"/>
        <w:jc w:val="left"/>
        <w:rPr>
          <w:i/>
          <w:sz w:val="18"/>
        </w:rPr>
      </w:pPr>
      <w:r>
        <w:rPr>
          <w:position w:val="7"/>
          <w:sz w:val="11"/>
        </w:rPr>
        <w:t>134          </w:t>
      </w:r>
      <w:r>
        <w:rPr>
          <w:sz w:val="18"/>
        </w:rPr>
        <w:t>Gobierno del Estado de Hidalgo, secretaría de desarrollo económico, Mondragón; </w:t>
      </w:r>
      <w:r>
        <w:rPr>
          <w:i/>
          <w:sz w:val="18"/>
        </w:rPr>
        <w:t>Hidalgo;</w:t>
      </w:r>
    </w:p>
    <w:p>
      <w:pPr>
        <w:spacing w:before="9"/>
        <w:ind w:left="393" w:right="0" w:firstLine="0"/>
        <w:jc w:val="left"/>
        <w:rPr>
          <w:sz w:val="18"/>
        </w:rPr>
      </w:pPr>
      <w:r>
        <w:rPr>
          <w:sz w:val="18"/>
        </w:rPr>
        <w:t>México, presentación power point, diapositiva 21.</w:t>
      </w:r>
    </w:p>
    <w:p>
      <w:pPr>
        <w:spacing w:line="249" w:lineRule="auto" w:before="28"/>
        <w:ind w:left="393" w:right="115" w:hanging="284"/>
        <w:jc w:val="both"/>
        <w:rPr>
          <w:sz w:val="18"/>
        </w:rPr>
      </w:pPr>
      <w:r>
        <w:rPr>
          <w:position w:val="7"/>
          <w:sz w:val="11"/>
        </w:rPr>
        <w:t>135 </w:t>
      </w:r>
      <w:r>
        <w:rPr>
          <w:sz w:val="18"/>
        </w:rPr>
        <w:t>Información proporcionada para esta investigación en entrevista con ex funcionarios estatales participantes en los proyectos estratégicos del estado, 8 de julio del 2011.</w:t>
      </w:r>
    </w:p>
    <w:p>
      <w:pPr>
        <w:spacing w:before="20"/>
        <w:ind w:left="110" w:right="0" w:firstLine="0"/>
        <w:jc w:val="left"/>
        <w:rPr>
          <w:i/>
          <w:sz w:val="18"/>
        </w:rPr>
      </w:pPr>
      <w:r>
        <w:rPr>
          <w:position w:val="7"/>
          <w:sz w:val="11"/>
        </w:rPr>
        <w:t>136   </w:t>
      </w:r>
      <w:r>
        <w:rPr>
          <w:sz w:val="18"/>
        </w:rPr>
        <w:t>Gobierno del Estado de Hidalgo, </w:t>
      </w:r>
      <w:r>
        <w:rPr>
          <w:i/>
          <w:sz w:val="18"/>
        </w:rPr>
        <w:t>elementos y compromisos básicos a ser incluidos en el</w:t>
      </w:r>
    </w:p>
    <w:p>
      <w:pPr>
        <w:spacing w:before="9"/>
        <w:ind w:left="393" w:right="0" w:firstLine="0"/>
        <w:jc w:val="left"/>
        <w:rPr>
          <w:sz w:val="18"/>
        </w:rPr>
      </w:pPr>
      <w:r>
        <w:rPr>
          <w:i/>
          <w:sz w:val="18"/>
        </w:rPr>
        <w:t>contrato de fideicomiso; </w:t>
      </w:r>
      <w:r>
        <w:rPr>
          <w:sz w:val="18"/>
        </w:rPr>
        <w:t>México, mayo de 2009, p. 6.</w:t>
      </w:r>
    </w:p>
    <w:p>
      <w:pPr>
        <w:spacing w:after="0"/>
        <w:jc w:val="left"/>
        <w:rPr>
          <w:sz w:val="18"/>
        </w:rPr>
        <w:sectPr>
          <w:footerReference w:type="default" r:id="rId163"/>
          <w:footerReference w:type="even" r:id="rId164"/>
          <w:pgSz w:w="9360" w:h="13040"/>
          <w:pgMar w:footer="1122" w:header="527" w:top="720" w:bottom="1320" w:left="740" w:right="1300"/>
        </w:sectPr>
      </w:pPr>
    </w:p>
    <w:p>
      <w:pPr>
        <w:pStyle w:val="BodyText"/>
        <w:spacing w:before="11"/>
        <w:rPr>
          <w:sz w:val="29"/>
        </w:rPr>
      </w:pPr>
    </w:p>
    <w:p>
      <w:pPr>
        <w:pStyle w:val="BodyText"/>
        <w:spacing w:line="235" w:lineRule="auto" w:before="75"/>
        <w:ind w:left="117" w:right="108"/>
        <w:jc w:val="both"/>
      </w:pPr>
      <w:r>
        <w:rPr/>
        <w:t>actividad logística y de la terminal intermodal; f) ejecutar el movimiento de tierras y la construcción de plataformas a nivel de subrasante y ducterías en la terminal intermodal; g) obtener la factibilidad del acuífero y los permisos para perforación de pozos profundos; h) conseguir la factibilidad de</w:t>
      </w:r>
      <w:r>
        <w:rPr>
          <w:spacing w:val="-24"/>
        </w:rPr>
        <w:t> </w:t>
      </w:r>
      <w:r>
        <w:rPr/>
        <w:t>descarga de aguas residuales y pluviales; i) construir los pozos y la infraestructura ne- cesaria para las descargas de aguas pluviales y residuales; j) construir la</w:t>
      </w:r>
      <w:r>
        <w:rPr>
          <w:spacing w:val="-38"/>
        </w:rPr>
        <w:t> </w:t>
      </w:r>
      <w:r>
        <w:rPr/>
        <w:t>línea de abastecimiento de agua potable para la zona de actividad logística y la terminal intermodal; y k) obtener el dictamen de manifestación ambiental y los permisos del instituto nacional de antropología e</w:t>
      </w:r>
      <w:r>
        <w:rPr>
          <w:spacing w:val="2"/>
        </w:rPr>
        <w:t> </w:t>
      </w:r>
      <w:r>
        <w:rPr/>
        <w:t>historia</w:t>
      </w:r>
      <w:r>
        <w:rPr>
          <w:position w:val="8"/>
          <w:sz w:val="13"/>
        </w:rPr>
        <w:t>137</w:t>
      </w:r>
      <w:r>
        <w:rPr/>
        <w:t>.</w:t>
      </w:r>
    </w:p>
    <w:p>
      <w:pPr>
        <w:pStyle w:val="BodyText"/>
        <w:spacing w:before="7"/>
        <w:rPr>
          <w:sz w:val="22"/>
        </w:rPr>
      </w:pPr>
    </w:p>
    <w:p>
      <w:pPr>
        <w:pStyle w:val="BodyText"/>
        <w:spacing w:line="235" w:lineRule="auto" w:before="1"/>
        <w:ind w:left="117" w:right="107"/>
        <w:jc w:val="both"/>
      </w:pPr>
      <w:r>
        <w:rPr/>
        <w:t>La</w:t>
      </w:r>
      <w:r>
        <w:rPr>
          <w:spacing w:val="-8"/>
        </w:rPr>
        <w:t> </w:t>
      </w:r>
      <w:r>
        <w:rPr/>
        <w:t>iniciativa</w:t>
      </w:r>
      <w:r>
        <w:rPr>
          <w:spacing w:val="-9"/>
        </w:rPr>
        <w:t> </w:t>
      </w:r>
      <w:r>
        <w:rPr/>
        <w:t>privada,</w:t>
      </w:r>
      <w:r>
        <w:rPr>
          <w:spacing w:val="-8"/>
        </w:rPr>
        <w:t> </w:t>
      </w:r>
      <w:r>
        <w:rPr/>
        <w:t>en</w:t>
      </w:r>
      <w:r>
        <w:rPr>
          <w:spacing w:val="-8"/>
        </w:rPr>
        <w:t> </w:t>
      </w:r>
      <w:r>
        <w:rPr/>
        <w:t>lo</w:t>
      </w:r>
      <w:r>
        <w:rPr>
          <w:spacing w:val="-8"/>
        </w:rPr>
        <w:t> </w:t>
      </w:r>
      <w:r>
        <w:rPr/>
        <w:t>general,</w:t>
      </w:r>
      <w:r>
        <w:rPr>
          <w:spacing w:val="-8"/>
        </w:rPr>
        <w:t> </w:t>
      </w:r>
      <w:r>
        <w:rPr/>
        <w:t>adquirió</w:t>
      </w:r>
      <w:r>
        <w:rPr>
          <w:spacing w:val="-9"/>
        </w:rPr>
        <w:t> </w:t>
      </w:r>
      <w:r>
        <w:rPr/>
        <w:t>el</w:t>
      </w:r>
      <w:r>
        <w:rPr>
          <w:spacing w:val="-8"/>
        </w:rPr>
        <w:t> </w:t>
      </w:r>
      <w:r>
        <w:rPr/>
        <w:t>compromiso</w:t>
      </w:r>
      <w:r>
        <w:rPr>
          <w:spacing w:val="-8"/>
        </w:rPr>
        <w:t> </w:t>
      </w:r>
      <w:r>
        <w:rPr/>
        <w:t>de</w:t>
      </w:r>
      <w:r>
        <w:rPr>
          <w:spacing w:val="-8"/>
        </w:rPr>
        <w:t> </w:t>
      </w:r>
      <w:r>
        <w:rPr/>
        <w:t>elaborar</w:t>
      </w:r>
      <w:r>
        <w:rPr>
          <w:spacing w:val="-9"/>
        </w:rPr>
        <w:t> </w:t>
      </w:r>
      <w:r>
        <w:rPr/>
        <w:t>todos los proyectos ejecutivos, de coadyuvar en todas las acciones anteriormente relacionadas, y de comprar para desarrollar o vender los lotes industriales resultantes del proyecto</w:t>
      </w:r>
      <w:r>
        <w:rPr>
          <w:position w:val="8"/>
          <w:sz w:val="13"/>
        </w:rPr>
        <w:t>138</w:t>
      </w:r>
      <w:r>
        <w:rPr/>
        <w:t>. Es importante señalar que la mayor parte de      las obras o acciones relacionadas en los incisos del párrafo anterior han rebasado ya las fechas comprometidas para su término (2009 y 2010). Por  su parte, los trámites realizados ante instancias federales observan avances similares a los acontecidos en el marco del proyecto </w:t>
      </w:r>
      <w:r>
        <w:rPr>
          <w:spacing w:val="-7"/>
        </w:rPr>
        <w:t>PLATAH, </w:t>
      </w:r>
      <w:r>
        <w:rPr/>
        <w:t>la Secretaría de Comunicaciones y Transportes, durante el desarrollo de la presente investigación, </w:t>
      </w:r>
      <w:r>
        <w:rPr>
          <w:i/>
        </w:rPr>
        <w:t>no (</w:t>
      </w:r>
      <w:r>
        <w:rPr/>
        <w:t>contaba) </w:t>
      </w:r>
      <w:r>
        <w:rPr>
          <w:i/>
        </w:rPr>
        <w:t>con expediente o documento que detalle una </w:t>
      </w:r>
      <w:r>
        <w:rPr>
          <w:i/>
        </w:rPr>
        <w:t>autorización vigente otorgada por la dirección de transporte ferroviario y multimodal</w:t>
      </w:r>
      <w:r>
        <w:rPr>
          <w:i/>
          <w:spacing w:val="-7"/>
        </w:rPr>
        <w:t> </w:t>
      </w:r>
      <w:r>
        <w:rPr>
          <w:i/>
        </w:rPr>
        <w:t>a</w:t>
      </w:r>
      <w:r>
        <w:rPr>
          <w:i/>
          <w:spacing w:val="-7"/>
        </w:rPr>
        <w:t> </w:t>
      </w:r>
      <w:r>
        <w:rPr>
          <w:i/>
        </w:rPr>
        <w:t>favor</w:t>
      </w:r>
      <w:r>
        <w:rPr>
          <w:i/>
          <w:spacing w:val="-8"/>
        </w:rPr>
        <w:t> </w:t>
      </w:r>
      <w:r>
        <w:rPr>
          <w:i/>
        </w:rPr>
        <w:t>de</w:t>
      </w:r>
      <w:r>
        <w:rPr>
          <w:i/>
          <w:spacing w:val="-7"/>
        </w:rPr>
        <w:t> </w:t>
      </w:r>
      <w:r>
        <w:rPr>
          <w:i/>
        </w:rPr>
        <w:t>Hutchinson</w:t>
      </w:r>
      <w:r>
        <w:rPr>
          <w:i/>
          <w:spacing w:val="-7"/>
        </w:rPr>
        <w:t> </w:t>
      </w:r>
      <w:r>
        <w:rPr>
          <w:i/>
        </w:rPr>
        <w:t>Port</w:t>
      </w:r>
      <w:r>
        <w:rPr>
          <w:i/>
          <w:spacing w:val="-8"/>
        </w:rPr>
        <w:t> </w:t>
      </w:r>
      <w:r>
        <w:rPr>
          <w:i/>
        </w:rPr>
        <w:t>Holding</w:t>
      </w:r>
      <w:r>
        <w:rPr>
          <w:i/>
          <w:spacing w:val="-7"/>
        </w:rPr>
        <w:t> </w:t>
      </w:r>
      <w:r>
        <w:rPr>
          <w:i/>
        </w:rPr>
        <w:t>en</w:t>
      </w:r>
      <w:r>
        <w:rPr>
          <w:i/>
          <w:spacing w:val="-7"/>
        </w:rPr>
        <w:t> </w:t>
      </w:r>
      <w:r>
        <w:rPr>
          <w:i/>
        </w:rPr>
        <w:t>el</w:t>
      </w:r>
      <w:r>
        <w:rPr>
          <w:i/>
          <w:spacing w:val="-7"/>
        </w:rPr>
        <w:t> </w:t>
      </w:r>
      <w:r>
        <w:rPr>
          <w:i/>
        </w:rPr>
        <w:t>municipio</w:t>
      </w:r>
      <w:r>
        <w:rPr>
          <w:i/>
          <w:spacing w:val="-7"/>
        </w:rPr>
        <w:t> </w:t>
      </w:r>
      <w:r>
        <w:rPr>
          <w:i/>
        </w:rPr>
        <w:t>de</w:t>
      </w:r>
      <w:r>
        <w:rPr>
          <w:i/>
          <w:spacing w:val="-7"/>
        </w:rPr>
        <w:t> </w:t>
      </w:r>
      <w:r>
        <w:rPr>
          <w:i/>
          <w:spacing w:val="-4"/>
        </w:rPr>
        <w:t>Tepeji</w:t>
      </w:r>
      <w:r>
        <w:rPr>
          <w:i/>
          <w:spacing w:val="-8"/>
        </w:rPr>
        <w:t> </w:t>
      </w:r>
      <w:r>
        <w:rPr>
          <w:i/>
        </w:rPr>
        <w:t>del Río</w:t>
      </w:r>
      <w:r>
        <w:rPr>
          <w:position w:val="8"/>
          <w:sz w:val="13"/>
        </w:rPr>
        <w:t>139</w:t>
      </w:r>
      <w:r>
        <w:rPr/>
        <w:t>.</w:t>
      </w:r>
      <w:r>
        <w:rPr>
          <w:spacing w:val="-12"/>
        </w:rPr>
        <w:t> </w:t>
      </w:r>
      <w:r>
        <w:rPr/>
        <w:t>Mientras</w:t>
      </w:r>
      <w:r>
        <w:rPr>
          <w:spacing w:val="-12"/>
        </w:rPr>
        <w:t> </w:t>
      </w:r>
      <w:r>
        <w:rPr/>
        <w:t>que</w:t>
      </w:r>
      <w:r>
        <w:rPr>
          <w:spacing w:val="-12"/>
        </w:rPr>
        <w:t> </w:t>
      </w:r>
      <w:r>
        <w:rPr/>
        <w:t>el</w:t>
      </w:r>
      <w:r>
        <w:rPr>
          <w:spacing w:val="-12"/>
        </w:rPr>
        <w:t> </w:t>
      </w:r>
      <w:r>
        <w:rPr/>
        <w:t>servicio</w:t>
      </w:r>
      <w:r>
        <w:rPr>
          <w:spacing w:val="-11"/>
        </w:rPr>
        <w:t> </w:t>
      </w:r>
      <w:r>
        <w:rPr/>
        <w:t>de</w:t>
      </w:r>
      <w:r>
        <w:rPr>
          <w:spacing w:val="-12"/>
        </w:rPr>
        <w:t> </w:t>
      </w:r>
      <w:r>
        <w:rPr/>
        <w:t>administración</w:t>
      </w:r>
      <w:r>
        <w:rPr>
          <w:spacing w:val="-12"/>
        </w:rPr>
        <w:t> </w:t>
      </w:r>
      <w:r>
        <w:rPr/>
        <w:t>tributaria,</w:t>
      </w:r>
      <w:r>
        <w:rPr>
          <w:spacing w:val="-12"/>
        </w:rPr>
        <w:t> </w:t>
      </w:r>
      <w:r>
        <w:rPr/>
        <w:t>respondiendo</w:t>
      </w:r>
      <w:r>
        <w:rPr>
          <w:spacing w:val="-11"/>
        </w:rPr>
        <w:t> </w:t>
      </w:r>
      <w:r>
        <w:rPr/>
        <w:t>a</w:t>
      </w:r>
      <w:r>
        <w:rPr>
          <w:spacing w:val="-12"/>
        </w:rPr>
        <w:t> </w:t>
      </w:r>
      <w:r>
        <w:rPr/>
        <w:t>la solicitud</w:t>
      </w:r>
      <w:r>
        <w:rPr>
          <w:spacing w:val="-8"/>
        </w:rPr>
        <w:t> </w:t>
      </w:r>
      <w:r>
        <w:rPr/>
        <w:t>del</w:t>
      </w:r>
      <w:r>
        <w:rPr>
          <w:spacing w:val="-8"/>
        </w:rPr>
        <w:t> </w:t>
      </w:r>
      <w:r>
        <w:rPr/>
        <w:t>Secretario</w:t>
      </w:r>
      <w:r>
        <w:rPr>
          <w:spacing w:val="-8"/>
        </w:rPr>
        <w:t> </w:t>
      </w:r>
      <w:r>
        <w:rPr/>
        <w:t>General</w:t>
      </w:r>
      <w:r>
        <w:rPr>
          <w:spacing w:val="-8"/>
        </w:rPr>
        <w:t> </w:t>
      </w:r>
      <w:r>
        <w:rPr/>
        <w:t>de</w:t>
      </w:r>
      <w:r>
        <w:rPr>
          <w:spacing w:val="-8"/>
        </w:rPr>
        <w:t> </w:t>
      </w:r>
      <w:r>
        <w:rPr/>
        <w:t>Gobierno</w:t>
      </w:r>
      <w:r>
        <w:rPr>
          <w:spacing w:val="-8"/>
        </w:rPr>
        <w:t> </w:t>
      </w:r>
      <w:r>
        <w:rPr/>
        <w:t>en</w:t>
      </w:r>
      <w:r>
        <w:rPr>
          <w:spacing w:val="-8"/>
        </w:rPr>
        <w:t> </w:t>
      </w:r>
      <w:r>
        <w:rPr/>
        <w:t>el</w:t>
      </w:r>
      <w:r>
        <w:rPr>
          <w:spacing w:val="-9"/>
        </w:rPr>
        <w:t> </w:t>
      </w:r>
      <w:r>
        <w:rPr/>
        <w:t>año</w:t>
      </w:r>
      <w:r>
        <w:rPr>
          <w:spacing w:val="-8"/>
        </w:rPr>
        <w:t> </w:t>
      </w:r>
      <w:r>
        <w:rPr/>
        <w:t>2010,</w:t>
      </w:r>
      <w:r>
        <w:rPr>
          <w:spacing w:val="-8"/>
        </w:rPr>
        <w:t> </w:t>
      </w:r>
      <w:r>
        <w:rPr/>
        <w:t>consideró</w:t>
      </w:r>
      <w:r>
        <w:rPr>
          <w:spacing w:val="-9"/>
        </w:rPr>
        <w:t> </w:t>
      </w:r>
      <w:r>
        <w:rPr/>
        <w:t>viable prestar el servicio aduanero que al efecto se</w:t>
      </w:r>
      <w:r>
        <w:rPr>
          <w:spacing w:val="-5"/>
        </w:rPr>
        <w:t> </w:t>
      </w:r>
      <w:r>
        <w:rPr/>
        <w:t>requiera</w:t>
      </w:r>
      <w:r>
        <w:rPr>
          <w:position w:val="8"/>
          <w:sz w:val="13"/>
        </w:rPr>
        <w:t>140</w:t>
      </w:r>
      <w:r>
        <w:rPr/>
        <w:t>.</w:t>
      </w:r>
    </w:p>
    <w:p>
      <w:pPr>
        <w:pStyle w:val="BodyText"/>
        <w:spacing w:before="10"/>
        <w:rPr>
          <w:sz w:val="22"/>
        </w:rPr>
      </w:pPr>
    </w:p>
    <w:p>
      <w:pPr>
        <w:spacing w:line="260" w:lineRule="exact" w:before="0"/>
        <w:ind w:left="117" w:right="107" w:firstLine="0"/>
        <w:jc w:val="both"/>
        <w:rPr>
          <w:i/>
          <w:sz w:val="23"/>
        </w:rPr>
      </w:pPr>
      <w:r>
        <w:rPr/>
        <w:pict>
          <v:line style="position:absolute;mso-position-horizontal-relative:page;mso-position-vertical-relative:paragraph;z-index:2656;mso-wrap-distance-left:0;mso-wrap-distance-right:0" from="70.866203pt,94.261101pt" to="142.866203pt,94.261101pt" stroked="true" strokeweight="1pt" strokecolor="#000000">
            <w10:wrap type="topAndBottom"/>
          </v:line>
        </w:pict>
      </w:r>
      <w:r>
        <w:rPr>
          <w:sz w:val="23"/>
        </w:rPr>
        <w:t>Sobre esos avances, los funcionarios estatales relacionados con el proyecto determinaron renegociar los compromisos (se intuye que de términos en    las acciones) para que la obra fuera concretada antes que el </w:t>
      </w:r>
      <w:r>
        <w:rPr>
          <w:spacing w:val="-7"/>
          <w:sz w:val="23"/>
        </w:rPr>
        <w:t>PLATAH. </w:t>
      </w:r>
      <w:r>
        <w:rPr>
          <w:sz w:val="23"/>
        </w:rPr>
        <w:t>En febrero del 2012, el secretario estatal de desarrollo económico declaró a los medios: </w:t>
      </w:r>
      <w:r>
        <w:rPr>
          <w:i/>
          <w:sz w:val="23"/>
        </w:rPr>
        <w:t>“este mes entrará en operaciones la </w:t>
      </w:r>
      <w:r>
        <w:rPr>
          <w:i/>
          <w:spacing w:val="-3"/>
          <w:sz w:val="23"/>
        </w:rPr>
        <w:t>Terminal </w:t>
      </w:r>
      <w:r>
        <w:rPr>
          <w:i/>
          <w:sz w:val="23"/>
        </w:rPr>
        <w:t>Intermodal Logística </w:t>
      </w:r>
      <w:r>
        <w:rPr>
          <w:i/>
          <w:sz w:val="23"/>
        </w:rPr>
        <w:t>de</w:t>
      </w:r>
      <w:r>
        <w:rPr>
          <w:i/>
          <w:spacing w:val="-12"/>
          <w:sz w:val="23"/>
        </w:rPr>
        <w:t> </w:t>
      </w:r>
      <w:r>
        <w:rPr>
          <w:i/>
          <w:sz w:val="23"/>
        </w:rPr>
        <w:t>Hidalgo</w:t>
      </w:r>
      <w:r>
        <w:rPr>
          <w:i/>
          <w:spacing w:val="-12"/>
          <w:sz w:val="23"/>
        </w:rPr>
        <w:t> </w:t>
      </w:r>
      <w:r>
        <w:rPr>
          <w:i/>
          <w:sz w:val="23"/>
        </w:rPr>
        <w:t>de</w:t>
      </w:r>
      <w:r>
        <w:rPr>
          <w:i/>
          <w:spacing w:val="-12"/>
          <w:sz w:val="23"/>
        </w:rPr>
        <w:t> </w:t>
      </w:r>
      <w:r>
        <w:rPr>
          <w:i/>
          <w:sz w:val="23"/>
        </w:rPr>
        <w:t>Hutchison</w:t>
      </w:r>
      <w:r>
        <w:rPr>
          <w:i/>
          <w:spacing w:val="-11"/>
          <w:sz w:val="23"/>
        </w:rPr>
        <w:t> </w:t>
      </w:r>
      <w:r>
        <w:rPr>
          <w:i/>
          <w:sz w:val="23"/>
        </w:rPr>
        <w:t>Port</w:t>
      </w:r>
      <w:r>
        <w:rPr>
          <w:i/>
          <w:spacing w:val="-12"/>
          <w:sz w:val="23"/>
        </w:rPr>
        <w:t> </w:t>
      </w:r>
      <w:r>
        <w:rPr>
          <w:i/>
          <w:sz w:val="23"/>
        </w:rPr>
        <w:t>Holding</w:t>
      </w:r>
      <w:r>
        <w:rPr>
          <w:i/>
          <w:spacing w:val="-12"/>
          <w:sz w:val="23"/>
        </w:rPr>
        <w:t> </w:t>
      </w:r>
      <w:r>
        <w:rPr>
          <w:i/>
          <w:sz w:val="23"/>
        </w:rPr>
        <w:t>(HPH),</w:t>
      </w:r>
      <w:r>
        <w:rPr>
          <w:i/>
          <w:spacing w:val="-12"/>
          <w:sz w:val="23"/>
        </w:rPr>
        <w:t> </w:t>
      </w:r>
      <w:r>
        <w:rPr>
          <w:i/>
          <w:sz w:val="23"/>
        </w:rPr>
        <w:t>el</w:t>
      </w:r>
      <w:r>
        <w:rPr>
          <w:i/>
          <w:spacing w:val="-12"/>
          <w:sz w:val="23"/>
        </w:rPr>
        <w:t> </w:t>
      </w:r>
      <w:r>
        <w:rPr>
          <w:i/>
          <w:sz w:val="23"/>
        </w:rPr>
        <w:t>cual</w:t>
      </w:r>
      <w:r>
        <w:rPr>
          <w:i/>
          <w:spacing w:val="-12"/>
          <w:sz w:val="23"/>
        </w:rPr>
        <w:t> </w:t>
      </w:r>
      <w:r>
        <w:rPr>
          <w:i/>
          <w:sz w:val="23"/>
        </w:rPr>
        <w:t>tendrán</w:t>
      </w:r>
      <w:r>
        <w:rPr>
          <w:i/>
          <w:spacing w:val="-13"/>
          <w:sz w:val="23"/>
        </w:rPr>
        <w:t> </w:t>
      </w:r>
      <w:r>
        <w:rPr>
          <w:i/>
          <w:sz w:val="23"/>
        </w:rPr>
        <w:t>una</w:t>
      </w:r>
      <w:r>
        <w:rPr>
          <w:i/>
          <w:spacing w:val="-12"/>
          <w:sz w:val="23"/>
        </w:rPr>
        <w:t> </w:t>
      </w:r>
      <w:r>
        <w:rPr>
          <w:i/>
          <w:sz w:val="23"/>
        </w:rPr>
        <w:t>capacidad para</w:t>
      </w:r>
      <w:r>
        <w:rPr>
          <w:i/>
          <w:spacing w:val="-19"/>
          <w:sz w:val="23"/>
        </w:rPr>
        <w:t> </w:t>
      </w:r>
      <w:r>
        <w:rPr>
          <w:i/>
          <w:sz w:val="23"/>
        </w:rPr>
        <w:t>operar</w:t>
      </w:r>
      <w:r>
        <w:rPr>
          <w:i/>
          <w:spacing w:val="-19"/>
          <w:sz w:val="23"/>
        </w:rPr>
        <w:t> </w:t>
      </w:r>
      <w:r>
        <w:rPr>
          <w:i/>
          <w:sz w:val="23"/>
        </w:rPr>
        <w:t>más</w:t>
      </w:r>
      <w:r>
        <w:rPr>
          <w:i/>
          <w:spacing w:val="-19"/>
          <w:sz w:val="23"/>
        </w:rPr>
        <w:t> </w:t>
      </w:r>
      <w:r>
        <w:rPr>
          <w:i/>
          <w:sz w:val="23"/>
        </w:rPr>
        <w:t>de</w:t>
      </w:r>
      <w:r>
        <w:rPr>
          <w:i/>
          <w:spacing w:val="-19"/>
          <w:sz w:val="23"/>
        </w:rPr>
        <w:t> </w:t>
      </w:r>
      <w:r>
        <w:rPr>
          <w:i/>
          <w:sz w:val="23"/>
        </w:rPr>
        <w:t>1</w:t>
      </w:r>
      <w:r>
        <w:rPr>
          <w:i/>
          <w:spacing w:val="-19"/>
          <w:sz w:val="23"/>
        </w:rPr>
        <w:t> </w:t>
      </w:r>
      <w:r>
        <w:rPr>
          <w:i/>
          <w:sz w:val="23"/>
        </w:rPr>
        <w:t>millón</w:t>
      </w:r>
      <w:r>
        <w:rPr>
          <w:i/>
          <w:spacing w:val="-18"/>
          <w:sz w:val="23"/>
        </w:rPr>
        <w:t> </w:t>
      </w:r>
      <w:r>
        <w:rPr>
          <w:i/>
          <w:sz w:val="23"/>
        </w:rPr>
        <w:t>de</w:t>
      </w:r>
      <w:r>
        <w:rPr>
          <w:i/>
          <w:spacing w:val="-19"/>
          <w:sz w:val="23"/>
        </w:rPr>
        <w:t> </w:t>
      </w:r>
      <w:r>
        <w:rPr>
          <w:i/>
          <w:sz w:val="23"/>
        </w:rPr>
        <w:t>contenedores</w:t>
      </w:r>
      <w:r>
        <w:rPr>
          <w:i/>
          <w:spacing w:val="-19"/>
          <w:sz w:val="23"/>
        </w:rPr>
        <w:t> </w:t>
      </w:r>
      <w:r>
        <w:rPr>
          <w:i/>
          <w:sz w:val="23"/>
        </w:rPr>
        <w:t>al</w:t>
      </w:r>
      <w:r>
        <w:rPr>
          <w:i/>
          <w:spacing w:val="-19"/>
          <w:sz w:val="23"/>
        </w:rPr>
        <w:t> </w:t>
      </w:r>
      <w:r>
        <w:rPr>
          <w:i/>
          <w:sz w:val="23"/>
        </w:rPr>
        <w:t>año</w:t>
      </w:r>
      <w:r>
        <w:rPr>
          <w:i/>
          <w:spacing w:val="-19"/>
          <w:sz w:val="23"/>
        </w:rPr>
        <w:t> </w:t>
      </w:r>
      <w:r>
        <w:rPr>
          <w:i/>
          <w:sz w:val="23"/>
        </w:rPr>
        <w:t>y</w:t>
      </w:r>
      <w:r>
        <w:rPr>
          <w:i/>
          <w:spacing w:val="-19"/>
          <w:sz w:val="23"/>
        </w:rPr>
        <w:t> </w:t>
      </w:r>
      <w:r>
        <w:rPr>
          <w:i/>
          <w:sz w:val="23"/>
        </w:rPr>
        <w:t>será</w:t>
      </w:r>
      <w:r>
        <w:rPr>
          <w:i/>
          <w:spacing w:val="-18"/>
          <w:sz w:val="23"/>
        </w:rPr>
        <w:t> </w:t>
      </w:r>
      <w:r>
        <w:rPr>
          <w:i/>
          <w:sz w:val="23"/>
        </w:rPr>
        <w:t>el</w:t>
      </w:r>
      <w:r>
        <w:rPr>
          <w:i/>
          <w:spacing w:val="-19"/>
          <w:sz w:val="23"/>
        </w:rPr>
        <w:t> </w:t>
      </w:r>
      <w:r>
        <w:rPr>
          <w:i/>
          <w:sz w:val="23"/>
        </w:rPr>
        <w:t>gran</w:t>
      </w:r>
      <w:r>
        <w:rPr>
          <w:i/>
          <w:spacing w:val="-19"/>
          <w:sz w:val="23"/>
        </w:rPr>
        <w:t> </w:t>
      </w:r>
      <w:r>
        <w:rPr>
          <w:i/>
          <w:sz w:val="23"/>
        </w:rPr>
        <w:t>distribuidor</w:t>
      </w:r>
    </w:p>
    <w:p>
      <w:pPr>
        <w:spacing w:before="28"/>
        <w:ind w:left="117" w:right="0" w:firstLine="0"/>
        <w:jc w:val="both"/>
        <w:rPr>
          <w:sz w:val="18"/>
        </w:rPr>
      </w:pPr>
      <w:r>
        <w:rPr>
          <w:position w:val="7"/>
          <w:sz w:val="11"/>
        </w:rPr>
        <w:t>137    </w:t>
      </w:r>
      <w:r>
        <w:rPr>
          <w:i/>
          <w:sz w:val="18"/>
        </w:rPr>
        <w:t>Ibídem</w:t>
      </w:r>
      <w:r>
        <w:rPr>
          <w:sz w:val="18"/>
        </w:rPr>
        <w:t>, pp. 7-11.</w:t>
      </w:r>
    </w:p>
    <w:p>
      <w:pPr>
        <w:spacing w:before="28"/>
        <w:ind w:left="117" w:right="0" w:firstLine="0"/>
        <w:jc w:val="both"/>
        <w:rPr>
          <w:sz w:val="18"/>
        </w:rPr>
      </w:pPr>
      <w:r>
        <w:rPr>
          <w:position w:val="7"/>
          <w:sz w:val="11"/>
        </w:rPr>
        <w:t>138    </w:t>
      </w:r>
      <w:r>
        <w:rPr>
          <w:i/>
          <w:sz w:val="18"/>
        </w:rPr>
        <w:t>Ibídem</w:t>
      </w:r>
      <w:r>
        <w:rPr>
          <w:sz w:val="18"/>
        </w:rPr>
        <w:t>, pp. 11-14.</w:t>
      </w:r>
    </w:p>
    <w:p>
      <w:pPr>
        <w:spacing w:line="249" w:lineRule="auto" w:before="28"/>
        <w:ind w:left="400" w:right="107" w:hanging="284"/>
        <w:jc w:val="both"/>
        <w:rPr>
          <w:sz w:val="18"/>
        </w:rPr>
      </w:pPr>
      <w:r>
        <w:rPr>
          <w:position w:val="7"/>
          <w:sz w:val="11"/>
        </w:rPr>
        <w:t>139  </w:t>
      </w:r>
      <w:r>
        <w:rPr>
          <w:sz w:val="18"/>
        </w:rPr>
        <w:t>Información  proporcionada  por  la  unidad  de  enlace  de  la  secretaría  de  comunicaciones  y transportes, según solicitud con el número de expediente 0000900105711 del sistema INFOMEX gobierno federal, 7 de abril de</w:t>
      </w:r>
      <w:r>
        <w:rPr>
          <w:spacing w:val="-7"/>
          <w:sz w:val="18"/>
        </w:rPr>
        <w:t> </w:t>
      </w:r>
      <w:r>
        <w:rPr>
          <w:sz w:val="18"/>
        </w:rPr>
        <w:t>2011.</w:t>
      </w:r>
    </w:p>
    <w:p>
      <w:pPr>
        <w:spacing w:line="249" w:lineRule="auto" w:before="20"/>
        <w:ind w:left="400" w:right="108" w:hanging="284"/>
        <w:jc w:val="both"/>
        <w:rPr>
          <w:sz w:val="18"/>
        </w:rPr>
      </w:pPr>
      <w:r>
        <w:rPr>
          <w:position w:val="7"/>
          <w:sz w:val="11"/>
        </w:rPr>
        <w:t>140 </w:t>
      </w:r>
      <w:r>
        <w:rPr>
          <w:sz w:val="18"/>
        </w:rPr>
        <w:t>Servicio de administración tributaria (SAT), </w:t>
      </w:r>
      <w:r>
        <w:rPr>
          <w:i/>
          <w:sz w:val="18"/>
        </w:rPr>
        <w:t>oficio 800-08-00-00-00-2010-091</w:t>
      </w:r>
      <w:r>
        <w:rPr>
          <w:sz w:val="18"/>
        </w:rPr>
        <w:t>, 16 de agosto de 2010.</w:t>
      </w:r>
    </w:p>
    <w:p>
      <w:pPr>
        <w:spacing w:after="0" w:line="249" w:lineRule="auto"/>
        <w:jc w:val="both"/>
        <w:rPr>
          <w:sz w:val="18"/>
        </w:rPr>
        <w:sectPr>
          <w:pgSz w:w="9360" w:h="13040"/>
          <w:pgMar w:header="547" w:footer="515" w:top="940" w:bottom="700" w:left="1300" w:right="740"/>
        </w:sectPr>
      </w:pPr>
    </w:p>
    <w:p>
      <w:pPr>
        <w:pStyle w:val="BodyText"/>
        <w:rPr>
          <w:sz w:val="20"/>
        </w:rPr>
      </w:pPr>
    </w:p>
    <w:p>
      <w:pPr>
        <w:pStyle w:val="BodyText"/>
        <w:spacing w:before="1"/>
        <w:rPr>
          <w:sz w:val="29"/>
        </w:rPr>
      </w:pPr>
    </w:p>
    <w:p>
      <w:pPr>
        <w:spacing w:line="235" w:lineRule="auto" w:before="75"/>
        <w:ind w:left="110" w:right="114" w:firstLine="0"/>
        <w:jc w:val="both"/>
        <w:rPr>
          <w:sz w:val="23"/>
        </w:rPr>
      </w:pPr>
      <w:r>
        <w:rPr>
          <w:i/>
          <w:sz w:val="23"/>
        </w:rPr>
        <w:t>de</w:t>
      </w:r>
      <w:r>
        <w:rPr>
          <w:i/>
          <w:spacing w:val="-4"/>
          <w:sz w:val="23"/>
        </w:rPr>
        <w:t> </w:t>
      </w:r>
      <w:r>
        <w:rPr>
          <w:i/>
          <w:sz w:val="23"/>
        </w:rPr>
        <w:t>carga</w:t>
      </w:r>
      <w:r>
        <w:rPr>
          <w:i/>
          <w:spacing w:val="-4"/>
          <w:sz w:val="23"/>
        </w:rPr>
        <w:t> </w:t>
      </w:r>
      <w:r>
        <w:rPr>
          <w:i/>
          <w:sz w:val="23"/>
        </w:rPr>
        <w:t>en</w:t>
      </w:r>
      <w:r>
        <w:rPr>
          <w:i/>
          <w:spacing w:val="-4"/>
          <w:sz w:val="23"/>
        </w:rPr>
        <w:t> </w:t>
      </w:r>
      <w:r>
        <w:rPr>
          <w:i/>
          <w:sz w:val="23"/>
        </w:rPr>
        <w:t>la</w:t>
      </w:r>
      <w:r>
        <w:rPr>
          <w:i/>
          <w:spacing w:val="-4"/>
          <w:sz w:val="23"/>
        </w:rPr>
        <w:t> </w:t>
      </w:r>
      <w:r>
        <w:rPr>
          <w:i/>
          <w:sz w:val="23"/>
        </w:rPr>
        <w:t>zona</w:t>
      </w:r>
      <w:r>
        <w:rPr>
          <w:i/>
          <w:spacing w:val="-3"/>
          <w:sz w:val="23"/>
        </w:rPr>
        <w:t> </w:t>
      </w:r>
      <w:r>
        <w:rPr>
          <w:i/>
          <w:sz w:val="23"/>
        </w:rPr>
        <w:t>centro</w:t>
      </w:r>
      <w:r>
        <w:rPr>
          <w:i/>
          <w:spacing w:val="-4"/>
          <w:sz w:val="23"/>
        </w:rPr>
        <w:t> </w:t>
      </w:r>
      <w:r>
        <w:rPr>
          <w:i/>
          <w:sz w:val="23"/>
        </w:rPr>
        <w:t>del</w:t>
      </w:r>
      <w:r>
        <w:rPr>
          <w:i/>
          <w:spacing w:val="-4"/>
          <w:sz w:val="23"/>
        </w:rPr>
        <w:t> </w:t>
      </w:r>
      <w:r>
        <w:rPr>
          <w:i/>
          <w:sz w:val="23"/>
        </w:rPr>
        <w:t>país”</w:t>
      </w:r>
      <w:r>
        <w:rPr>
          <w:i/>
          <w:position w:val="8"/>
          <w:sz w:val="13"/>
        </w:rPr>
        <w:t>141</w:t>
      </w:r>
      <w:r>
        <w:rPr>
          <w:sz w:val="23"/>
        </w:rPr>
        <w:t>.</w:t>
      </w:r>
      <w:r>
        <w:rPr>
          <w:spacing w:val="-4"/>
          <w:sz w:val="23"/>
        </w:rPr>
        <w:t> </w:t>
      </w:r>
      <w:r>
        <w:rPr>
          <w:sz w:val="23"/>
        </w:rPr>
        <w:t>Para</w:t>
      </w:r>
      <w:r>
        <w:rPr>
          <w:spacing w:val="-3"/>
          <w:sz w:val="23"/>
        </w:rPr>
        <w:t> </w:t>
      </w:r>
      <w:r>
        <w:rPr>
          <w:sz w:val="23"/>
        </w:rPr>
        <w:t>agosto</w:t>
      </w:r>
      <w:r>
        <w:rPr>
          <w:spacing w:val="-4"/>
          <w:sz w:val="23"/>
        </w:rPr>
        <w:t> </w:t>
      </w:r>
      <w:r>
        <w:rPr>
          <w:sz w:val="23"/>
        </w:rPr>
        <w:t>del</w:t>
      </w:r>
      <w:r>
        <w:rPr>
          <w:spacing w:val="-4"/>
          <w:sz w:val="23"/>
        </w:rPr>
        <w:t> </w:t>
      </w:r>
      <w:r>
        <w:rPr>
          <w:sz w:val="23"/>
        </w:rPr>
        <w:t>2012,</w:t>
      </w:r>
      <w:r>
        <w:rPr>
          <w:spacing w:val="-4"/>
          <w:sz w:val="23"/>
        </w:rPr>
        <w:t> </w:t>
      </w:r>
      <w:r>
        <w:rPr>
          <w:sz w:val="23"/>
        </w:rPr>
        <w:t>los</w:t>
      </w:r>
      <w:r>
        <w:rPr>
          <w:spacing w:val="-4"/>
          <w:sz w:val="23"/>
        </w:rPr>
        <w:t> </w:t>
      </w:r>
      <w:r>
        <w:rPr>
          <w:sz w:val="23"/>
        </w:rPr>
        <w:t>campesinos del núcleo ejidal Melchor Ocampo habían bloqueado las entradas del puerto seco</w:t>
      </w:r>
      <w:r>
        <w:rPr>
          <w:spacing w:val="-10"/>
          <w:sz w:val="23"/>
        </w:rPr>
        <w:t> </w:t>
      </w:r>
      <w:r>
        <w:rPr>
          <w:sz w:val="23"/>
        </w:rPr>
        <w:t>para</w:t>
      </w:r>
      <w:r>
        <w:rPr>
          <w:spacing w:val="-11"/>
          <w:sz w:val="23"/>
        </w:rPr>
        <w:t> </w:t>
      </w:r>
      <w:r>
        <w:rPr>
          <w:sz w:val="23"/>
        </w:rPr>
        <w:t>exigir,</w:t>
      </w:r>
      <w:r>
        <w:rPr>
          <w:spacing w:val="-10"/>
          <w:sz w:val="23"/>
        </w:rPr>
        <w:t> </w:t>
      </w:r>
      <w:r>
        <w:rPr>
          <w:i/>
          <w:spacing w:val="-3"/>
          <w:sz w:val="23"/>
        </w:rPr>
        <w:t>“entre</w:t>
      </w:r>
      <w:r>
        <w:rPr>
          <w:i/>
          <w:spacing w:val="-10"/>
          <w:sz w:val="23"/>
        </w:rPr>
        <w:t> </w:t>
      </w:r>
      <w:r>
        <w:rPr>
          <w:i/>
          <w:sz w:val="23"/>
        </w:rPr>
        <w:t>otras</w:t>
      </w:r>
      <w:r>
        <w:rPr>
          <w:i/>
          <w:spacing w:val="-10"/>
          <w:sz w:val="23"/>
        </w:rPr>
        <w:t> </w:t>
      </w:r>
      <w:r>
        <w:rPr>
          <w:i/>
          <w:sz w:val="23"/>
        </w:rPr>
        <w:t>cosas,</w:t>
      </w:r>
      <w:r>
        <w:rPr>
          <w:i/>
          <w:spacing w:val="-11"/>
          <w:sz w:val="23"/>
        </w:rPr>
        <w:t> </w:t>
      </w:r>
      <w:r>
        <w:rPr>
          <w:i/>
          <w:sz w:val="23"/>
        </w:rPr>
        <w:t>el</w:t>
      </w:r>
      <w:r>
        <w:rPr>
          <w:i/>
          <w:spacing w:val="-11"/>
          <w:sz w:val="23"/>
        </w:rPr>
        <w:t> </w:t>
      </w:r>
      <w:r>
        <w:rPr>
          <w:i/>
          <w:sz w:val="23"/>
        </w:rPr>
        <w:t>reconocimiento</w:t>
      </w:r>
      <w:r>
        <w:rPr>
          <w:i/>
          <w:spacing w:val="-11"/>
          <w:sz w:val="23"/>
        </w:rPr>
        <w:t> </w:t>
      </w:r>
      <w:r>
        <w:rPr>
          <w:i/>
          <w:sz w:val="23"/>
        </w:rPr>
        <w:t>de</w:t>
      </w:r>
      <w:r>
        <w:rPr>
          <w:i/>
          <w:spacing w:val="-10"/>
          <w:sz w:val="23"/>
        </w:rPr>
        <w:t> </w:t>
      </w:r>
      <w:r>
        <w:rPr>
          <w:i/>
          <w:sz w:val="23"/>
        </w:rPr>
        <w:t>que</w:t>
      </w:r>
      <w:r>
        <w:rPr>
          <w:i/>
          <w:spacing w:val="-10"/>
          <w:sz w:val="23"/>
        </w:rPr>
        <w:t> </w:t>
      </w:r>
      <w:r>
        <w:rPr>
          <w:i/>
          <w:sz w:val="23"/>
        </w:rPr>
        <w:t>el</w:t>
      </w:r>
      <w:r>
        <w:rPr>
          <w:i/>
          <w:spacing w:val="-11"/>
          <w:sz w:val="23"/>
        </w:rPr>
        <w:t> </w:t>
      </w:r>
      <w:r>
        <w:rPr>
          <w:i/>
          <w:sz w:val="23"/>
        </w:rPr>
        <w:t>predio</w:t>
      </w:r>
      <w:r>
        <w:rPr>
          <w:i/>
          <w:spacing w:val="-11"/>
          <w:sz w:val="23"/>
        </w:rPr>
        <w:t> </w:t>
      </w:r>
      <w:r>
        <w:rPr>
          <w:i/>
          <w:sz w:val="23"/>
        </w:rPr>
        <w:t>donde </w:t>
      </w:r>
      <w:r>
        <w:rPr>
          <w:i/>
          <w:sz w:val="23"/>
        </w:rPr>
        <w:t>se</w:t>
      </w:r>
      <w:r>
        <w:rPr>
          <w:i/>
          <w:spacing w:val="-15"/>
          <w:sz w:val="23"/>
        </w:rPr>
        <w:t> </w:t>
      </w:r>
      <w:r>
        <w:rPr>
          <w:i/>
          <w:sz w:val="23"/>
        </w:rPr>
        <w:t>construye</w:t>
      </w:r>
      <w:r>
        <w:rPr>
          <w:i/>
          <w:spacing w:val="-15"/>
          <w:sz w:val="23"/>
        </w:rPr>
        <w:t> </w:t>
      </w:r>
      <w:r>
        <w:rPr>
          <w:i/>
          <w:sz w:val="23"/>
        </w:rPr>
        <w:t>la</w:t>
      </w:r>
      <w:r>
        <w:rPr>
          <w:i/>
          <w:spacing w:val="-15"/>
          <w:sz w:val="23"/>
        </w:rPr>
        <w:t> </w:t>
      </w:r>
      <w:r>
        <w:rPr>
          <w:i/>
          <w:sz w:val="23"/>
        </w:rPr>
        <w:t>obra</w:t>
      </w:r>
      <w:r>
        <w:rPr>
          <w:i/>
          <w:spacing w:val="-15"/>
          <w:sz w:val="23"/>
        </w:rPr>
        <w:t> </w:t>
      </w:r>
      <w:r>
        <w:rPr>
          <w:i/>
          <w:sz w:val="23"/>
        </w:rPr>
        <w:t>pertenece</w:t>
      </w:r>
      <w:r>
        <w:rPr>
          <w:i/>
          <w:spacing w:val="-15"/>
          <w:sz w:val="23"/>
        </w:rPr>
        <w:t> </w:t>
      </w:r>
      <w:r>
        <w:rPr>
          <w:i/>
          <w:sz w:val="23"/>
        </w:rPr>
        <w:t>al</w:t>
      </w:r>
      <w:r>
        <w:rPr>
          <w:i/>
          <w:spacing w:val="-15"/>
          <w:sz w:val="23"/>
        </w:rPr>
        <w:t> </w:t>
      </w:r>
      <w:r>
        <w:rPr>
          <w:i/>
          <w:sz w:val="23"/>
        </w:rPr>
        <w:t>municipio</w:t>
      </w:r>
      <w:r>
        <w:rPr>
          <w:i/>
          <w:spacing w:val="-14"/>
          <w:sz w:val="23"/>
        </w:rPr>
        <w:t> </w:t>
      </w:r>
      <w:r>
        <w:rPr>
          <w:i/>
          <w:sz w:val="23"/>
        </w:rPr>
        <w:t>de</w:t>
      </w:r>
      <w:r>
        <w:rPr>
          <w:i/>
          <w:spacing w:val="-15"/>
          <w:sz w:val="23"/>
        </w:rPr>
        <w:t> </w:t>
      </w:r>
      <w:r>
        <w:rPr>
          <w:i/>
          <w:spacing w:val="-4"/>
          <w:sz w:val="23"/>
        </w:rPr>
        <w:t>Tepeji</w:t>
      </w:r>
      <w:r>
        <w:rPr>
          <w:i/>
          <w:spacing w:val="-15"/>
          <w:sz w:val="23"/>
        </w:rPr>
        <w:t> </w:t>
      </w:r>
      <w:r>
        <w:rPr>
          <w:i/>
          <w:sz w:val="23"/>
        </w:rPr>
        <w:t>del</w:t>
      </w:r>
      <w:r>
        <w:rPr>
          <w:i/>
          <w:spacing w:val="-15"/>
          <w:sz w:val="23"/>
        </w:rPr>
        <w:t> </w:t>
      </w:r>
      <w:r>
        <w:rPr>
          <w:i/>
          <w:sz w:val="23"/>
        </w:rPr>
        <w:t>Río</w:t>
      </w:r>
      <w:r>
        <w:rPr>
          <w:i/>
          <w:spacing w:val="-15"/>
          <w:sz w:val="23"/>
        </w:rPr>
        <w:t> </w:t>
      </w:r>
      <w:r>
        <w:rPr>
          <w:i/>
          <w:sz w:val="23"/>
        </w:rPr>
        <w:t>y</w:t>
      </w:r>
      <w:r>
        <w:rPr>
          <w:i/>
          <w:spacing w:val="-15"/>
          <w:sz w:val="23"/>
        </w:rPr>
        <w:t> </w:t>
      </w:r>
      <w:r>
        <w:rPr>
          <w:i/>
          <w:sz w:val="23"/>
        </w:rPr>
        <w:t>no</w:t>
      </w:r>
      <w:r>
        <w:rPr>
          <w:i/>
          <w:spacing w:val="-15"/>
          <w:sz w:val="23"/>
        </w:rPr>
        <w:t> </w:t>
      </w:r>
      <w:r>
        <w:rPr>
          <w:i/>
          <w:sz w:val="23"/>
        </w:rPr>
        <w:t>a</w:t>
      </w:r>
      <w:r>
        <w:rPr>
          <w:i/>
          <w:spacing w:val="-19"/>
          <w:sz w:val="23"/>
        </w:rPr>
        <w:t> </w:t>
      </w:r>
      <w:r>
        <w:rPr>
          <w:i/>
          <w:sz w:val="23"/>
        </w:rPr>
        <w:t>Atotonilco de </w:t>
      </w:r>
      <w:r>
        <w:rPr>
          <w:i/>
          <w:spacing w:val="-3"/>
          <w:sz w:val="23"/>
        </w:rPr>
        <w:t>Tula, </w:t>
      </w:r>
      <w:r>
        <w:rPr>
          <w:i/>
          <w:sz w:val="23"/>
        </w:rPr>
        <w:t>así como trabajo para los ejidatarios, sus familias y los colonos de El</w:t>
      </w:r>
      <w:r>
        <w:rPr>
          <w:i/>
          <w:spacing w:val="5"/>
          <w:sz w:val="23"/>
        </w:rPr>
        <w:t> </w:t>
      </w:r>
      <w:r>
        <w:rPr>
          <w:i/>
          <w:sz w:val="23"/>
        </w:rPr>
        <w:t>Salto”</w:t>
      </w:r>
      <w:r>
        <w:rPr>
          <w:i/>
          <w:position w:val="8"/>
          <w:sz w:val="13"/>
        </w:rPr>
        <w:t>142</w:t>
      </w:r>
      <w:r>
        <w:rPr>
          <w:sz w:val="23"/>
        </w:rPr>
        <w:t>.</w:t>
      </w:r>
    </w:p>
    <w:p>
      <w:pPr>
        <w:pStyle w:val="BodyText"/>
        <w:spacing w:before="10"/>
        <w:rPr>
          <w:sz w:val="22"/>
        </w:rPr>
      </w:pPr>
    </w:p>
    <w:p>
      <w:pPr>
        <w:pStyle w:val="BodyText"/>
        <w:spacing w:line="260" w:lineRule="exact"/>
        <w:ind w:left="110" w:right="114"/>
        <w:jc w:val="both"/>
      </w:pPr>
      <w:r>
        <w:rPr/>
        <w:t>Para finalizar la revisión de este caso, se enfatizan los aspectos diferentes y similares</w:t>
      </w:r>
      <w:r>
        <w:rPr>
          <w:spacing w:val="-13"/>
        </w:rPr>
        <w:t> </w:t>
      </w:r>
      <w:r>
        <w:rPr/>
        <w:t>con</w:t>
      </w:r>
      <w:r>
        <w:rPr>
          <w:spacing w:val="-13"/>
        </w:rPr>
        <w:t> </w:t>
      </w:r>
      <w:r>
        <w:rPr/>
        <w:t>respecto</w:t>
      </w:r>
      <w:r>
        <w:rPr>
          <w:spacing w:val="-13"/>
        </w:rPr>
        <w:t> </w:t>
      </w:r>
      <w:r>
        <w:rPr/>
        <w:t>al</w:t>
      </w:r>
      <w:r>
        <w:rPr>
          <w:spacing w:val="-13"/>
        </w:rPr>
        <w:t> </w:t>
      </w:r>
      <w:r>
        <w:rPr/>
        <w:t>proyecto</w:t>
      </w:r>
      <w:r>
        <w:rPr>
          <w:spacing w:val="-13"/>
        </w:rPr>
        <w:t> </w:t>
      </w:r>
      <w:r>
        <w:rPr>
          <w:spacing w:val="-7"/>
        </w:rPr>
        <w:t>PLATAH.</w:t>
      </w:r>
      <w:r>
        <w:rPr>
          <w:spacing w:val="-13"/>
        </w:rPr>
        <w:t> </w:t>
      </w:r>
      <w:r>
        <w:rPr/>
        <w:t>Como</w:t>
      </w:r>
      <w:r>
        <w:rPr>
          <w:spacing w:val="-13"/>
        </w:rPr>
        <w:t> </w:t>
      </w:r>
      <w:r>
        <w:rPr/>
        <w:t>diferencia,</w:t>
      </w:r>
      <w:r>
        <w:rPr>
          <w:spacing w:val="-13"/>
        </w:rPr>
        <w:t> </w:t>
      </w:r>
      <w:r>
        <w:rPr/>
        <w:t>la</w:t>
      </w:r>
      <w:r>
        <w:rPr>
          <w:spacing w:val="-13"/>
        </w:rPr>
        <w:t> </w:t>
      </w:r>
      <w:r>
        <w:rPr/>
        <w:t>intervención de la iniciativa privada ha logrado ser determinante en cuanto a la</w:t>
      </w:r>
      <w:r>
        <w:rPr>
          <w:spacing w:val="-25"/>
        </w:rPr>
        <w:t> </w:t>
      </w:r>
      <w:r>
        <w:rPr/>
        <w:t>promoción de la inversión privada, así como en la resolución de los proyectos</w:t>
      </w:r>
      <w:r>
        <w:rPr>
          <w:spacing w:val="-15"/>
        </w:rPr>
        <w:t> </w:t>
      </w:r>
      <w:r>
        <w:rPr/>
        <w:t>ejecutivos y del plan de negocios. Se considera también que las dimensiones y alcances de este proyecto se han adecuado a la capacidad de la organización público- privada, pues la estación logística de </w:t>
      </w:r>
      <w:r>
        <w:rPr>
          <w:spacing w:val="-3"/>
        </w:rPr>
        <w:t>Tepeji  </w:t>
      </w:r>
      <w:r>
        <w:rPr/>
        <w:t>del Río representa el 88.86%   de las áreas equivalentes del </w:t>
      </w:r>
      <w:r>
        <w:rPr>
          <w:spacing w:val="-7"/>
        </w:rPr>
        <w:t>PLATAH, </w:t>
      </w:r>
      <w:r>
        <w:rPr/>
        <w:t>además de que en un inicio se ha planteado desarrollar sólo el 36.96% de la superficie total del</w:t>
      </w:r>
      <w:r>
        <w:rPr>
          <w:spacing w:val="-12"/>
        </w:rPr>
        <w:t> </w:t>
      </w:r>
      <w:r>
        <w:rPr/>
        <w:t>proyecto.</w:t>
      </w:r>
    </w:p>
    <w:p>
      <w:pPr>
        <w:pStyle w:val="BodyText"/>
        <w:spacing w:before="7"/>
        <w:rPr>
          <w:sz w:val="22"/>
        </w:rPr>
      </w:pPr>
    </w:p>
    <w:p>
      <w:pPr>
        <w:pStyle w:val="BodyText"/>
        <w:spacing w:line="260" w:lineRule="exact"/>
        <w:ind w:left="110" w:right="114"/>
        <w:jc w:val="both"/>
      </w:pPr>
      <w:r>
        <w:rPr/>
        <w:t>Como aspecto similar, para el proyecto </w:t>
      </w:r>
      <w:r>
        <w:rPr>
          <w:spacing w:val="-3"/>
        </w:rPr>
        <w:t>Tepeji </w:t>
      </w:r>
      <w:r>
        <w:rPr/>
        <w:t>del Río existe también una agenda de gestión de autorizaciones federales pausada y no concurrente,      lo cual resulta apremiante resolver en virtud de todos los asuntos que se deben tramitar en dependencias como la Secretaría de Comunicaciones y Transportes, la comisión federal de electricidad, la Comisión Nacional del Agua, la Secretaría del Medio Ambiente y Recursos Naturales y el Instituto Nacional de Antropología e Historia. A todo lo anterior se suma la necesidad de financiamiento para  la  ejecución  de  las  obras  que  ha  comprometido el gobierno estatal, para  lo  cual,  ahora  con  proyectos  y  presupuestos  más profesionales, la opción seguramente serán las reasignaciones o las transferencias compensatorias que también provienen del orden</w:t>
      </w:r>
      <w:r>
        <w:rPr>
          <w:spacing w:val="-3"/>
        </w:rPr>
        <w:t> </w:t>
      </w:r>
      <w:r>
        <w:rPr/>
        <w:t>federal.</w:t>
      </w:r>
    </w:p>
    <w:p>
      <w:pPr>
        <w:pStyle w:val="BodyText"/>
        <w:rPr>
          <w:sz w:val="22"/>
        </w:rPr>
      </w:pPr>
    </w:p>
    <w:p>
      <w:pPr>
        <w:pStyle w:val="Heading3"/>
        <w:ind w:left="110"/>
      </w:pPr>
      <w:bookmarkStart w:name="_TOC_250019" w:id="24"/>
      <w:bookmarkEnd w:id="24"/>
      <w:r>
        <w:rPr/>
        <w:t>La intención de proyectar un tren suburbano México-Pachuca.</w:t>
      </w:r>
    </w:p>
    <w:p>
      <w:pPr>
        <w:pStyle w:val="BodyText"/>
        <w:spacing w:before="9"/>
        <w:rPr>
          <w:b/>
          <w:sz w:val="22"/>
        </w:rPr>
      </w:pPr>
    </w:p>
    <w:p>
      <w:pPr>
        <w:pStyle w:val="BodyText"/>
        <w:spacing w:line="260" w:lineRule="exact"/>
        <w:ind w:left="110" w:right="115"/>
        <w:jc w:val="both"/>
      </w:pPr>
      <w:r>
        <w:rPr/>
        <w:pict>
          <v:line style="position:absolute;mso-position-horizontal-relative:page;mso-position-vertical-relative:paragraph;z-index:2680;mso-wrap-distance-left:0;mso-wrap-distance-right:0" from="42.519699pt,42.535408pt" to="114.519699pt,42.535408pt" stroked="true" strokeweight="1pt" strokecolor="#000000">
            <w10:wrap type="topAndBottom"/>
          </v:line>
        </w:pict>
      </w:r>
      <w:r>
        <w:rPr/>
        <w:t>De manera similar a los dos casos anteriores, el intento de proyectar un     tren  suburbano  México-Pachuca  representa  la  adaptación  potencial  de  un</w:t>
      </w:r>
      <w:r>
        <w:rPr>
          <w:spacing w:val="24"/>
        </w:rPr>
        <w:t> </w:t>
      </w:r>
      <w:r>
        <w:rPr/>
        <w:t>modelo</w:t>
      </w:r>
      <w:r>
        <w:rPr>
          <w:spacing w:val="23"/>
        </w:rPr>
        <w:t> </w:t>
      </w:r>
      <w:r>
        <w:rPr/>
        <w:t>exitoso</w:t>
      </w:r>
      <w:r>
        <w:rPr>
          <w:spacing w:val="23"/>
        </w:rPr>
        <w:t> </w:t>
      </w:r>
      <w:r>
        <w:rPr/>
        <w:t>que</w:t>
      </w:r>
      <w:r>
        <w:rPr>
          <w:spacing w:val="24"/>
        </w:rPr>
        <w:t> </w:t>
      </w:r>
      <w:r>
        <w:rPr/>
        <w:t>funciona</w:t>
      </w:r>
      <w:r>
        <w:rPr>
          <w:spacing w:val="24"/>
        </w:rPr>
        <w:t> </w:t>
      </w:r>
      <w:r>
        <w:rPr/>
        <w:t>a</w:t>
      </w:r>
      <w:r>
        <w:rPr>
          <w:spacing w:val="24"/>
        </w:rPr>
        <w:t> </w:t>
      </w:r>
      <w:r>
        <w:rPr/>
        <w:t>partir</w:t>
      </w:r>
      <w:r>
        <w:rPr>
          <w:spacing w:val="24"/>
        </w:rPr>
        <w:t> </w:t>
      </w:r>
      <w:r>
        <w:rPr/>
        <w:t>del</w:t>
      </w:r>
      <w:r>
        <w:rPr>
          <w:spacing w:val="24"/>
        </w:rPr>
        <w:t> </w:t>
      </w:r>
      <w:r>
        <w:rPr/>
        <w:t>2008</w:t>
      </w:r>
      <w:r>
        <w:rPr>
          <w:spacing w:val="24"/>
        </w:rPr>
        <w:t> </w:t>
      </w:r>
      <w:r>
        <w:rPr/>
        <w:t>entre</w:t>
      </w:r>
      <w:r>
        <w:rPr>
          <w:spacing w:val="24"/>
        </w:rPr>
        <w:t> </w:t>
      </w:r>
      <w:r>
        <w:rPr/>
        <w:t>el</w:t>
      </w:r>
      <w:r>
        <w:rPr>
          <w:spacing w:val="24"/>
        </w:rPr>
        <w:t> </w:t>
      </w:r>
      <w:r>
        <w:rPr/>
        <w:t>Distrito</w:t>
      </w:r>
      <w:r>
        <w:rPr>
          <w:spacing w:val="24"/>
        </w:rPr>
        <w:t> </w:t>
      </w:r>
      <w:r>
        <w:rPr/>
        <w:t>Federal</w:t>
      </w:r>
    </w:p>
    <w:p>
      <w:pPr>
        <w:spacing w:line="249" w:lineRule="auto" w:before="28"/>
        <w:ind w:left="393" w:right="115" w:hanging="284"/>
        <w:jc w:val="both"/>
        <w:rPr>
          <w:sz w:val="18"/>
        </w:rPr>
      </w:pPr>
      <w:r>
        <w:rPr>
          <w:position w:val="7"/>
          <w:sz w:val="11"/>
        </w:rPr>
        <w:t>141 </w:t>
      </w:r>
      <w:r>
        <w:rPr>
          <w:sz w:val="18"/>
        </w:rPr>
        <w:t>Castillo, Edith; </w:t>
      </w:r>
      <w:r>
        <w:rPr>
          <w:i/>
          <w:sz w:val="18"/>
        </w:rPr>
        <w:t>Este mes comenzará a operar el  Puerto  Seco  en  </w:t>
      </w:r>
      <w:r>
        <w:rPr>
          <w:i/>
          <w:spacing w:val="-3"/>
          <w:sz w:val="18"/>
        </w:rPr>
        <w:t>Tepeji  </w:t>
      </w:r>
      <w:r>
        <w:rPr>
          <w:i/>
          <w:sz w:val="18"/>
        </w:rPr>
        <w:t>del  Río</w:t>
      </w:r>
      <w:r>
        <w:rPr>
          <w:sz w:val="18"/>
        </w:rPr>
        <w:t>.  En  Milenio, 3 de febrero de 2012, </w:t>
      </w:r>
      <w:hyperlink r:id="rId167">
        <w:r>
          <w:rPr>
            <w:sz w:val="18"/>
          </w:rPr>
          <w:t>http://hidalgo.milenio.com/cdb/doc/noticias2011/</w:t>
        </w:r>
      </w:hyperlink>
      <w:r>
        <w:rPr>
          <w:sz w:val="18"/>
        </w:rPr>
        <w:t> be7341d7057366fefd84c4f28fec06fd.</w:t>
      </w:r>
    </w:p>
    <w:p>
      <w:pPr>
        <w:spacing w:line="249" w:lineRule="auto" w:before="20"/>
        <w:ind w:left="393" w:right="115" w:hanging="284"/>
        <w:jc w:val="both"/>
        <w:rPr>
          <w:sz w:val="18"/>
        </w:rPr>
      </w:pPr>
      <w:r>
        <w:rPr>
          <w:position w:val="7"/>
          <w:sz w:val="11"/>
        </w:rPr>
        <w:t>142 </w:t>
      </w:r>
      <w:r>
        <w:rPr>
          <w:sz w:val="18"/>
        </w:rPr>
        <w:t>La policiaca, </w:t>
      </w:r>
      <w:r>
        <w:rPr>
          <w:i/>
          <w:sz w:val="18"/>
        </w:rPr>
        <w:t>Continua bloqueo en la obra del puerto seco</w:t>
      </w:r>
      <w:r>
        <w:rPr>
          <w:sz w:val="18"/>
        </w:rPr>
        <w:t>. En La policiaca, la nota roja de México, 8 de agosto del 2012, </w:t>
      </w:r>
      <w:hyperlink r:id="rId168">
        <w:r>
          <w:rPr>
            <w:sz w:val="18"/>
          </w:rPr>
          <w:t>http://www.lapoliciaca.com/nota-roja/continua-bloqueo-en-la-</w:t>
        </w:r>
      </w:hyperlink>
      <w:r>
        <w:rPr>
          <w:sz w:val="18"/>
        </w:rPr>
        <w:t> obra-del-puerto-seco/.</w:t>
      </w:r>
    </w:p>
    <w:p>
      <w:pPr>
        <w:spacing w:after="0" w:line="249" w:lineRule="auto"/>
        <w:jc w:val="both"/>
        <w:rPr>
          <w:sz w:val="18"/>
        </w:rPr>
        <w:sectPr>
          <w:footerReference w:type="default" r:id="rId165"/>
          <w:footerReference w:type="even" r:id="rId166"/>
          <w:pgSz w:w="9360" w:h="13040"/>
          <w:pgMar w:footer="515" w:header="527" w:top="720" w:bottom="700" w:left="740" w:right="1300"/>
        </w:sectPr>
      </w:pPr>
    </w:p>
    <w:p>
      <w:pPr>
        <w:pStyle w:val="BodyText"/>
        <w:spacing w:before="11"/>
        <w:rPr>
          <w:sz w:val="29"/>
        </w:rPr>
      </w:pPr>
    </w:p>
    <w:p>
      <w:pPr>
        <w:spacing w:line="235" w:lineRule="auto" w:before="75"/>
        <w:ind w:left="117" w:right="107" w:firstLine="0"/>
        <w:jc w:val="both"/>
        <w:rPr>
          <w:i/>
          <w:sz w:val="23"/>
        </w:rPr>
      </w:pPr>
      <w:r>
        <w:rPr>
          <w:sz w:val="23"/>
        </w:rPr>
        <w:t>y el Estado de México. </w:t>
      </w:r>
      <w:r>
        <w:rPr>
          <w:spacing w:val="-3"/>
          <w:sz w:val="23"/>
        </w:rPr>
        <w:t>También </w:t>
      </w:r>
      <w:r>
        <w:rPr>
          <w:sz w:val="23"/>
        </w:rPr>
        <w:t>es un bosquejo que busca insertarse en el contexto metropolitano del </w:t>
      </w:r>
      <w:r>
        <w:rPr>
          <w:spacing w:val="-6"/>
          <w:sz w:val="23"/>
        </w:rPr>
        <w:t>Valle  </w:t>
      </w:r>
      <w:r>
        <w:rPr>
          <w:sz w:val="23"/>
        </w:rPr>
        <w:t>de México para aprovechar las ventajas   de ser incluido en un sistema estratégico de planeación, contando así con financiamiento específico. Esto último se hizo patente con las declaraciones del coordinador metropolitano de la entidad desde el año 2009: </w:t>
      </w:r>
      <w:r>
        <w:rPr>
          <w:i/>
          <w:sz w:val="23"/>
        </w:rPr>
        <w:t>yo pensaría </w:t>
      </w:r>
      <w:r>
        <w:rPr>
          <w:i/>
          <w:sz w:val="23"/>
        </w:rPr>
        <w:t>que</w:t>
      </w:r>
      <w:r>
        <w:rPr>
          <w:i/>
          <w:spacing w:val="-7"/>
          <w:sz w:val="23"/>
        </w:rPr>
        <w:t> </w:t>
      </w:r>
      <w:r>
        <w:rPr>
          <w:i/>
          <w:sz w:val="23"/>
        </w:rPr>
        <w:t>este</w:t>
      </w:r>
      <w:r>
        <w:rPr>
          <w:i/>
          <w:spacing w:val="-7"/>
          <w:sz w:val="23"/>
        </w:rPr>
        <w:t> </w:t>
      </w:r>
      <w:r>
        <w:rPr>
          <w:i/>
          <w:sz w:val="23"/>
        </w:rPr>
        <w:t>2010</w:t>
      </w:r>
      <w:r>
        <w:rPr>
          <w:i/>
          <w:spacing w:val="-7"/>
          <w:sz w:val="23"/>
        </w:rPr>
        <w:t> </w:t>
      </w:r>
      <w:r>
        <w:rPr>
          <w:i/>
          <w:sz w:val="23"/>
        </w:rPr>
        <w:t>estaríamos</w:t>
      </w:r>
      <w:r>
        <w:rPr>
          <w:i/>
          <w:spacing w:val="-8"/>
          <w:sz w:val="23"/>
        </w:rPr>
        <w:t> </w:t>
      </w:r>
      <w:r>
        <w:rPr>
          <w:i/>
          <w:sz w:val="23"/>
        </w:rPr>
        <w:t>integrando</w:t>
      </w:r>
      <w:r>
        <w:rPr>
          <w:i/>
          <w:spacing w:val="-8"/>
          <w:sz w:val="23"/>
        </w:rPr>
        <w:t> </w:t>
      </w:r>
      <w:r>
        <w:rPr>
          <w:i/>
          <w:sz w:val="23"/>
        </w:rPr>
        <w:t>de</w:t>
      </w:r>
      <w:r>
        <w:rPr>
          <w:i/>
          <w:spacing w:val="-7"/>
          <w:sz w:val="23"/>
        </w:rPr>
        <w:t> </w:t>
      </w:r>
      <w:r>
        <w:rPr>
          <w:i/>
          <w:sz w:val="23"/>
        </w:rPr>
        <w:t>manera</w:t>
      </w:r>
      <w:r>
        <w:rPr>
          <w:i/>
          <w:spacing w:val="-7"/>
          <w:sz w:val="23"/>
        </w:rPr>
        <w:t> </w:t>
      </w:r>
      <w:r>
        <w:rPr>
          <w:i/>
          <w:sz w:val="23"/>
        </w:rPr>
        <w:t>formal</w:t>
      </w:r>
      <w:r>
        <w:rPr>
          <w:i/>
          <w:spacing w:val="-8"/>
          <w:sz w:val="23"/>
        </w:rPr>
        <w:t> </w:t>
      </w:r>
      <w:r>
        <w:rPr>
          <w:i/>
          <w:sz w:val="23"/>
        </w:rPr>
        <w:t>los</w:t>
      </w:r>
      <w:r>
        <w:rPr>
          <w:i/>
          <w:spacing w:val="-7"/>
          <w:sz w:val="23"/>
        </w:rPr>
        <w:t> </w:t>
      </w:r>
      <w:r>
        <w:rPr>
          <w:i/>
          <w:sz w:val="23"/>
        </w:rPr>
        <w:t>montos</w:t>
      </w:r>
      <w:r>
        <w:rPr>
          <w:i/>
          <w:spacing w:val="-7"/>
          <w:sz w:val="23"/>
        </w:rPr>
        <w:t> </w:t>
      </w:r>
      <w:r>
        <w:rPr>
          <w:i/>
          <w:sz w:val="23"/>
        </w:rPr>
        <w:t>del</w:t>
      </w:r>
      <w:r>
        <w:rPr>
          <w:i/>
          <w:spacing w:val="-7"/>
          <w:sz w:val="23"/>
        </w:rPr>
        <w:t> </w:t>
      </w:r>
      <w:r>
        <w:rPr>
          <w:i/>
          <w:sz w:val="23"/>
        </w:rPr>
        <w:t>Fondo de infraestructura federal porque hay coincidencia de las </w:t>
      </w:r>
      <w:r>
        <w:rPr>
          <w:i/>
          <w:spacing w:val="-3"/>
          <w:sz w:val="23"/>
        </w:rPr>
        <w:t>tres </w:t>
      </w:r>
      <w:r>
        <w:rPr>
          <w:i/>
          <w:sz w:val="23"/>
        </w:rPr>
        <w:t>entidades, </w:t>
      </w:r>
      <w:r>
        <w:rPr>
          <w:i/>
          <w:spacing w:val="-11"/>
          <w:sz w:val="23"/>
        </w:rPr>
        <w:t>DF, </w:t>
      </w:r>
      <w:r>
        <w:rPr>
          <w:i/>
          <w:sz w:val="23"/>
        </w:rPr>
        <w:t>Edomex</w:t>
      </w:r>
      <w:r>
        <w:rPr>
          <w:i/>
          <w:spacing w:val="-26"/>
          <w:sz w:val="23"/>
        </w:rPr>
        <w:t> </w:t>
      </w:r>
      <w:r>
        <w:rPr>
          <w:i/>
          <w:sz w:val="23"/>
        </w:rPr>
        <w:t>e</w:t>
      </w:r>
      <w:r>
        <w:rPr>
          <w:i/>
          <w:spacing w:val="-26"/>
          <w:sz w:val="23"/>
        </w:rPr>
        <w:t> </w:t>
      </w:r>
      <w:r>
        <w:rPr>
          <w:i/>
          <w:sz w:val="23"/>
        </w:rPr>
        <w:t>Hidalgo</w:t>
      </w:r>
      <w:r>
        <w:rPr>
          <w:i/>
          <w:spacing w:val="-26"/>
          <w:sz w:val="23"/>
        </w:rPr>
        <w:t> </w:t>
      </w:r>
      <w:r>
        <w:rPr>
          <w:i/>
          <w:sz w:val="23"/>
        </w:rPr>
        <w:t>en</w:t>
      </w:r>
      <w:r>
        <w:rPr>
          <w:i/>
          <w:spacing w:val="-26"/>
          <w:sz w:val="23"/>
        </w:rPr>
        <w:t> </w:t>
      </w:r>
      <w:r>
        <w:rPr>
          <w:i/>
          <w:sz w:val="23"/>
        </w:rPr>
        <w:t>que</w:t>
      </w:r>
      <w:r>
        <w:rPr>
          <w:i/>
          <w:spacing w:val="-26"/>
          <w:sz w:val="23"/>
        </w:rPr>
        <w:t> </w:t>
      </w:r>
      <w:r>
        <w:rPr>
          <w:i/>
          <w:sz w:val="23"/>
        </w:rPr>
        <w:t>es</w:t>
      </w:r>
      <w:r>
        <w:rPr>
          <w:i/>
          <w:spacing w:val="-26"/>
          <w:sz w:val="23"/>
        </w:rPr>
        <w:t> </w:t>
      </w:r>
      <w:r>
        <w:rPr>
          <w:i/>
          <w:sz w:val="23"/>
        </w:rPr>
        <w:t>un</w:t>
      </w:r>
      <w:r>
        <w:rPr>
          <w:i/>
          <w:spacing w:val="-26"/>
          <w:sz w:val="23"/>
        </w:rPr>
        <w:t> </w:t>
      </w:r>
      <w:r>
        <w:rPr>
          <w:i/>
          <w:sz w:val="23"/>
        </w:rPr>
        <w:t>proyecto</w:t>
      </w:r>
      <w:r>
        <w:rPr>
          <w:i/>
          <w:spacing w:val="-26"/>
          <w:sz w:val="23"/>
        </w:rPr>
        <w:t> </w:t>
      </w:r>
      <w:r>
        <w:rPr>
          <w:i/>
          <w:sz w:val="23"/>
        </w:rPr>
        <w:t>viable…</w:t>
      </w:r>
      <w:r>
        <w:rPr>
          <w:i/>
          <w:spacing w:val="-27"/>
          <w:sz w:val="23"/>
        </w:rPr>
        <w:t> </w:t>
      </w:r>
      <w:r>
        <w:rPr>
          <w:i/>
          <w:sz w:val="23"/>
        </w:rPr>
        <w:t>se</w:t>
      </w:r>
      <w:r>
        <w:rPr>
          <w:i/>
          <w:spacing w:val="-26"/>
          <w:sz w:val="23"/>
        </w:rPr>
        <w:t> </w:t>
      </w:r>
      <w:r>
        <w:rPr>
          <w:i/>
          <w:sz w:val="23"/>
        </w:rPr>
        <w:t>está</w:t>
      </w:r>
      <w:r>
        <w:rPr>
          <w:i/>
          <w:spacing w:val="-26"/>
          <w:sz w:val="23"/>
        </w:rPr>
        <w:t> </w:t>
      </w:r>
      <w:r>
        <w:rPr>
          <w:i/>
          <w:sz w:val="23"/>
        </w:rPr>
        <w:t>pidiendo</w:t>
      </w:r>
      <w:r>
        <w:rPr>
          <w:i/>
          <w:spacing w:val="-26"/>
          <w:sz w:val="23"/>
        </w:rPr>
        <w:t> </w:t>
      </w:r>
      <w:r>
        <w:rPr>
          <w:i/>
          <w:sz w:val="23"/>
        </w:rPr>
        <w:t>una</w:t>
      </w:r>
      <w:r>
        <w:rPr>
          <w:i/>
          <w:spacing w:val="-26"/>
          <w:sz w:val="23"/>
        </w:rPr>
        <w:t> </w:t>
      </w:r>
      <w:r>
        <w:rPr>
          <w:i/>
          <w:sz w:val="23"/>
        </w:rPr>
        <w:t>cantidad para el mismo efecto </w:t>
      </w:r>
      <w:r>
        <w:rPr>
          <w:i/>
          <w:spacing w:val="-3"/>
          <w:sz w:val="23"/>
        </w:rPr>
        <w:t>pero </w:t>
      </w:r>
      <w:r>
        <w:rPr>
          <w:i/>
          <w:sz w:val="23"/>
        </w:rPr>
        <w:t>para sus estudios de obras de infraestructura</w:t>
      </w:r>
      <w:r>
        <w:rPr>
          <w:position w:val="8"/>
          <w:sz w:val="13"/>
        </w:rPr>
        <w:t>143</w:t>
      </w:r>
      <w:r>
        <w:rPr>
          <w:i/>
          <w:sz w:val="23"/>
        </w:rPr>
        <w:t>.</w:t>
      </w:r>
    </w:p>
    <w:p>
      <w:pPr>
        <w:pStyle w:val="BodyText"/>
        <w:spacing w:before="7"/>
        <w:rPr>
          <w:i/>
          <w:sz w:val="22"/>
        </w:rPr>
      </w:pPr>
    </w:p>
    <w:p>
      <w:pPr>
        <w:spacing w:line="235" w:lineRule="auto" w:before="1"/>
        <w:ind w:left="117" w:right="107" w:firstLine="0"/>
        <w:jc w:val="both"/>
        <w:rPr>
          <w:sz w:val="23"/>
        </w:rPr>
      </w:pPr>
      <w:r>
        <w:rPr>
          <w:sz w:val="23"/>
        </w:rPr>
        <w:t>El discurso del funcionario señalado ha sido contradictorio según la gestión que esté desarrollando, pues después de que en 2009 afirmó la viabilidad del proyecto</w:t>
      </w:r>
      <w:r>
        <w:rPr>
          <w:spacing w:val="-17"/>
          <w:sz w:val="23"/>
        </w:rPr>
        <w:t> </w:t>
      </w:r>
      <w:r>
        <w:rPr>
          <w:sz w:val="23"/>
        </w:rPr>
        <w:t>y</w:t>
      </w:r>
      <w:r>
        <w:rPr>
          <w:spacing w:val="-17"/>
          <w:sz w:val="23"/>
        </w:rPr>
        <w:t> </w:t>
      </w:r>
      <w:r>
        <w:rPr>
          <w:sz w:val="23"/>
        </w:rPr>
        <w:t>solicitó</w:t>
      </w:r>
      <w:r>
        <w:rPr>
          <w:spacing w:val="-17"/>
          <w:sz w:val="23"/>
        </w:rPr>
        <w:t> </w:t>
      </w:r>
      <w:r>
        <w:rPr>
          <w:sz w:val="23"/>
        </w:rPr>
        <w:t>recursos</w:t>
      </w:r>
      <w:r>
        <w:rPr>
          <w:spacing w:val="-17"/>
          <w:sz w:val="23"/>
        </w:rPr>
        <w:t> </w:t>
      </w:r>
      <w:r>
        <w:rPr>
          <w:sz w:val="23"/>
        </w:rPr>
        <w:t>metropolitanos</w:t>
      </w:r>
      <w:r>
        <w:rPr>
          <w:spacing w:val="-18"/>
          <w:sz w:val="23"/>
        </w:rPr>
        <w:t> </w:t>
      </w:r>
      <w:r>
        <w:rPr>
          <w:sz w:val="23"/>
        </w:rPr>
        <w:t>para</w:t>
      </w:r>
      <w:r>
        <w:rPr>
          <w:spacing w:val="-18"/>
          <w:sz w:val="23"/>
        </w:rPr>
        <w:t> </w:t>
      </w:r>
      <w:r>
        <w:rPr>
          <w:sz w:val="23"/>
        </w:rPr>
        <w:t>estudios</w:t>
      </w:r>
      <w:r>
        <w:rPr>
          <w:spacing w:val="-18"/>
          <w:sz w:val="23"/>
        </w:rPr>
        <w:t> </w:t>
      </w:r>
      <w:r>
        <w:rPr>
          <w:sz w:val="23"/>
        </w:rPr>
        <w:t>de</w:t>
      </w:r>
      <w:r>
        <w:rPr>
          <w:spacing w:val="-18"/>
          <w:sz w:val="23"/>
        </w:rPr>
        <w:t> </w:t>
      </w:r>
      <w:r>
        <w:rPr>
          <w:sz w:val="23"/>
        </w:rPr>
        <w:t>su</w:t>
      </w:r>
      <w:r>
        <w:rPr>
          <w:spacing w:val="-17"/>
          <w:sz w:val="23"/>
        </w:rPr>
        <w:t> </w:t>
      </w:r>
      <w:r>
        <w:rPr>
          <w:sz w:val="23"/>
        </w:rPr>
        <w:t>infraestructura, en</w:t>
      </w:r>
      <w:r>
        <w:rPr>
          <w:spacing w:val="-19"/>
          <w:sz w:val="23"/>
        </w:rPr>
        <w:t> </w:t>
      </w:r>
      <w:r>
        <w:rPr>
          <w:sz w:val="23"/>
        </w:rPr>
        <w:t>2010</w:t>
      </w:r>
      <w:r>
        <w:rPr>
          <w:spacing w:val="-19"/>
          <w:sz w:val="23"/>
        </w:rPr>
        <w:t> </w:t>
      </w:r>
      <w:r>
        <w:rPr>
          <w:sz w:val="23"/>
        </w:rPr>
        <w:t>señaló:</w:t>
      </w:r>
      <w:r>
        <w:rPr>
          <w:spacing w:val="-19"/>
          <w:sz w:val="23"/>
        </w:rPr>
        <w:t> </w:t>
      </w:r>
      <w:r>
        <w:rPr>
          <w:i/>
          <w:sz w:val="23"/>
        </w:rPr>
        <w:t>esta</w:t>
      </w:r>
      <w:r>
        <w:rPr>
          <w:i/>
          <w:spacing w:val="-19"/>
          <w:sz w:val="23"/>
        </w:rPr>
        <w:t> </w:t>
      </w:r>
      <w:r>
        <w:rPr>
          <w:i/>
          <w:sz w:val="23"/>
        </w:rPr>
        <w:t>primera</w:t>
      </w:r>
      <w:r>
        <w:rPr>
          <w:i/>
          <w:spacing w:val="-19"/>
          <w:sz w:val="23"/>
        </w:rPr>
        <w:t> </w:t>
      </w:r>
      <w:r>
        <w:rPr>
          <w:i/>
          <w:sz w:val="23"/>
        </w:rPr>
        <w:t>fase</w:t>
      </w:r>
      <w:r>
        <w:rPr>
          <w:i/>
          <w:spacing w:val="-19"/>
          <w:sz w:val="23"/>
        </w:rPr>
        <w:t> </w:t>
      </w:r>
      <w:r>
        <w:rPr>
          <w:i/>
          <w:sz w:val="23"/>
        </w:rPr>
        <w:t>consiste</w:t>
      </w:r>
      <w:r>
        <w:rPr>
          <w:i/>
          <w:spacing w:val="-20"/>
          <w:sz w:val="23"/>
        </w:rPr>
        <w:t> </w:t>
      </w:r>
      <w:r>
        <w:rPr>
          <w:i/>
          <w:sz w:val="23"/>
        </w:rPr>
        <w:t>en</w:t>
      </w:r>
      <w:r>
        <w:rPr>
          <w:i/>
          <w:spacing w:val="-19"/>
          <w:sz w:val="23"/>
        </w:rPr>
        <w:t> </w:t>
      </w:r>
      <w:r>
        <w:rPr>
          <w:i/>
          <w:sz w:val="23"/>
        </w:rPr>
        <w:t>que</w:t>
      </w:r>
      <w:r>
        <w:rPr>
          <w:i/>
          <w:spacing w:val="-19"/>
          <w:sz w:val="23"/>
        </w:rPr>
        <w:t> </w:t>
      </w:r>
      <w:r>
        <w:rPr>
          <w:i/>
          <w:sz w:val="23"/>
        </w:rPr>
        <w:t>la</w:t>
      </w:r>
      <w:r>
        <w:rPr>
          <w:i/>
          <w:spacing w:val="-19"/>
          <w:sz w:val="23"/>
        </w:rPr>
        <w:t> </w:t>
      </w:r>
      <w:r>
        <w:rPr>
          <w:i/>
          <w:sz w:val="23"/>
        </w:rPr>
        <w:t>empresa</w:t>
      </w:r>
      <w:r>
        <w:rPr>
          <w:i/>
          <w:spacing w:val="-19"/>
          <w:sz w:val="23"/>
        </w:rPr>
        <w:t> </w:t>
      </w:r>
      <w:r>
        <w:rPr>
          <w:i/>
          <w:sz w:val="23"/>
        </w:rPr>
        <w:t>ganadora</w:t>
      </w:r>
      <w:r>
        <w:rPr>
          <w:i/>
          <w:spacing w:val="-19"/>
          <w:sz w:val="23"/>
        </w:rPr>
        <w:t> </w:t>
      </w:r>
      <w:r>
        <w:rPr>
          <w:i/>
          <w:sz w:val="23"/>
        </w:rPr>
        <w:t>efectúe </w:t>
      </w:r>
      <w:r>
        <w:rPr>
          <w:i/>
          <w:sz w:val="23"/>
        </w:rPr>
        <w:t>los</w:t>
      </w:r>
      <w:r>
        <w:rPr>
          <w:i/>
          <w:spacing w:val="-12"/>
          <w:sz w:val="23"/>
        </w:rPr>
        <w:t> </w:t>
      </w:r>
      <w:r>
        <w:rPr>
          <w:i/>
          <w:sz w:val="23"/>
        </w:rPr>
        <w:t>estudios</w:t>
      </w:r>
      <w:r>
        <w:rPr>
          <w:i/>
          <w:spacing w:val="-12"/>
          <w:sz w:val="23"/>
        </w:rPr>
        <w:t> </w:t>
      </w:r>
      <w:r>
        <w:rPr>
          <w:i/>
          <w:sz w:val="23"/>
        </w:rPr>
        <w:t>necesarios</w:t>
      </w:r>
      <w:r>
        <w:rPr>
          <w:i/>
          <w:spacing w:val="-12"/>
          <w:sz w:val="23"/>
        </w:rPr>
        <w:t> </w:t>
      </w:r>
      <w:r>
        <w:rPr>
          <w:i/>
          <w:sz w:val="23"/>
        </w:rPr>
        <w:t>para</w:t>
      </w:r>
      <w:r>
        <w:rPr>
          <w:i/>
          <w:spacing w:val="-12"/>
          <w:sz w:val="23"/>
        </w:rPr>
        <w:t> </w:t>
      </w:r>
      <w:r>
        <w:rPr>
          <w:i/>
          <w:sz w:val="23"/>
        </w:rPr>
        <w:t>saber</w:t>
      </w:r>
      <w:r>
        <w:rPr>
          <w:i/>
          <w:spacing w:val="-11"/>
          <w:sz w:val="23"/>
        </w:rPr>
        <w:t> </w:t>
      </w:r>
      <w:r>
        <w:rPr>
          <w:i/>
          <w:sz w:val="23"/>
        </w:rPr>
        <w:t>si</w:t>
      </w:r>
      <w:r>
        <w:rPr>
          <w:i/>
          <w:spacing w:val="-12"/>
          <w:sz w:val="23"/>
        </w:rPr>
        <w:t> </w:t>
      </w:r>
      <w:r>
        <w:rPr>
          <w:i/>
          <w:sz w:val="23"/>
        </w:rPr>
        <w:t>este</w:t>
      </w:r>
      <w:r>
        <w:rPr>
          <w:i/>
          <w:spacing w:val="-12"/>
          <w:sz w:val="23"/>
        </w:rPr>
        <w:t> </w:t>
      </w:r>
      <w:r>
        <w:rPr>
          <w:i/>
          <w:sz w:val="23"/>
        </w:rPr>
        <w:t>sistema</w:t>
      </w:r>
      <w:r>
        <w:rPr>
          <w:i/>
          <w:spacing w:val="-11"/>
          <w:sz w:val="23"/>
        </w:rPr>
        <w:t> </w:t>
      </w:r>
      <w:r>
        <w:rPr>
          <w:i/>
          <w:sz w:val="23"/>
        </w:rPr>
        <w:t>de</w:t>
      </w:r>
      <w:r>
        <w:rPr>
          <w:i/>
          <w:spacing w:val="-12"/>
          <w:sz w:val="23"/>
        </w:rPr>
        <w:t> </w:t>
      </w:r>
      <w:r>
        <w:rPr>
          <w:i/>
          <w:sz w:val="23"/>
        </w:rPr>
        <w:t>transporte</w:t>
      </w:r>
      <w:r>
        <w:rPr>
          <w:i/>
          <w:spacing w:val="-13"/>
          <w:sz w:val="23"/>
        </w:rPr>
        <w:t> </w:t>
      </w:r>
      <w:r>
        <w:rPr>
          <w:i/>
          <w:sz w:val="23"/>
        </w:rPr>
        <w:t>público</w:t>
      </w:r>
      <w:r>
        <w:rPr>
          <w:i/>
          <w:spacing w:val="-12"/>
          <w:sz w:val="23"/>
        </w:rPr>
        <w:t> </w:t>
      </w:r>
      <w:r>
        <w:rPr>
          <w:i/>
          <w:sz w:val="23"/>
        </w:rPr>
        <w:t>puede ser viable en las </w:t>
      </w:r>
      <w:r>
        <w:rPr>
          <w:i/>
          <w:spacing w:val="-3"/>
          <w:sz w:val="23"/>
        </w:rPr>
        <w:t>tres </w:t>
      </w:r>
      <w:r>
        <w:rPr>
          <w:i/>
          <w:sz w:val="23"/>
        </w:rPr>
        <w:t>entidades </w:t>
      </w:r>
      <w:r>
        <w:rPr>
          <w:i/>
          <w:spacing w:val="-7"/>
          <w:sz w:val="23"/>
        </w:rPr>
        <w:t>y, </w:t>
      </w:r>
      <w:r>
        <w:rPr>
          <w:i/>
          <w:sz w:val="23"/>
        </w:rPr>
        <w:t>en su caso, desarrollar la obra</w:t>
      </w:r>
      <w:r>
        <w:rPr>
          <w:position w:val="8"/>
          <w:sz w:val="13"/>
        </w:rPr>
        <w:t>144</w:t>
      </w:r>
      <w:r>
        <w:rPr>
          <w:i/>
          <w:sz w:val="23"/>
        </w:rPr>
        <w:t>. </w:t>
      </w:r>
      <w:r>
        <w:rPr>
          <w:sz w:val="23"/>
        </w:rPr>
        <w:t>En el</w:t>
      </w:r>
      <w:r>
        <w:rPr>
          <w:spacing w:val="-38"/>
          <w:sz w:val="23"/>
        </w:rPr>
        <w:t> </w:t>
      </w:r>
      <w:r>
        <w:rPr>
          <w:sz w:val="23"/>
        </w:rPr>
        <w:t>año 2011, cuando el funcionario referido fue designado secretario de planeación del estado, él mismo anticipó la justificación de la demora: </w:t>
      </w:r>
      <w:r>
        <w:rPr>
          <w:i/>
          <w:sz w:val="23"/>
        </w:rPr>
        <w:t>tendrá que ser en </w:t>
      </w:r>
      <w:r>
        <w:rPr>
          <w:i/>
          <w:sz w:val="23"/>
        </w:rPr>
        <w:t>el mediano plazo cuando por fin se concrete el proyecto del </w:t>
      </w:r>
      <w:r>
        <w:rPr>
          <w:i/>
          <w:spacing w:val="-3"/>
          <w:sz w:val="23"/>
        </w:rPr>
        <w:t>tren </w:t>
      </w:r>
      <w:r>
        <w:rPr>
          <w:i/>
          <w:sz w:val="23"/>
        </w:rPr>
        <w:t>suburbano México-Pachuca</w:t>
      </w:r>
      <w:r>
        <w:rPr>
          <w:position w:val="8"/>
          <w:sz w:val="13"/>
        </w:rPr>
        <w:t>145</w:t>
      </w:r>
      <w:r>
        <w:rPr>
          <w:sz w:val="23"/>
        </w:rPr>
        <w:t>. En esas circunstancias, el tren suburbano México- Pachuca tiene una franca orientación político-electoral: </w:t>
      </w:r>
      <w:r>
        <w:rPr>
          <w:i/>
          <w:sz w:val="23"/>
        </w:rPr>
        <w:t>hace varios meses </w:t>
      </w:r>
      <w:r>
        <w:rPr>
          <w:i/>
          <w:sz w:val="23"/>
        </w:rPr>
        <w:t>hablaba</w:t>
      </w:r>
      <w:r>
        <w:rPr>
          <w:i/>
          <w:spacing w:val="-11"/>
          <w:sz w:val="23"/>
        </w:rPr>
        <w:t> </w:t>
      </w:r>
      <w:r>
        <w:rPr>
          <w:i/>
          <w:spacing w:val="-3"/>
          <w:sz w:val="23"/>
        </w:rPr>
        <w:t>sobre</w:t>
      </w:r>
      <w:r>
        <w:rPr>
          <w:i/>
          <w:spacing w:val="-11"/>
          <w:sz w:val="23"/>
        </w:rPr>
        <w:t> </w:t>
      </w:r>
      <w:r>
        <w:rPr>
          <w:i/>
          <w:sz w:val="23"/>
        </w:rPr>
        <w:t>la</w:t>
      </w:r>
      <w:r>
        <w:rPr>
          <w:i/>
          <w:spacing w:val="-11"/>
          <w:sz w:val="23"/>
        </w:rPr>
        <w:t> </w:t>
      </w:r>
      <w:r>
        <w:rPr>
          <w:i/>
          <w:sz w:val="23"/>
        </w:rPr>
        <w:t>propuesta</w:t>
      </w:r>
      <w:r>
        <w:rPr>
          <w:i/>
          <w:spacing w:val="-11"/>
          <w:sz w:val="23"/>
        </w:rPr>
        <w:t> </w:t>
      </w:r>
      <w:r>
        <w:rPr>
          <w:i/>
          <w:sz w:val="23"/>
        </w:rPr>
        <w:t>de</w:t>
      </w:r>
      <w:r>
        <w:rPr>
          <w:i/>
          <w:spacing w:val="-11"/>
          <w:sz w:val="23"/>
        </w:rPr>
        <w:t> </w:t>
      </w:r>
      <w:r>
        <w:rPr>
          <w:i/>
          <w:spacing w:val="-3"/>
          <w:sz w:val="23"/>
        </w:rPr>
        <w:t>Viggiano</w:t>
      </w:r>
      <w:r>
        <w:rPr>
          <w:i/>
          <w:spacing w:val="-11"/>
          <w:sz w:val="23"/>
        </w:rPr>
        <w:t> </w:t>
      </w:r>
      <w:r>
        <w:rPr>
          <w:sz w:val="23"/>
        </w:rPr>
        <w:t>(diputada</w:t>
      </w:r>
      <w:r>
        <w:rPr>
          <w:spacing w:val="-11"/>
          <w:sz w:val="23"/>
        </w:rPr>
        <w:t> </w:t>
      </w:r>
      <w:r>
        <w:rPr>
          <w:sz w:val="23"/>
        </w:rPr>
        <w:t>federal</w:t>
      </w:r>
      <w:r>
        <w:rPr>
          <w:spacing w:val="-11"/>
          <w:sz w:val="23"/>
        </w:rPr>
        <w:t> </w:t>
      </w:r>
      <w:r>
        <w:rPr>
          <w:sz w:val="23"/>
        </w:rPr>
        <w:t>por</w:t>
      </w:r>
      <w:r>
        <w:rPr>
          <w:spacing w:val="-11"/>
          <w:sz w:val="23"/>
        </w:rPr>
        <w:t> </w:t>
      </w:r>
      <w:r>
        <w:rPr>
          <w:sz w:val="23"/>
        </w:rPr>
        <w:t>el</w:t>
      </w:r>
      <w:r>
        <w:rPr>
          <w:spacing w:val="-11"/>
          <w:sz w:val="23"/>
        </w:rPr>
        <w:t> </w:t>
      </w:r>
      <w:r>
        <w:rPr>
          <w:sz w:val="23"/>
        </w:rPr>
        <w:t>PRI)</w:t>
      </w:r>
      <w:r>
        <w:rPr>
          <w:spacing w:val="-11"/>
          <w:sz w:val="23"/>
        </w:rPr>
        <w:t> </w:t>
      </w:r>
      <w:r>
        <w:rPr>
          <w:i/>
          <w:sz w:val="23"/>
        </w:rPr>
        <w:t>de</w:t>
      </w:r>
      <w:r>
        <w:rPr>
          <w:i/>
          <w:spacing w:val="-11"/>
          <w:sz w:val="23"/>
        </w:rPr>
        <w:t> </w:t>
      </w:r>
      <w:r>
        <w:rPr>
          <w:i/>
          <w:sz w:val="23"/>
        </w:rPr>
        <w:t>crear </w:t>
      </w:r>
      <w:r>
        <w:rPr>
          <w:i/>
          <w:sz w:val="23"/>
        </w:rPr>
        <w:t>el suburbano de Pachuca a México, cosa que Xóchitl Gálvez </w:t>
      </w:r>
      <w:r>
        <w:rPr>
          <w:sz w:val="23"/>
        </w:rPr>
        <w:t>(candidata a gobernadora</w:t>
      </w:r>
      <w:r>
        <w:rPr>
          <w:spacing w:val="-11"/>
          <w:sz w:val="23"/>
        </w:rPr>
        <w:t> </w:t>
      </w:r>
      <w:r>
        <w:rPr>
          <w:sz w:val="23"/>
        </w:rPr>
        <w:t>en</w:t>
      </w:r>
      <w:r>
        <w:rPr>
          <w:spacing w:val="-12"/>
          <w:sz w:val="23"/>
        </w:rPr>
        <w:t> </w:t>
      </w:r>
      <w:r>
        <w:rPr>
          <w:sz w:val="23"/>
        </w:rPr>
        <w:t>2010</w:t>
      </w:r>
      <w:r>
        <w:rPr>
          <w:spacing w:val="-12"/>
          <w:sz w:val="23"/>
        </w:rPr>
        <w:t> </w:t>
      </w:r>
      <w:r>
        <w:rPr>
          <w:sz w:val="23"/>
        </w:rPr>
        <w:t>por</w:t>
      </w:r>
      <w:r>
        <w:rPr>
          <w:spacing w:val="-12"/>
          <w:sz w:val="23"/>
        </w:rPr>
        <w:t> </w:t>
      </w:r>
      <w:r>
        <w:rPr>
          <w:sz w:val="23"/>
        </w:rPr>
        <w:t>la</w:t>
      </w:r>
      <w:r>
        <w:rPr>
          <w:spacing w:val="-12"/>
          <w:sz w:val="23"/>
        </w:rPr>
        <w:t> </w:t>
      </w:r>
      <w:r>
        <w:rPr>
          <w:sz w:val="23"/>
        </w:rPr>
        <w:t>alianza</w:t>
      </w:r>
      <w:r>
        <w:rPr>
          <w:spacing w:val="-12"/>
          <w:sz w:val="23"/>
        </w:rPr>
        <w:t> </w:t>
      </w:r>
      <w:r>
        <w:rPr>
          <w:spacing w:val="-4"/>
          <w:sz w:val="23"/>
        </w:rPr>
        <w:t>PAN-PRD)</w:t>
      </w:r>
      <w:r>
        <w:rPr>
          <w:spacing w:val="-11"/>
          <w:sz w:val="23"/>
        </w:rPr>
        <w:t> </w:t>
      </w:r>
      <w:r>
        <w:rPr>
          <w:i/>
          <w:sz w:val="23"/>
        </w:rPr>
        <w:t>retomó</w:t>
      </w:r>
      <w:r>
        <w:rPr>
          <w:i/>
          <w:spacing w:val="-12"/>
          <w:sz w:val="23"/>
        </w:rPr>
        <w:t> </w:t>
      </w:r>
      <w:r>
        <w:rPr>
          <w:i/>
          <w:sz w:val="23"/>
        </w:rPr>
        <w:t>en</w:t>
      </w:r>
      <w:r>
        <w:rPr>
          <w:i/>
          <w:spacing w:val="-12"/>
          <w:sz w:val="23"/>
        </w:rPr>
        <w:t> </w:t>
      </w:r>
      <w:r>
        <w:rPr>
          <w:i/>
          <w:sz w:val="23"/>
        </w:rPr>
        <w:t>su</w:t>
      </w:r>
      <w:r>
        <w:rPr>
          <w:i/>
          <w:spacing w:val="-12"/>
          <w:sz w:val="23"/>
        </w:rPr>
        <w:t> </w:t>
      </w:r>
      <w:r>
        <w:rPr>
          <w:i/>
          <w:sz w:val="23"/>
        </w:rPr>
        <w:t>campaña</w:t>
      </w:r>
      <w:r>
        <w:rPr>
          <w:position w:val="8"/>
          <w:sz w:val="13"/>
        </w:rPr>
        <w:t>146</w:t>
      </w:r>
      <w:r>
        <w:rPr>
          <w:i/>
          <w:sz w:val="23"/>
        </w:rPr>
        <w:t>.</w:t>
      </w:r>
      <w:r>
        <w:rPr>
          <w:i/>
          <w:spacing w:val="-12"/>
          <w:sz w:val="23"/>
        </w:rPr>
        <w:t> </w:t>
      </w:r>
      <w:r>
        <w:rPr>
          <w:sz w:val="23"/>
        </w:rPr>
        <w:t>Para perfeccionar la viabilidad del proyecto desde una orientación más seria, los siguientes párrafos se ocupan del ejercicio de revisar el proceso de gestión intergubernamental del sistema tren suburbano Buenavista-Cuautitlán, el modelo a</w:t>
      </w:r>
      <w:r>
        <w:rPr>
          <w:spacing w:val="-14"/>
          <w:sz w:val="23"/>
        </w:rPr>
        <w:t> </w:t>
      </w:r>
      <w:r>
        <w:rPr>
          <w:sz w:val="23"/>
        </w:rPr>
        <w:t>adaptar.</w:t>
      </w:r>
    </w:p>
    <w:p>
      <w:pPr>
        <w:pStyle w:val="BodyText"/>
        <w:spacing w:before="10"/>
        <w:rPr>
          <w:sz w:val="22"/>
        </w:rPr>
      </w:pPr>
    </w:p>
    <w:p>
      <w:pPr>
        <w:pStyle w:val="BodyText"/>
        <w:spacing w:line="260" w:lineRule="exact"/>
        <w:ind w:left="117" w:right="108"/>
        <w:jc w:val="both"/>
      </w:pPr>
      <w:r>
        <w:rPr/>
        <w:pict>
          <v:line style="position:absolute;mso-position-horizontal-relative:page;mso-position-vertical-relative:paragraph;z-index:2704;mso-wrap-distance-left:0;mso-wrap-distance-right:0" from="70.866096pt,44.481102pt" to="142.866096pt,44.481102pt" stroked="true" strokeweight="1pt" strokecolor="#000000">
            <w10:wrap type="topAndBottom"/>
          </v:line>
        </w:pict>
      </w:r>
      <w:r>
        <w:rPr/>
        <w:t>El proyecto reciente de trenes suburbanos fue tomado del </w:t>
      </w:r>
      <w:r>
        <w:rPr>
          <w:i/>
        </w:rPr>
        <w:t>plan maestro del </w:t>
      </w:r>
      <w:r>
        <w:rPr>
          <w:i/>
        </w:rPr>
        <w:t>metro y trenes ligeros </w:t>
      </w:r>
      <w:r>
        <w:rPr/>
        <w:t>(1996)</w:t>
      </w:r>
      <w:r>
        <w:rPr>
          <w:i/>
        </w:rPr>
        <w:t>, </w:t>
      </w:r>
      <w:r>
        <w:rPr/>
        <w:t>corresponde a una iniciativa del Presidente de la República (2000-2006) para concretar una etapa rezagada mediante el uso</w:t>
      </w:r>
    </w:p>
    <w:p>
      <w:pPr>
        <w:spacing w:line="249" w:lineRule="auto" w:before="28"/>
        <w:ind w:left="400" w:right="0" w:hanging="284"/>
        <w:jc w:val="left"/>
        <w:rPr>
          <w:sz w:val="18"/>
        </w:rPr>
      </w:pPr>
      <w:r>
        <w:rPr>
          <w:position w:val="7"/>
          <w:sz w:val="11"/>
        </w:rPr>
        <w:t>143 </w:t>
      </w:r>
      <w:r>
        <w:rPr>
          <w:sz w:val="18"/>
        </w:rPr>
        <w:t>González, Eduardo; </w:t>
      </w:r>
      <w:r>
        <w:rPr>
          <w:i/>
          <w:sz w:val="18"/>
        </w:rPr>
        <w:t>estudios del tren suburbano para 2010</w:t>
      </w:r>
      <w:r>
        <w:rPr>
          <w:sz w:val="18"/>
        </w:rPr>
        <w:t>. En Milenio On Line, 13 de </w:t>
      </w:r>
      <w:hyperlink r:id="rId169">
        <w:r>
          <w:rPr>
            <w:sz w:val="18"/>
          </w:rPr>
          <w:t>noviembre de 2009, http://impreso.milenio.com/node/8672716.</w:t>
        </w:r>
      </w:hyperlink>
    </w:p>
    <w:p>
      <w:pPr>
        <w:spacing w:line="249" w:lineRule="auto" w:before="20"/>
        <w:ind w:left="400" w:right="101" w:hanging="284"/>
        <w:jc w:val="left"/>
        <w:rPr>
          <w:sz w:val="18"/>
        </w:rPr>
      </w:pPr>
      <w:r>
        <w:rPr>
          <w:position w:val="7"/>
          <w:sz w:val="11"/>
        </w:rPr>
        <w:t>144 </w:t>
      </w:r>
      <w:r>
        <w:rPr>
          <w:sz w:val="18"/>
        </w:rPr>
        <w:t>Miranda, Antonio; </w:t>
      </w:r>
      <w:r>
        <w:rPr>
          <w:i/>
          <w:sz w:val="18"/>
        </w:rPr>
        <w:t>pasaría tren suburbano entre Hidalgo y Edomex</w:t>
      </w:r>
      <w:r>
        <w:rPr>
          <w:sz w:val="18"/>
        </w:rPr>
        <w:t>. En El Universal, 30 de julio </w:t>
      </w:r>
      <w:hyperlink r:id="rId170">
        <w:r>
          <w:rPr>
            <w:sz w:val="18"/>
          </w:rPr>
          <w:t>de 2010, http://www.eluniversal.com.mx/notas/698671.html.</w:t>
        </w:r>
      </w:hyperlink>
    </w:p>
    <w:p>
      <w:pPr>
        <w:spacing w:line="249" w:lineRule="auto" w:before="20"/>
        <w:ind w:left="400" w:right="108" w:hanging="284"/>
        <w:jc w:val="left"/>
        <w:rPr>
          <w:sz w:val="18"/>
        </w:rPr>
      </w:pPr>
      <w:r>
        <w:rPr>
          <w:position w:val="7"/>
          <w:sz w:val="11"/>
        </w:rPr>
        <w:t>145 </w:t>
      </w:r>
      <w:r>
        <w:rPr>
          <w:sz w:val="18"/>
        </w:rPr>
        <w:t>Rico, José Luis; </w:t>
      </w:r>
      <w:r>
        <w:rPr>
          <w:i/>
          <w:sz w:val="18"/>
        </w:rPr>
        <w:t>tren suburbano, a mediano plazo en Hidalgo</w:t>
      </w:r>
      <w:r>
        <w:rPr>
          <w:sz w:val="18"/>
        </w:rPr>
        <w:t>. En El Sol de Hidalgo, 1° de mayo de 201</w:t>
      </w:r>
      <w:hyperlink r:id="rId171">
        <w:r>
          <w:rPr>
            <w:sz w:val="18"/>
          </w:rPr>
          <w:t>1, http://www.oem.com.mx/elsoldemexico/notas/n2060918.htm.</w:t>
        </w:r>
      </w:hyperlink>
    </w:p>
    <w:p>
      <w:pPr>
        <w:spacing w:line="249" w:lineRule="auto" w:before="20"/>
        <w:ind w:left="400" w:right="108" w:hanging="284"/>
        <w:jc w:val="left"/>
        <w:rPr>
          <w:sz w:val="18"/>
        </w:rPr>
      </w:pPr>
      <w:r>
        <w:rPr>
          <w:position w:val="7"/>
          <w:sz w:val="11"/>
        </w:rPr>
        <w:t>146 </w:t>
      </w:r>
      <w:r>
        <w:rPr>
          <w:sz w:val="18"/>
        </w:rPr>
        <w:t>Kikeleash; </w:t>
      </w:r>
      <w:r>
        <w:rPr>
          <w:i/>
          <w:sz w:val="18"/>
        </w:rPr>
        <w:t>Del tren suburbano de Pachuca a México</w:t>
      </w:r>
      <w:r>
        <w:rPr>
          <w:sz w:val="18"/>
        </w:rPr>
        <w:t>. En UN Hidalgo, 28 de julio de 2010, </w:t>
      </w:r>
      <w:hyperlink r:id="rId172">
        <w:r>
          <w:rPr>
            <w:sz w:val="18"/>
          </w:rPr>
          <w:t>http://unhidalgo.com/2010/07/del-suburbano-de-pachuca-a-mexico/.</w:t>
        </w:r>
      </w:hyperlink>
    </w:p>
    <w:p>
      <w:pPr>
        <w:spacing w:after="0" w:line="249" w:lineRule="auto"/>
        <w:jc w:val="left"/>
        <w:rPr>
          <w:sz w:val="18"/>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35" w:lineRule="auto" w:before="75"/>
        <w:ind w:left="110" w:right="114"/>
        <w:jc w:val="both"/>
      </w:pPr>
      <w:r>
        <w:rPr/>
        <w:t>de</w:t>
      </w:r>
      <w:r>
        <w:rPr>
          <w:spacing w:val="-9"/>
        </w:rPr>
        <w:t> </w:t>
      </w:r>
      <w:r>
        <w:rPr/>
        <w:t>la</w:t>
      </w:r>
      <w:r>
        <w:rPr>
          <w:spacing w:val="-9"/>
        </w:rPr>
        <w:t> </w:t>
      </w:r>
      <w:r>
        <w:rPr/>
        <w:t>infraestructura</w:t>
      </w:r>
      <w:r>
        <w:rPr>
          <w:spacing w:val="-10"/>
        </w:rPr>
        <w:t> </w:t>
      </w:r>
      <w:r>
        <w:rPr/>
        <w:t>federal</w:t>
      </w:r>
      <w:r>
        <w:rPr>
          <w:spacing w:val="-9"/>
        </w:rPr>
        <w:t> </w:t>
      </w:r>
      <w:r>
        <w:rPr/>
        <w:t>instalada.</w:t>
      </w:r>
      <w:r>
        <w:rPr>
          <w:spacing w:val="-10"/>
        </w:rPr>
        <w:t> </w:t>
      </w:r>
      <w:r>
        <w:rPr/>
        <w:t>En</w:t>
      </w:r>
      <w:r>
        <w:rPr>
          <w:spacing w:val="-9"/>
        </w:rPr>
        <w:t> </w:t>
      </w:r>
      <w:r>
        <w:rPr/>
        <w:t>su</w:t>
      </w:r>
      <w:r>
        <w:rPr>
          <w:spacing w:val="-9"/>
        </w:rPr>
        <w:t> </w:t>
      </w:r>
      <w:r>
        <w:rPr/>
        <w:t>etapa</w:t>
      </w:r>
      <w:r>
        <w:rPr>
          <w:spacing w:val="-9"/>
        </w:rPr>
        <w:t> </w:t>
      </w:r>
      <w:r>
        <w:rPr/>
        <w:t>de</w:t>
      </w:r>
      <w:r>
        <w:rPr>
          <w:spacing w:val="-9"/>
        </w:rPr>
        <w:t> </w:t>
      </w:r>
      <w:r>
        <w:rPr/>
        <w:t>planeación,</w:t>
      </w:r>
      <w:r>
        <w:rPr>
          <w:spacing w:val="-9"/>
        </w:rPr>
        <w:t> </w:t>
      </w:r>
      <w:r>
        <w:rPr/>
        <w:t>se</w:t>
      </w:r>
      <w:r>
        <w:rPr>
          <w:spacing w:val="-9"/>
        </w:rPr>
        <w:t> </w:t>
      </w:r>
      <w:r>
        <w:rPr/>
        <w:t>consideró que se propiciaría la salida definitiva de la ciudad central de los servicios tradicionales</w:t>
      </w:r>
      <w:r>
        <w:rPr>
          <w:spacing w:val="-9"/>
        </w:rPr>
        <w:t> </w:t>
      </w:r>
      <w:r>
        <w:rPr/>
        <w:t>de</w:t>
      </w:r>
      <w:r>
        <w:rPr>
          <w:spacing w:val="-8"/>
        </w:rPr>
        <w:t> </w:t>
      </w:r>
      <w:r>
        <w:rPr/>
        <w:t>transporte</w:t>
      </w:r>
      <w:r>
        <w:rPr>
          <w:spacing w:val="-9"/>
        </w:rPr>
        <w:t> </w:t>
      </w:r>
      <w:r>
        <w:rPr/>
        <w:t>que</w:t>
      </w:r>
      <w:r>
        <w:rPr>
          <w:spacing w:val="-8"/>
        </w:rPr>
        <w:t> </w:t>
      </w:r>
      <w:r>
        <w:rPr/>
        <w:t>comunicaban</w:t>
      </w:r>
      <w:r>
        <w:rPr>
          <w:spacing w:val="-8"/>
        </w:rPr>
        <w:t> </w:t>
      </w:r>
      <w:r>
        <w:rPr/>
        <w:t>el</w:t>
      </w:r>
      <w:r>
        <w:rPr>
          <w:spacing w:val="-8"/>
        </w:rPr>
        <w:t> </w:t>
      </w:r>
      <w:r>
        <w:rPr/>
        <w:t>área</w:t>
      </w:r>
      <w:r>
        <w:rPr>
          <w:spacing w:val="-8"/>
        </w:rPr>
        <w:t> </w:t>
      </w:r>
      <w:r>
        <w:rPr/>
        <w:t>norte</w:t>
      </w:r>
      <w:r>
        <w:rPr>
          <w:spacing w:val="-8"/>
        </w:rPr>
        <w:t> </w:t>
      </w:r>
      <w:r>
        <w:rPr/>
        <w:t>del</w:t>
      </w:r>
      <w:r>
        <w:rPr>
          <w:spacing w:val="-8"/>
        </w:rPr>
        <w:t> </w:t>
      </w:r>
      <w:r>
        <w:rPr/>
        <w:t>Distrito</w:t>
      </w:r>
      <w:r>
        <w:rPr>
          <w:spacing w:val="-7"/>
        </w:rPr>
        <w:t> </w:t>
      </w:r>
      <w:r>
        <w:rPr/>
        <w:t>Federal </w:t>
      </w:r>
      <w:r>
        <w:rPr>
          <w:spacing w:val="5"/>
        </w:rPr>
        <w:t>conla</w:t>
      </w:r>
      <w:r>
        <w:rPr>
          <w:spacing w:val="-29"/>
        </w:rPr>
        <w:t> </w:t>
      </w:r>
      <w:r>
        <w:rPr/>
        <w:t>región</w:t>
      </w:r>
      <w:r>
        <w:rPr>
          <w:spacing w:val="-29"/>
        </w:rPr>
        <w:t> </w:t>
      </w:r>
      <w:r>
        <w:rPr/>
        <w:t>adyacente</w:t>
      </w:r>
      <w:r>
        <w:rPr>
          <w:spacing w:val="-29"/>
        </w:rPr>
        <w:t> </w:t>
      </w:r>
      <w:r>
        <w:rPr/>
        <w:t>del</w:t>
      </w:r>
      <w:r>
        <w:rPr>
          <w:spacing w:val="-29"/>
        </w:rPr>
        <w:t> </w:t>
      </w:r>
      <w:r>
        <w:rPr/>
        <w:t>Estado</w:t>
      </w:r>
      <w:r>
        <w:rPr>
          <w:spacing w:val="-29"/>
        </w:rPr>
        <w:t> </w:t>
      </w:r>
      <w:r>
        <w:rPr/>
        <w:t>de</w:t>
      </w:r>
      <w:r>
        <w:rPr>
          <w:spacing w:val="-29"/>
        </w:rPr>
        <w:t> </w:t>
      </w:r>
      <w:r>
        <w:rPr/>
        <w:t>México,</w:t>
      </w:r>
      <w:r>
        <w:rPr>
          <w:spacing w:val="-29"/>
        </w:rPr>
        <w:t> </w:t>
      </w:r>
      <w:r>
        <w:rPr>
          <w:spacing w:val="3"/>
        </w:rPr>
        <w:t>loscuales</w:t>
      </w:r>
      <w:r>
        <w:rPr>
          <w:spacing w:val="-29"/>
        </w:rPr>
        <w:t> </w:t>
      </w:r>
      <w:r>
        <w:rPr/>
        <w:t>serían</w:t>
      </w:r>
      <w:r>
        <w:rPr>
          <w:spacing w:val="-29"/>
        </w:rPr>
        <w:t> </w:t>
      </w:r>
      <w:r>
        <w:rPr/>
        <w:t>integradoscomo alimentadores. Consecuentemente, se afectarían los intereses transportistas</w:t>
      </w:r>
      <w:r>
        <w:rPr>
          <w:spacing w:val="-31"/>
        </w:rPr>
        <w:t> </w:t>
      </w:r>
      <w:r>
        <w:rPr/>
        <w:t>al reducir las rutas que históricamente han defendido. El proyecto original está integrado por tres sistemas de ferrocarriles suburbanos dispuestos en forma radial: Buenavista-Cuautitlán, Naucalpan-Ecatepec y Aragón-Los Reyes. El primer</w:t>
      </w:r>
      <w:r>
        <w:rPr>
          <w:spacing w:val="-5"/>
        </w:rPr>
        <w:t> </w:t>
      </w:r>
      <w:r>
        <w:rPr/>
        <w:t>tramo</w:t>
      </w:r>
      <w:r>
        <w:rPr>
          <w:spacing w:val="-6"/>
        </w:rPr>
        <w:t> </w:t>
      </w:r>
      <w:r>
        <w:rPr/>
        <w:t>mencionado,</w:t>
      </w:r>
      <w:r>
        <w:rPr>
          <w:spacing w:val="-6"/>
        </w:rPr>
        <w:t> </w:t>
      </w:r>
      <w:r>
        <w:rPr/>
        <w:t>ubicado</w:t>
      </w:r>
      <w:r>
        <w:rPr>
          <w:spacing w:val="-5"/>
        </w:rPr>
        <w:t> </w:t>
      </w:r>
      <w:r>
        <w:rPr/>
        <w:t>en</w:t>
      </w:r>
      <w:r>
        <w:rPr>
          <w:spacing w:val="-5"/>
        </w:rPr>
        <w:t> </w:t>
      </w:r>
      <w:r>
        <w:rPr/>
        <w:t>una</w:t>
      </w:r>
      <w:r>
        <w:rPr>
          <w:spacing w:val="-5"/>
        </w:rPr>
        <w:t> </w:t>
      </w:r>
      <w:r>
        <w:rPr/>
        <w:t>región</w:t>
      </w:r>
      <w:r>
        <w:rPr>
          <w:spacing w:val="-5"/>
        </w:rPr>
        <w:t> </w:t>
      </w:r>
      <w:r>
        <w:rPr/>
        <w:t>de</w:t>
      </w:r>
      <w:r>
        <w:rPr>
          <w:spacing w:val="-5"/>
        </w:rPr>
        <w:t> </w:t>
      </w:r>
      <w:r>
        <w:rPr/>
        <w:t>alta</w:t>
      </w:r>
      <w:r>
        <w:rPr>
          <w:spacing w:val="-6"/>
        </w:rPr>
        <w:t> </w:t>
      </w:r>
      <w:r>
        <w:rPr/>
        <w:t>y</w:t>
      </w:r>
      <w:r>
        <w:rPr>
          <w:spacing w:val="-5"/>
        </w:rPr>
        <w:t> </w:t>
      </w:r>
      <w:r>
        <w:rPr/>
        <w:t>creciente</w:t>
      </w:r>
      <w:r>
        <w:rPr>
          <w:spacing w:val="-6"/>
        </w:rPr>
        <w:t> </w:t>
      </w:r>
      <w:r>
        <w:rPr/>
        <w:t>densidad demográfica y actividad económica, fue concesionado al grupo español Construcciones y Auxiliar de Ferrocarriles S. A. (CAF) el 24 de agosto de 2005</w:t>
      </w:r>
      <w:r>
        <w:rPr>
          <w:position w:val="8"/>
          <w:sz w:val="13"/>
        </w:rPr>
        <w:t>147</w:t>
      </w:r>
      <w:r>
        <w:rPr/>
        <w:t>. La anuencia y colaboración de las autoridades del Distrito Federal y del</w:t>
      </w:r>
      <w:r>
        <w:rPr>
          <w:spacing w:val="-16"/>
        </w:rPr>
        <w:t> </w:t>
      </w:r>
      <w:r>
        <w:rPr/>
        <w:t>Estado</w:t>
      </w:r>
      <w:r>
        <w:rPr>
          <w:spacing w:val="-16"/>
        </w:rPr>
        <w:t> </w:t>
      </w:r>
      <w:r>
        <w:rPr/>
        <w:t>de</w:t>
      </w:r>
      <w:r>
        <w:rPr>
          <w:spacing w:val="-16"/>
        </w:rPr>
        <w:t> </w:t>
      </w:r>
      <w:r>
        <w:rPr/>
        <w:t>México</w:t>
      </w:r>
      <w:r>
        <w:rPr>
          <w:spacing w:val="-15"/>
        </w:rPr>
        <w:t> </w:t>
      </w:r>
      <w:r>
        <w:rPr/>
        <w:t>fue</w:t>
      </w:r>
      <w:r>
        <w:rPr>
          <w:spacing w:val="-16"/>
        </w:rPr>
        <w:t> </w:t>
      </w:r>
      <w:r>
        <w:rPr/>
        <w:t>concretada</w:t>
      </w:r>
      <w:r>
        <w:rPr>
          <w:spacing w:val="-16"/>
        </w:rPr>
        <w:t> </w:t>
      </w:r>
      <w:r>
        <w:rPr/>
        <w:t>en</w:t>
      </w:r>
      <w:r>
        <w:rPr>
          <w:spacing w:val="-16"/>
        </w:rPr>
        <w:t> </w:t>
      </w:r>
      <w:r>
        <w:rPr/>
        <w:t>un</w:t>
      </w:r>
      <w:r>
        <w:rPr>
          <w:spacing w:val="-16"/>
        </w:rPr>
        <w:t> </w:t>
      </w:r>
      <w:r>
        <w:rPr/>
        <w:t>convenio</w:t>
      </w:r>
      <w:r>
        <w:rPr>
          <w:spacing w:val="-16"/>
        </w:rPr>
        <w:t> </w:t>
      </w:r>
      <w:r>
        <w:rPr/>
        <w:t>suscrito</w:t>
      </w:r>
      <w:r>
        <w:rPr>
          <w:spacing w:val="-15"/>
        </w:rPr>
        <w:t> </w:t>
      </w:r>
      <w:r>
        <w:rPr/>
        <w:t>por</w:t>
      </w:r>
      <w:r>
        <w:rPr>
          <w:spacing w:val="-16"/>
        </w:rPr>
        <w:t> </w:t>
      </w:r>
      <w:r>
        <w:rPr/>
        <w:t>el</w:t>
      </w:r>
      <w:r>
        <w:rPr>
          <w:spacing w:val="-16"/>
        </w:rPr>
        <w:t> </w:t>
      </w:r>
      <w:r>
        <w:rPr/>
        <w:t>Presidente de la República y los respectivos gobernadores el </w:t>
      </w:r>
      <w:r>
        <w:rPr>
          <w:spacing w:val="-5"/>
        </w:rPr>
        <w:t>11 </w:t>
      </w:r>
      <w:r>
        <w:rPr/>
        <w:t>de junio de 2003 en la estación Buenavista (Distrito</w:t>
      </w:r>
      <w:r>
        <w:rPr>
          <w:spacing w:val="-10"/>
        </w:rPr>
        <w:t> </w:t>
      </w:r>
      <w:r>
        <w:rPr/>
        <w:t>Federal).</w:t>
      </w:r>
    </w:p>
    <w:p>
      <w:pPr>
        <w:pStyle w:val="BodyText"/>
        <w:spacing w:before="10"/>
        <w:rPr>
          <w:sz w:val="22"/>
        </w:rPr>
      </w:pPr>
    </w:p>
    <w:p>
      <w:pPr>
        <w:pStyle w:val="BodyText"/>
        <w:spacing w:line="260" w:lineRule="exact"/>
        <w:ind w:left="110" w:right="114"/>
        <w:jc w:val="both"/>
      </w:pPr>
      <w:r>
        <w:rPr/>
        <w:t>El estudio de viabilidad del ferrocarril suburbano Buenavista-Cuautitlán estableció una demanda potencial redituable. Por ello, la sustitución de los modos tradicionales de transporte por el sistema que nos ocupa se consideró adecuada en virtud de sus características: a) su desarrollo factible sobre una vía exclusiva y confinada, b) el emplazamiento de dos terminales y cinco estaciones intermedias en veintisiete kilómetros de recorrido con posibilidad de expansión a setenta y nueve kilómetros, c) la probable conexión con dos líneas</w:t>
      </w:r>
      <w:r>
        <w:rPr>
          <w:spacing w:val="-6"/>
        </w:rPr>
        <w:t> </w:t>
      </w:r>
      <w:r>
        <w:rPr/>
        <w:t>de</w:t>
      </w:r>
      <w:r>
        <w:rPr>
          <w:spacing w:val="-6"/>
        </w:rPr>
        <w:t> </w:t>
      </w:r>
      <w:r>
        <w:rPr/>
        <w:t>la</w:t>
      </w:r>
      <w:r>
        <w:rPr>
          <w:spacing w:val="-6"/>
        </w:rPr>
        <w:t> </w:t>
      </w:r>
      <w:r>
        <w:rPr/>
        <w:t>red</w:t>
      </w:r>
      <w:r>
        <w:rPr>
          <w:spacing w:val="-6"/>
        </w:rPr>
        <w:t> </w:t>
      </w:r>
      <w:r>
        <w:rPr/>
        <w:t>del</w:t>
      </w:r>
      <w:r>
        <w:rPr>
          <w:spacing w:val="-6"/>
        </w:rPr>
        <w:t> </w:t>
      </w:r>
      <w:r>
        <w:rPr/>
        <w:t>metro</w:t>
      </w:r>
      <w:r>
        <w:rPr>
          <w:spacing w:val="-6"/>
        </w:rPr>
        <w:t> </w:t>
      </w:r>
      <w:r>
        <w:rPr/>
        <w:t>de</w:t>
      </w:r>
      <w:r>
        <w:rPr>
          <w:spacing w:val="-6"/>
        </w:rPr>
        <w:t> </w:t>
      </w:r>
      <w:r>
        <w:rPr/>
        <w:t>la</w:t>
      </w:r>
      <w:r>
        <w:rPr>
          <w:spacing w:val="-6"/>
        </w:rPr>
        <w:t> </w:t>
      </w:r>
      <w:r>
        <w:rPr/>
        <w:t>Ciudad</w:t>
      </w:r>
      <w:r>
        <w:rPr>
          <w:spacing w:val="-6"/>
        </w:rPr>
        <w:t> </w:t>
      </w:r>
      <w:r>
        <w:rPr/>
        <w:t>de</w:t>
      </w:r>
      <w:r>
        <w:rPr>
          <w:spacing w:val="-6"/>
        </w:rPr>
        <w:t> </w:t>
      </w:r>
      <w:r>
        <w:rPr/>
        <w:t>México,</w:t>
      </w:r>
      <w:r>
        <w:rPr>
          <w:spacing w:val="-6"/>
        </w:rPr>
        <w:t> </w:t>
      </w:r>
      <w:r>
        <w:rPr/>
        <w:t>d)</w:t>
      </w:r>
      <w:r>
        <w:rPr>
          <w:spacing w:val="-6"/>
        </w:rPr>
        <w:t> </w:t>
      </w:r>
      <w:r>
        <w:rPr/>
        <w:t>el</w:t>
      </w:r>
      <w:r>
        <w:rPr>
          <w:spacing w:val="-6"/>
        </w:rPr>
        <w:t> </w:t>
      </w:r>
      <w:r>
        <w:rPr/>
        <w:t>intervalo</w:t>
      </w:r>
      <w:r>
        <w:rPr>
          <w:spacing w:val="-7"/>
        </w:rPr>
        <w:t> </w:t>
      </w:r>
      <w:r>
        <w:rPr/>
        <w:t>de</w:t>
      </w:r>
      <w:r>
        <w:rPr>
          <w:spacing w:val="-6"/>
        </w:rPr>
        <w:t> </w:t>
      </w:r>
      <w:r>
        <w:rPr/>
        <w:t>recorrido en</w:t>
      </w:r>
      <w:r>
        <w:rPr>
          <w:spacing w:val="-8"/>
        </w:rPr>
        <w:t> </w:t>
      </w:r>
      <w:r>
        <w:rPr/>
        <w:t>sólo</w:t>
      </w:r>
      <w:r>
        <w:rPr>
          <w:spacing w:val="-7"/>
        </w:rPr>
        <w:t> </w:t>
      </w:r>
      <w:r>
        <w:rPr/>
        <w:t>veinticinco</w:t>
      </w:r>
      <w:r>
        <w:rPr>
          <w:spacing w:val="-8"/>
        </w:rPr>
        <w:t> </w:t>
      </w:r>
      <w:r>
        <w:rPr/>
        <w:t>minutos</w:t>
      </w:r>
      <w:r>
        <w:rPr>
          <w:spacing w:val="-8"/>
        </w:rPr>
        <w:t> </w:t>
      </w:r>
      <w:r>
        <w:rPr/>
        <w:t>de</w:t>
      </w:r>
      <w:r>
        <w:rPr>
          <w:spacing w:val="-8"/>
        </w:rPr>
        <w:t> </w:t>
      </w:r>
      <w:r>
        <w:rPr/>
        <w:t>terminal</w:t>
      </w:r>
      <w:r>
        <w:rPr>
          <w:spacing w:val="-8"/>
        </w:rPr>
        <w:t> </w:t>
      </w:r>
      <w:r>
        <w:rPr/>
        <w:t>a</w:t>
      </w:r>
      <w:r>
        <w:rPr>
          <w:spacing w:val="-8"/>
        </w:rPr>
        <w:t> </w:t>
      </w:r>
      <w:r>
        <w:rPr/>
        <w:t>terminal,</w:t>
      </w:r>
      <w:r>
        <w:rPr>
          <w:spacing w:val="-8"/>
        </w:rPr>
        <w:t> </w:t>
      </w:r>
      <w:r>
        <w:rPr/>
        <w:t>y</w:t>
      </w:r>
      <w:r>
        <w:rPr>
          <w:spacing w:val="-8"/>
        </w:rPr>
        <w:t> </w:t>
      </w:r>
      <w:r>
        <w:rPr/>
        <w:t>e)</w:t>
      </w:r>
      <w:r>
        <w:rPr>
          <w:spacing w:val="-8"/>
        </w:rPr>
        <w:t> </w:t>
      </w:r>
      <w:r>
        <w:rPr/>
        <w:t>una</w:t>
      </w:r>
      <w:r>
        <w:rPr>
          <w:spacing w:val="-8"/>
        </w:rPr>
        <w:t> </w:t>
      </w:r>
      <w:r>
        <w:rPr/>
        <w:t>frecuencia</w:t>
      </w:r>
      <w:r>
        <w:rPr>
          <w:spacing w:val="-7"/>
        </w:rPr>
        <w:t> </w:t>
      </w:r>
      <w:r>
        <w:rPr/>
        <w:t>de</w:t>
      </w:r>
      <w:r>
        <w:rPr>
          <w:spacing w:val="-8"/>
        </w:rPr>
        <w:t> </w:t>
      </w:r>
      <w:r>
        <w:rPr/>
        <w:t>seis minutos entre trenes en hora</w:t>
      </w:r>
      <w:r>
        <w:rPr>
          <w:spacing w:val="-4"/>
        </w:rPr>
        <w:t> </w:t>
      </w:r>
      <w:r>
        <w:rPr/>
        <w:t>pico.</w:t>
      </w:r>
    </w:p>
    <w:p>
      <w:pPr>
        <w:pStyle w:val="BodyText"/>
        <w:spacing w:before="7"/>
        <w:rPr>
          <w:sz w:val="22"/>
        </w:rPr>
      </w:pPr>
    </w:p>
    <w:p>
      <w:pPr>
        <w:pStyle w:val="BodyText"/>
        <w:spacing w:line="260" w:lineRule="exact"/>
        <w:ind w:left="110" w:right="114"/>
        <w:jc w:val="both"/>
      </w:pPr>
      <w:r>
        <w:rPr/>
        <w:t>Para la instalación del sistema tren suburbano Buenavista-Cuautitlán se requirieron dos tipos de obras. Las obras propias del sistema estuvieron a cargo de la empresa concesionaria, la cual se centró en resolver el diseño    de dos estaciones en el desarrollo del sistema dentro del Distrito Federal (Buenavista y Fortuna) y cinco en el Estado de México (Tlalnepantla, San Rafael,</w:t>
      </w:r>
      <w:r>
        <w:rPr>
          <w:spacing w:val="-5"/>
        </w:rPr>
        <w:t> </w:t>
      </w:r>
      <w:r>
        <w:rPr/>
        <w:t>Lechería,</w:t>
      </w:r>
      <w:r>
        <w:rPr>
          <w:spacing w:val="-10"/>
        </w:rPr>
        <w:t> </w:t>
      </w:r>
      <w:r>
        <w:rPr/>
        <w:t>Tultitlán</w:t>
      </w:r>
      <w:r>
        <w:rPr>
          <w:spacing w:val="-5"/>
        </w:rPr>
        <w:t> </w:t>
      </w:r>
      <w:r>
        <w:rPr/>
        <w:t>y</w:t>
      </w:r>
      <w:r>
        <w:rPr>
          <w:spacing w:val="-5"/>
        </w:rPr>
        <w:t> </w:t>
      </w:r>
      <w:r>
        <w:rPr/>
        <w:t>Cuautitlán),</w:t>
      </w:r>
      <w:r>
        <w:rPr>
          <w:spacing w:val="-5"/>
        </w:rPr>
        <w:t> </w:t>
      </w:r>
      <w:r>
        <w:rPr/>
        <w:t>además</w:t>
      </w:r>
      <w:r>
        <w:rPr>
          <w:spacing w:val="-6"/>
        </w:rPr>
        <w:t> </w:t>
      </w:r>
      <w:r>
        <w:rPr/>
        <w:t>de</w:t>
      </w:r>
      <w:r>
        <w:rPr>
          <w:spacing w:val="-5"/>
        </w:rPr>
        <w:t> </w:t>
      </w:r>
      <w:r>
        <w:rPr/>
        <w:t>adecuar</w:t>
      </w:r>
      <w:r>
        <w:rPr>
          <w:spacing w:val="-6"/>
        </w:rPr>
        <w:t> </w:t>
      </w:r>
      <w:r>
        <w:rPr/>
        <w:t>las</w:t>
      </w:r>
      <w:r>
        <w:rPr>
          <w:spacing w:val="-5"/>
        </w:rPr>
        <w:t> </w:t>
      </w:r>
      <w:r>
        <w:rPr/>
        <w:t>vías</w:t>
      </w:r>
      <w:r>
        <w:rPr>
          <w:spacing w:val="-5"/>
        </w:rPr>
        <w:t> </w:t>
      </w:r>
      <w:r>
        <w:rPr/>
        <w:t>de</w:t>
      </w:r>
      <w:r>
        <w:rPr>
          <w:spacing w:val="-5"/>
        </w:rPr>
        <w:t> </w:t>
      </w:r>
      <w:r>
        <w:rPr/>
        <w:t>modo que pudieran operar los nuevos trenes de pasajeros y siguieran funcionando los</w:t>
      </w:r>
      <w:r>
        <w:rPr>
          <w:spacing w:val="-5"/>
        </w:rPr>
        <w:t> </w:t>
      </w:r>
      <w:r>
        <w:rPr/>
        <w:t>trenes</w:t>
      </w:r>
      <w:r>
        <w:rPr>
          <w:spacing w:val="-5"/>
        </w:rPr>
        <w:t> </w:t>
      </w:r>
      <w:r>
        <w:rPr/>
        <w:t>de</w:t>
      </w:r>
      <w:r>
        <w:rPr>
          <w:spacing w:val="-5"/>
        </w:rPr>
        <w:t> </w:t>
      </w:r>
      <w:r>
        <w:rPr/>
        <w:t>carga</w:t>
      </w:r>
      <w:r>
        <w:rPr>
          <w:spacing w:val="-5"/>
        </w:rPr>
        <w:t> </w:t>
      </w:r>
      <w:r>
        <w:rPr/>
        <w:t>(se</w:t>
      </w:r>
      <w:r>
        <w:rPr>
          <w:spacing w:val="-5"/>
        </w:rPr>
        <w:t> </w:t>
      </w:r>
      <w:r>
        <w:rPr/>
        <w:t>incluyó</w:t>
      </w:r>
      <w:r>
        <w:rPr>
          <w:spacing w:val="-5"/>
        </w:rPr>
        <w:t> </w:t>
      </w:r>
      <w:r>
        <w:rPr/>
        <w:t>el</w:t>
      </w:r>
      <w:r>
        <w:rPr>
          <w:spacing w:val="-5"/>
        </w:rPr>
        <w:t> </w:t>
      </w:r>
      <w:r>
        <w:rPr/>
        <w:t>confinamiento</w:t>
      </w:r>
      <w:r>
        <w:rPr>
          <w:spacing w:val="-5"/>
        </w:rPr>
        <w:t> </w:t>
      </w:r>
      <w:r>
        <w:rPr/>
        <w:t>de</w:t>
      </w:r>
      <w:r>
        <w:rPr>
          <w:spacing w:val="-5"/>
        </w:rPr>
        <w:t> </w:t>
      </w:r>
      <w:r>
        <w:rPr/>
        <w:t>la</w:t>
      </w:r>
      <w:r>
        <w:rPr>
          <w:spacing w:val="-5"/>
        </w:rPr>
        <w:t> </w:t>
      </w:r>
      <w:r>
        <w:rPr/>
        <w:t>vía).</w:t>
      </w:r>
      <w:r>
        <w:rPr>
          <w:spacing w:val="-5"/>
        </w:rPr>
        <w:t> </w:t>
      </w:r>
      <w:r>
        <w:rPr/>
        <w:t>Las</w:t>
      </w:r>
      <w:r>
        <w:rPr>
          <w:spacing w:val="-5"/>
        </w:rPr>
        <w:t> </w:t>
      </w:r>
      <w:r>
        <w:rPr/>
        <w:t>obras</w:t>
      </w:r>
      <w:r>
        <w:rPr>
          <w:spacing w:val="-5"/>
        </w:rPr>
        <w:t> </w:t>
      </w:r>
      <w:r>
        <w:rPr/>
        <w:t>relativas </w:t>
      </w:r>
      <w:r>
        <w:rPr>
          <w:u w:val="single"/>
        </w:rPr>
        <w:t>a modificacione</w:t>
      </w:r>
      <w:r>
        <w:rPr/>
        <w:t>s de carácter vial por el impacto que generó la vía </w:t>
      </w:r>
      <w:r>
        <w:rPr>
          <w:spacing w:val="12"/>
        </w:rPr>
        <w:t> </w:t>
      </w:r>
      <w:r>
        <w:rPr/>
        <w:t>confinada</w:t>
      </w:r>
    </w:p>
    <w:p>
      <w:pPr>
        <w:spacing w:before="74"/>
        <w:ind w:left="110" w:right="0" w:firstLine="0"/>
        <w:jc w:val="both"/>
        <w:rPr>
          <w:sz w:val="18"/>
        </w:rPr>
      </w:pPr>
      <w:r>
        <w:rPr>
          <w:position w:val="7"/>
          <w:sz w:val="11"/>
        </w:rPr>
        <w:t>147    </w:t>
      </w:r>
      <w:r>
        <w:rPr>
          <w:sz w:val="18"/>
        </w:rPr>
        <w:t>El  concesionario  resultó  ser  el  grupo  español  Construcciones  y  Auxiliar  de Ferrocarriles</w:t>
      </w:r>
    </w:p>
    <w:p>
      <w:pPr>
        <w:spacing w:line="249" w:lineRule="auto" w:before="9"/>
        <w:ind w:left="393" w:right="115" w:firstLine="0"/>
        <w:jc w:val="both"/>
        <w:rPr>
          <w:sz w:val="18"/>
        </w:rPr>
      </w:pPr>
      <w:r>
        <w:rPr>
          <w:sz w:val="18"/>
        </w:rPr>
        <w:t>S. A. (CAF), el cual se auto describe como </w:t>
      </w:r>
      <w:r>
        <w:rPr>
          <w:i/>
          <w:sz w:val="18"/>
        </w:rPr>
        <w:t>uno de los líderes internacionales en el diseño, </w:t>
      </w:r>
      <w:r>
        <w:rPr>
          <w:i/>
          <w:sz w:val="18"/>
        </w:rPr>
        <w:t>fabricación,</w:t>
      </w:r>
      <w:r>
        <w:rPr>
          <w:i/>
          <w:spacing w:val="-7"/>
          <w:sz w:val="18"/>
        </w:rPr>
        <w:t> </w:t>
      </w:r>
      <w:r>
        <w:rPr>
          <w:i/>
          <w:sz w:val="18"/>
        </w:rPr>
        <w:t>mantenimiento</w:t>
      </w:r>
      <w:r>
        <w:rPr>
          <w:i/>
          <w:spacing w:val="-6"/>
          <w:sz w:val="18"/>
        </w:rPr>
        <w:t> </w:t>
      </w:r>
      <w:r>
        <w:rPr>
          <w:i/>
          <w:sz w:val="18"/>
        </w:rPr>
        <w:t>y</w:t>
      </w:r>
      <w:r>
        <w:rPr>
          <w:i/>
          <w:spacing w:val="-7"/>
          <w:sz w:val="18"/>
        </w:rPr>
        <w:t> </w:t>
      </w:r>
      <w:r>
        <w:rPr>
          <w:i/>
          <w:sz w:val="18"/>
        </w:rPr>
        <w:t>suministro</w:t>
      </w:r>
      <w:r>
        <w:rPr>
          <w:i/>
          <w:spacing w:val="-7"/>
          <w:sz w:val="18"/>
        </w:rPr>
        <w:t> </w:t>
      </w:r>
      <w:r>
        <w:rPr>
          <w:i/>
          <w:sz w:val="18"/>
        </w:rPr>
        <w:t>de</w:t>
      </w:r>
      <w:r>
        <w:rPr>
          <w:i/>
          <w:spacing w:val="-7"/>
          <w:sz w:val="18"/>
        </w:rPr>
        <w:t> </w:t>
      </w:r>
      <w:r>
        <w:rPr>
          <w:i/>
          <w:sz w:val="18"/>
        </w:rPr>
        <w:t>equipos</w:t>
      </w:r>
      <w:r>
        <w:rPr>
          <w:i/>
          <w:spacing w:val="-7"/>
          <w:sz w:val="18"/>
        </w:rPr>
        <w:t> </w:t>
      </w:r>
      <w:r>
        <w:rPr>
          <w:i/>
          <w:sz w:val="18"/>
        </w:rPr>
        <w:t>y</w:t>
      </w:r>
      <w:r>
        <w:rPr>
          <w:i/>
          <w:spacing w:val="-7"/>
          <w:sz w:val="18"/>
        </w:rPr>
        <w:t> </w:t>
      </w:r>
      <w:r>
        <w:rPr>
          <w:i/>
          <w:sz w:val="18"/>
        </w:rPr>
        <w:t>componentes</w:t>
      </w:r>
      <w:r>
        <w:rPr>
          <w:i/>
          <w:spacing w:val="-7"/>
          <w:sz w:val="18"/>
        </w:rPr>
        <w:t> </w:t>
      </w:r>
      <w:r>
        <w:rPr>
          <w:i/>
          <w:sz w:val="18"/>
        </w:rPr>
        <w:t>para</w:t>
      </w:r>
      <w:r>
        <w:rPr>
          <w:i/>
          <w:spacing w:val="-7"/>
          <w:sz w:val="18"/>
        </w:rPr>
        <w:t> </w:t>
      </w:r>
      <w:r>
        <w:rPr>
          <w:i/>
          <w:sz w:val="18"/>
        </w:rPr>
        <w:t>sistemas</w:t>
      </w:r>
      <w:r>
        <w:rPr>
          <w:i/>
          <w:spacing w:val="-6"/>
          <w:sz w:val="18"/>
        </w:rPr>
        <w:t> </w:t>
      </w:r>
      <w:r>
        <w:rPr>
          <w:i/>
          <w:sz w:val="18"/>
        </w:rPr>
        <w:t>ferroviarios</w:t>
      </w:r>
      <w:r>
        <w:rPr>
          <w:sz w:val="18"/>
        </w:rPr>
        <w:t>. Información publicada en</w:t>
      </w:r>
      <w:r>
        <w:rPr>
          <w:spacing w:val="-13"/>
          <w:sz w:val="18"/>
        </w:rPr>
        <w:t> </w:t>
      </w:r>
      <w:hyperlink r:id="rId175">
        <w:r>
          <w:rPr>
            <w:sz w:val="18"/>
          </w:rPr>
          <w:t>http://www.caf.es/caste/compania/index.php.</w:t>
        </w:r>
      </w:hyperlink>
    </w:p>
    <w:p>
      <w:pPr>
        <w:spacing w:after="0" w:line="249" w:lineRule="auto"/>
        <w:jc w:val="both"/>
        <w:rPr>
          <w:sz w:val="18"/>
        </w:rPr>
        <w:sectPr>
          <w:footerReference w:type="default" r:id="rId173"/>
          <w:footerReference w:type="even" r:id="rId174"/>
          <w:pgSz w:w="9360" w:h="13040"/>
          <w:pgMar w:footer="515" w:header="527" w:top="720" w:bottom="700" w:left="740" w:right="1300"/>
        </w:sectPr>
      </w:pPr>
    </w:p>
    <w:p>
      <w:pPr>
        <w:pStyle w:val="BodyText"/>
        <w:spacing w:before="11"/>
        <w:rPr>
          <w:sz w:val="29"/>
        </w:rPr>
      </w:pPr>
    </w:p>
    <w:p>
      <w:pPr>
        <w:pStyle w:val="BodyText"/>
        <w:spacing w:line="260" w:lineRule="exact" w:before="77"/>
        <w:ind w:left="117" w:right="107"/>
        <w:jc w:val="both"/>
      </w:pPr>
      <w:r>
        <w:rPr/>
        <w:t>estuvieron a cargo de los gobiernos del Distrito Federal y del Estado de México,</w:t>
      </w:r>
      <w:r>
        <w:rPr>
          <w:spacing w:val="-9"/>
        </w:rPr>
        <w:t> </w:t>
      </w:r>
      <w:r>
        <w:rPr/>
        <w:t>en</w:t>
      </w:r>
      <w:r>
        <w:rPr>
          <w:spacing w:val="-10"/>
        </w:rPr>
        <w:t> </w:t>
      </w:r>
      <w:r>
        <w:rPr/>
        <w:t>el</w:t>
      </w:r>
      <w:r>
        <w:rPr>
          <w:spacing w:val="-10"/>
        </w:rPr>
        <w:t> </w:t>
      </w:r>
      <w:r>
        <w:rPr/>
        <w:t>ejercicio</w:t>
      </w:r>
      <w:r>
        <w:rPr>
          <w:spacing w:val="-10"/>
        </w:rPr>
        <w:t> </w:t>
      </w:r>
      <w:r>
        <w:rPr/>
        <w:t>de</w:t>
      </w:r>
      <w:r>
        <w:rPr>
          <w:spacing w:val="-10"/>
        </w:rPr>
        <w:t> </w:t>
      </w:r>
      <w:r>
        <w:rPr/>
        <w:t>recursos</w:t>
      </w:r>
      <w:r>
        <w:rPr>
          <w:spacing w:val="-10"/>
        </w:rPr>
        <w:t> </w:t>
      </w:r>
      <w:r>
        <w:rPr/>
        <w:t>federales.</w:t>
      </w:r>
      <w:r>
        <w:rPr>
          <w:spacing w:val="-10"/>
        </w:rPr>
        <w:t> </w:t>
      </w:r>
      <w:r>
        <w:rPr/>
        <w:t>En</w:t>
      </w:r>
      <w:r>
        <w:rPr>
          <w:spacing w:val="-10"/>
        </w:rPr>
        <w:t> </w:t>
      </w:r>
      <w:r>
        <w:rPr/>
        <w:t>términos</w:t>
      </w:r>
      <w:r>
        <w:rPr>
          <w:spacing w:val="-10"/>
        </w:rPr>
        <w:t> </w:t>
      </w:r>
      <w:r>
        <w:rPr/>
        <w:t>generales,</w:t>
      </w:r>
      <w:r>
        <w:rPr>
          <w:spacing w:val="-10"/>
        </w:rPr>
        <w:t> </w:t>
      </w:r>
      <w:r>
        <w:rPr/>
        <w:t>las</w:t>
      </w:r>
      <w:r>
        <w:rPr>
          <w:spacing w:val="-10"/>
        </w:rPr>
        <w:t> </w:t>
      </w:r>
      <w:r>
        <w:rPr/>
        <w:t>obras localizadas</w:t>
      </w:r>
      <w:r>
        <w:rPr>
          <w:spacing w:val="-16"/>
        </w:rPr>
        <w:t> </w:t>
      </w:r>
      <w:r>
        <w:rPr/>
        <w:t>en</w:t>
      </w:r>
      <w:r>
        <w:rPr>
          <w:spacing w:val="-15"/>
        </w:rPr>
        <w:t> </w:t>
      </w:r>
      <w:r>
        <w:rPr/>
        <w:t>el</w:t>
      </w:r>
      <w:r>
        <w:rPr>
          <w:spacing w:val="-15"/>
        </w:rPr>
        <w:t> </w:t>
      </w:r>
      <w:r>
        <w:rPr/>
        <w:t>Distrito</w:t>
      </w:r>
      <w:r>
        <w:rPr>
          <w:spacing w:val="-14"/>
        </w:rPr>
        <w:t> </w:t>
      </w:r>
      <w:r>
        <w:rPr/>
        <w:t>Federal</w:t>
      </w:r>
      <w:r>
        <w:rPr>
          <w:spacing w:val="-14"/>
        </w:rPr>
        <w:t> </w:t>
      </w:r>
      <w:r>
        <w:rPr/>
        <w:t>fueron</w:t>
      </w:r>
      <w:r>
        <w:rPr>
          <w:spacing w:val="-15"/>
        </w:rPr>
        <w:t> </w:t>
      </w:r>
      <w:r>
        <w:rPr/>
        <w:t>cuatro</w:t>
      </w:r>
      <w:r>
        <w:rPr>
          <w:spacing w:val="-15"/>
        </w:rPr>
        <w:t> </w:t>
      </w:r>
      <w:r>
        <w:rPr/>
        <w:t>intersecciones</w:t>
      </w:r>
      <w:r>
        <w:rPr>
          <w:spacing w:val="-16"/>
        </w:rPr>
        <w:t> </w:t>
      </w:r>
      <w:r>
        <w:rPr/>
        <w:t>viales</w:t>
      </w:r>
      <w:r>
        <w:rPr>
          <w:spacing w:val="-15"/>
        </w:rPr>
        <w:t> </w:t>
      </w:r>
      <w:r>
        <w:rPr/>
        <w:t>con</w:t>
      </w:r>
      <w:r>
        <w:rPr>
          <w:spacing w:val="-15"/>
        </w:rPr>
        <w:t> </w:t>
      </w:r>
      <w:r>
        <w:rPr/>
        <w:t>la</w:t>
      </w:r>
      <w:r>
        <w:rPr>
          <w:spacing w:val="-15"/>
        </w:rPr>
        <w:t> </w:t>
      </w:r>
      <w:r>
        <w:rPr/>
        <w:t>vía confinada:</w:t>
      </w:r>
      <w:r>
        <w:rPr>
          <w:spacing w:val="-17"/>
        </w:rPr>
        <w:t> </w:t>
      </w:r>
      <w:r>
        <w:rPr/>
        <w:t>Flores</w:t>
      </w:r>
      <w:r>
        <w:rPr>
          <w:spacing w:val="-17"/>
        </w:rPr>
        <w:t> </w:t>
      </w:r>
      <w:r>
        <w:rPr/>
        <w:t>Magón,</w:t>
      </w:r>
      <w:r>
        <w:rPr>
          <w:spacing w:val="-17"/>
        </w:rPr>
        <w:t> </w:t>
      </w:r>
      <w:r>
        <w:rPr/>
        <w:t>Eulalia</w:t>
      </w:r>
      <w:r>
        <w:rPr>
          <w:spacing w:val="-17"/>
        </w:rPr>
        <w:t> </w:t>
      </w:r>
      <w:r>
        <w:rPr/>
        <w:t>Guzman,</w:t>
      </w:r>
      <w:r>
        <w:rPr>
          <w:spacing w:val="-17"/>
        </w:rPr>
        <w:t> </w:t>
      </w:r>
      <w:r>
        <w:rPr/>
        <w:t>Circuito</w:t>
      </w:r>
      <w:r>
        <w:rPr>
          <w:spacing w:val="-17"/>
        </w:rPr>
        <w:t> </w:t>
      </w:r>
      <w:r>
        <w:rPr/>
        <w:t>Interior</w:t>
      </w:r>
      <w:r>
        <w:rPr>
          <w:spacing w:val="-17"/>
        </w:rPr>
        <w:t> </w:t>
      </w:r>
      <w:r>
        <w:rPr/>
        <w:t>y</w:t>
      </w:r>
      <w:r>
        <w:rPr>
          <w:spacing w:val="-17"/>
        </w:rPr>
        <w:t> </w:t>
      </w:r>
      <w:r>
        <w:rPr/>
        <w:t>Eje</w:t>
      </w:r>
      <w:r>
        <w:rPr>
          <w:spacing w:val="-17"/>
        </w:rPr>
        <w:t> </w:t>
      </w:r>
      <w:r>
        <w:rPr/>
        <w:t>Norte</w:t>
      </w:r>
      <w:r>
        <w:rPr>
          <w:spacing w:val="-17"/>
        </w:rPr>
        <w:t> </w:t>
      </w:r>
      <w:r>
        <w:rPr/>
        <w:t>4.</w:t>
      </w:r>
      <w:r>
        <w:rPr>
          <w:spacing w:val="-17"/>
        </w:rPr>
        <w:t> </w:t>
      </w:r>
      <w:r>
        <w:rPr/>
        <w:t>Por su parte, en el Estado de México se proyectaron seis de estas intersecciones: </w:t>
      </w:r>
      <w:r>
        <w:rPr>
          <w:spacing w:val="-5"/>
        </w:rPr>
        <w:t>11 </w:t>
      </w:r>
      <w:r>
        <w:rPr/>
        <w:t>de Julio, Independencia, San Antonio, </w:t>
      </w:r>
      <w:r>
        <w:rPr>
          <w:spacing w:val="-3"/>
        </w:rPr>
        <w:t>Venustiano </w:t>
      </w:r>
      <w:r>
        <w:rPr/>
        <w:t>Carranza, Morelos y Fresnos.</w:t>
      </w:r>
    </w:p>
    <w:p>
      <w:pPr>
        <w:pStyle w:val="BodyText"/>
        <w:spacing w:before="7"/>
        <w:rPr>
          <w:sz w:val="22"/>
        </w:rPr>
      </w:pPr>
    </w:p>
    <w:p>
      <w:pPr>
        <w:pStyle w:val="BodyText"/>
        <w:spacing w:line="260" w:lineRule="exact"/>
        <w:ind w:left="117" w:right="107"/>
        <w:jc w:val="both"/>
      </w:pPr>
      <w:r>
        <w:rPr>
          <w:spacing w:val="-4"/>
        </w:rPr>
        <w:t>Todas </w:t>
      </w:r>
      <w:r>
        <w:rPr/>
        <w:t>las acciones descritas fueron motivo de coordinación entre los tres órdenes de gobierno, por esta razón se firmaron convenios entre la SCT y  los gobiernos del Distrito Federal y del Estado de México para la realización coordinada de: a) proyectos ejecutivos de intersecciones viales y</w:t>
      </w:r>
      <w:r>
        <w:rPr>
          <w:spacing w:val="52"/>
        </w:rPr>
        <w:t> </w:t>
      </w:r>
      <w:r>
        <w:rPr/>
        <w:t>peatonales,</w:t>
      </w:r>
    </w:p>
    <w:p>
      <w:pPr>
        <w:pStyle w:val="ListParagraph"/>
        <w:numPr>
          <w:ilvl w:val="0"/>
          <w:numId w:val="8"/>
        </w:numPr>
        <w:tabs>
          <w:tab w:pos="432" w:val="left" w:leader="none"/>
        </w:tabs>
        <w:spacing w:line="260" w:lineRule="exact" w:before="0" w:after="0"/>
        <w:ind w:left="117" w:right="108" w:firstLine="0"/>
        <w:jc w:val="both"/>
        <w:rPr>
          <w:sz w:val="23"/>
        </w:rPr>
      </w:pPr>
      <w:r>
        <w:rPr>
          <w:sz w:val="23"/>
        </w:rPr>
        <w:t>estudios de impactos vial y ambiental, c) ordenamiento de rutas de transporte,</w:t>
      </w:r>
      <w:r>
        <w:rPr>
          <w:spacing w:val="-18"/>
          <w:sz w:val="23"/>
        </w:rPr>
        <w:t> </w:t>
      </w:r>
      <w:r>
        <w:rPr>
          <w:sz w:val="23"/>
        </w:rPr>
        <w:t>d)</w:t>
      </w:r>
      <w:r>
        <w:rPr>
          <w:spacing w:val="-17"/>
          <w:sz w:val="23"/>
        </w:rPr>
        <w:t> </w:t>
      </w:r>
      <w:r>
        <w:rPr>
          <w:sz w:val="23"/>
        </w:rPr>
        <w:t>permisos</w:t>
      </w:r>
      <w:r>
        <w:rPr>
          <w:spacing w:val="-17"/>
          <w:sz w:val="23"/>
        </w:rPr>
        <w:t> </w:t>
      </w:r>
      <w:r>
        <w:rPr>
          <w:sz w:val="23"/>
        </w:rPr>
        <w:t>y</w:t>
      </w:r>
      <w:r>
        <w:rPr>
          <w:spacing w:val="-17"/>
          <w:sz w:val="23"/>
        </w:rPr>
        <w:t> </w:t>
      </w:r>
      <w:r>
        <w:rPr>
          <w:sz w:val="23"/>
        </w:rPr>
        <w:t>licencias,</w:t>
      </w:r>
      <w:r>
        <w:rPr>
          <w:spacing w:val="-18"/>
          <w:sz w:val="23"/>
        </w:rPr>
        <w:t> </w:t>
      </w:r>
      <w:r>
        <w:rPr>
          <w:sz w:val="23"/>
        </w:rPr>
        <w:t>y</w:t>
      </w:r>
      <w:r>
        <w:rPr>
          <w:spacing w:val="-17"/>
          <w:sz w:val="23"/>
        </w:rPr>
        <w:t> </w:t>
      </w:r>
      <w:r>
        <w:rPr>
          <w:sz w:val="23"/>
        </w:rPr>
        <w:t>e)</w:t>
      </w:r>
      <w:r>
        <w:rPr>
          <w:spacing w:val="-17"/>
          <w:sz w:val="23"/>
        </w:rPr>
        <w:t> </w:t>
      </w:r>
      <w:r>
        <w:rPr>
          <w:sz w:val="23"/>
        </w:rPr>
        <w:t>atención</w:t>
      </w:r>
      <w:r>
        <w:rPr>
          <w:spacing w:val="-18"/>
          <w:sz w:val="23"/>
        </w:rPr>
        <w:t> </w:t>
      </w:r>
      <w:r>
        <w:rPr>
          <w:sz w:val="23"/>
        </w:rPr>
        <w:t>vecinal.</w:t>
      </w:r>
      <w:r>
        <w:rPr>
          <w:spacing w:val="-17"/>
          <w:sz w:val="23"/>
        </w:rPr>
        <w:t> </w:t>
      </w:r>
      <w:r>
        <w:rPr>
          <w:sz w:val="23"/>
        </w:rPr>
        <w:t>Para</w:t>
      </w:r>
      <w:r>
        <w:rPr>
          <w:spacing w:val="-17"/>
          <w:sz w:val="23"/>
        </w:rPr>
        <w:t> </w:t>
      </w:r>
      <w:r>
        <w:rPr>
          <w:sz w:val="23"/>
        </w:rPr>
        <w:t>los</w:t>
      </w:r>
      <w:r>
        <w:rPr>
          <w:spacing w:val="-17"/>
          <w:sz w:val="23"/>
        </w:rPr>
        <w:t> </w:t>
      </w:r>
      <w:r>
        <w:rPr>
          <w:sz w:val="23"/>
        </w:rPr>
        <w:t>dos</w:t>
      </w:r>
      <w:r>
        <w:rPr>
          <w:spacing w:val="-17"/>
          <w:sz w:val="23"/>
        </w:rPr>
        <w:t> </w:t>
      </w:r>
      <w:r>
        <w:rPr>
          <w:sz w:val="23"/>
        </w:rPr>
        <w:t>primeros instrumentos relacionados intervinieron además asesores contratados, cuya coordinación estuvo a cargo de la empresa </w:t>
      </w:r>
      <w:r>
        <w:rPr>
          <w:i/>
          <w:sz w:val="23"/>
        </w:rPr>
        <w:t>Felipe Ochoa y</w:t>
      </w:r>
      <w:r>
        <w:rPr>
          <w:i/>
          <w:spacing w:val="-19"/>
          <w:sz w:val="23"/>
        </w:rPr>
        <w:t> </w:t>
      </w:r>
      <w:r>
        <w:rPr>
          <w:i/>
          <w:sz w:val="23"/>
        </w:rPr>
        <w:t>Asociados</w:t>
      </w:r>
      <w:r>
        <w:rPr>
          <w:sz w:val="23"/>
        </w:rPr>
        <w:t>.</w:t>
      </w:r>
    </w:p>
    <w:p>
      <w:pPr>
        <w:pStyle w:val="BodyText"/>
        <w:spacing w:before="7"/>
        <w:rPr>
          <w:sz w:val="22"/>
        </w:rPr>
      </w:pPr>
    </w:p>
    <w:p>
      <w:pPr>
        <w:pStyle w:val="BodyText"/>
        <w:spacing w:line="260" w:lineRule="exact"/>
        <w:ind w:left="117" w:right="107"/>
        <w:jc w:val="both"/>
      </w:pPr>
      <w:r>
        <w:rPr/>
        <w:t>Por su parte, los ayuntamientos intervinieron en cuanto a las autorizaciones que</w:t>
      </w:r>
      <w:r>
        <w:rPr>
          <w:spacing w:val="-16"/>
        </w:rPr>
        <w:t> </w:t>
      </w:r>
      <w:r>
        <w:rPr/>
        <w:t>les</w:t>
      </w:r>
      <w:r>
        <w:rPr>
          <w:spacing w:val="-16"/>
        </w:rPr>
        <w:t> </w:t>
      </w:r>
      <w:r>
        <w:rPr/>
        <w:t>correspondió</w:t>
      </w:r>
      <w:r>
        <w:rPr>
          <w:spacing w:val="-17"/>
        </w:rPr>
        <w:t> </w:t>
      </w:r>
      <w:r>
        <w:rPr/>
        <w:t>expedir,</w:t>
      </w:r>
      <w:r>
        <w:rPr>
          <w:spacing w:val="-16"/>
        </w:rPr>
        <w:t> </w:t>
      </w:r>
      <w:r>
        <w:rPr/>
        <w:t>en</w:t>
      </w:r>
      <w:r>
        <w:rPr>
          <w:spacing w:val="-16"/>
        </w:rPr>
        <w:t> </w:t>
      </w:r>
      <w:r>
        <w:rPr/>
        <w:t>la</w:t>
      </w:r>
      <w:r>
        <w:rPr>
          <w:spacing w:val="-16"/>
        </w:rPr>
        <w:t> </w:t>
      </w:r>
      <w:r>
        <w:rPr/>
        <w:t>liberación</w:t>
      </w:r>
      <w:r>
        <w:rPr>
          <w:spacing w:val="-16"/>
        </w:rPr>
        <w:t> </w:t>
      </w:r>
      <w:r>
        <w:rPr/>
        <w:t>de</w:t>
      </w:r>
      <w:r>
        <w:rPr>
          <w:spacing w:val="-16"/>
        </w:rPr>
        <w:t> </w:t>
      </w:r>
      <w:r>
        <w:rPr/>
        <w:t>derechos</w:t>
      </w:r>
      <w:r>
        <w:rPr>
          <w:spacing w:val="-16"/>
        </w:rPr>
        <w:t> </w:t>
      </w:r>
      <w:r>
        <w:rPr/>
        <w:t>de</w:t>
      </w:r>
      <w:r>
        <w:rPr>
          <w:spacing w:val="-16"/>
        </w:rPr>
        <w:t> </w:t>
      </w:r>
      <w:r>
        <w:rPr/>
        <w:t>vía</w:t>
      </w:r>
      <w:r>
        <w:rPr>
          <w:spacing w:val="-16"/>
        </w:rPr>
        <w:t> </w:t>
      </w:r>
      <w:r>
        <w:rPr/>
        <w:t>invadidos,</w:t>
      </w:r>
      <w:r>
        <w:rPr>
          <w:spacing w:val="-17"/>
        </w:rPr>
        <w:t> </w:t>
      </w:r>
      <w:r>
        <w:rPr/>
        <w:t>así como en la atención vecinal. Para coordinar la participación de las entidades públicas</w:t>
      </w:r>
      <w:r>
        <w:rPr>
          <w:spacing w:val="-12"/>
        </w:rPr>
        <w:t> </w:t>
      </w:r>
      <w:r>
        <w:rPr/>
        <w:t>y</w:t>
      </w:r>
      <w:r>
        <w:rPr>
          <w:spacing w:val="-12"/>
        </w:rPr>
        <w:t> </w:t>
      </w:r>
      <w:r>
        <w:rPr/>
        <w:t>privadas</w:t>
      </w:r>
      <w:r>
        <w:rPr>
          <w:spacing w:val="-12"/>
        </w:rPr>
        <w:t> </w:t>
      </w:r>
      <w:r>
        <w:rPr/>
        <w:t>en</w:t>
      </w:r>
      <w:r>
        <w:rPr>
          <w:spacing w:val="-12"/>
        </w:rPr>
        <w:t> </w:t>
      </w:r>
      <w:r>
        <w:rPr/>
        <w:t>función</w:t>
      </w:r>
      <w:r>
        <w:rPr>
          <w:spacing w:val="-12"/>
        </w:rPr>
        <w:t> </w:t>
      </w:r>
      <w:r>
        <w:rPr/>
        <w:t>de</w:t>
      </w:r>
      <w:r>
        <w:rPr>
          <w:spacing w:val="-12"/>
        </w:rPr>
        <w:t> </w:t>
      </w:r>
      <w:r>
        <w:rPr/>
        <w:t>las</w:t>
      </w:r>
      <w:r>
        <w:rPr>
          <w:spacing w:val="-12"/>
        </w:rPr>
        <w:t> </w:t>
      </w:r>
      <w:r>
        <w:rPr/>
        <w:t>obras</w:t>
      </w:r>
      <w:r>
        <w:rPr>
          <w:spacing w:val="-12"/>
        </w:rPr>
        <w:t> </w:t>
      </w:r>
      <w:r>
        <w:rPr/>
        <w:t>a</w:t>
      </w:r>
      <w:r>
        <w:rPr>
          <w:spacing w:val="-12"/>
        </w:rPr>
        <w:t> </w:t>
      </w:r>
      <w:r>
        <w:rPr/>
        <w:t>realizar,</w:t>
      </w:r>
      <w:r>
        <w:rPr>
          <w:spacing w:val="-12"/>
        </w:rPr>
        <w:t> </w:t>
      </w:r>
      <w:r>
        <w:rPr/>
        <w:t>en</w:t>
      </w:r>
      <w:r>
        <w:rPr>
          <w:spacing w:val="-12"/>
        </w:rPr>
        <w:t> </w:t>
      </w:r>
      <w:r>
        <w:rPr/>
        <w:t>el</w:t>
      </w:r>
      <w:r>
        <w:rPr>
          <w:spacing w:val="-12"/>
        </w:rPr>
        <w:t> </w:t>
      </w:r>
      <w:r>
        <w:rPr/>
        <w:t>año</w:t>
      </w:r>
      <w:r>
        <w:rPr>
          <w:spacing w:val="-12"/>
        </w:rPr>
        <w:t> </w:t>
      </w:r>
      <w:r>
        <w:rPr/>
        <w:t>2006</w:t>
      </w:r>
      <w:r>
        <w:rPr>
          <w:spacing w:val="-12"/>
        </w:rPr>
        <w:t> </w:t>
      </w:r>
      <w:r>
        <w:rPr/>
        <w:t>se</w:t>
      </w:r>
      <w:r>
        <w:rPr>
          <w:spacing w:val="-12"/>
        </w:rPr>
        <w:t> </w:t>
      </w:r>
      <w:r>
        <w:rPr/>
        <w:t>acordó la celebración de reuniones los días martes de cada semana a las 17:00 horas en una delegación de la secretaría general del gobierno mexiquense, ubicada en el municipio de Tlalnepantla. De la reunión semanal se derivaban mesas temáticas o reuniones especiales para tratar asuntos</w:t>
      </w:r>
      <w:r>
        <w:rPr>
          <w:spacing w:val="-12"/>
        </w:rPr>
        <w:t> </w:t>
      </w:r>
      <w:r>
        <w:rPr/>
        <w:t>específicos.</w:t>
      </w:r>
    </w:p>
    <w:p>
      <w:pPr>
        <w:pStyle w:val="BodyText"/>
        <w:spacing w:before="7"/>
        <w:rPr>
          <w:sz w:val="22"/>
        </w:rPr>
      </w:pPr>
    </w:p>
    <w:p>
      <w:pPr>
        <w:pStyle w:val="BodyText"/>
        <w:spacing w:line="260" w:lineRule="exact"/>
        <w:ind w:left="117" w:right="107"/>
        <w:jc w:val="both"/>
      </w:pPr>
      <w:r>
        <w:rPr/>
        <w:t>El 7 de mayo del 2008 fue puesto en servicio el tramo Buenavista-Lechería, mientras que el tramo Tultitlán-Cuautitlán fue inaugurado hasta el 5 de  enero del 2009. Fue criticable el hecho de que al iniciar su funcionamiento existían muchas obras inconclusas como los centros comerciales adjuntos a las estaciones, los puentes peatonales de acceso, los cruces peatonales so-  bre las vías, y las bahías para intercambio de medios de transporte. Más    allá de los pendientes en infraestructura física, el gobierno del Estado de México dejó pendiente la reubicación de las rutas existentes de transporte para concretar el ideal de que éstas fueran reubicadas como alimentadoras  en los paraderos de las nuevas estaciones del tren suburbano. Por lo anterior, el actual funcionamiento en paralelo del suburbano y las tradicionales rutas que confluyen a las estaciones del metro </w:t>
      </w:r>
      <w:r>
        <w:rPr>
          <w:i/>
        </w:rPr>
        <w:t>Politécnico, El Rosario </w:t>
      </w:r>
      <w:r>
        <w:rPr/>
        <w:t>y </w:t>
      </w:r>
      <w:r>
        <w:rPr>
          <w:i/>
        </w:rPr>
        <w:t>Cuatro </w:t>
      </w:r>
      <w:r>
        <w:rPr>
          <w:i/>
        </w:rPr>
        <w:t>Caminos</w:t>
      </w:r>
      <w:r>
        <w:rPr/>
        <w:t>; duplica irracionalmente los servicios y genera competencia por </w:t>
      </w:r>
      <w:r>
        <w:rPr>
          <w:spacing w:val="46"/>
        </w:rPr>
        <w:t> </w:t>
      </w:r>
      <w:r>
        <w:rPr/>
        <w:t>el</w:t>
      </w:r>
    </w:p>
    <w:p>
      <w:pPr>
        <w:spacing w:after="0" w:line="260" w:lineRule="exact"/>
        <w:jc w:val="both"/>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4"/>
        <w:jc w:val="both"/>
      </w:pPr>
      <w:r>
        <w:rPr/>
        <w:t>pasaje. Ello explica que algunas estaciones del sistema tren suburbano, como Tultitlán, se caractericen por el fracaso comercial.</w:t>
      </w:r>
    </w:p>
    <w:p>
      <w:pPr>
        <w:pStyle w:val="BodyText"/>
        <w:spacing w:before="4"/>
        <w:rPr>
          <w:sz w:val="22"/>
        </w:rPr>
      </w:pPr>
    </w:p>
    <w:p>
      <w:pPr>
        <w:spacing w:line="235" w:lineRule="auto" w:before="0"/>
        <w:ind w:left="110" w:right="114" w:firstLine="0"/>
        <w:jc w:val="both"/>
        <w:rPr>
          <w:sz w:val="23"/>
        </w:rPr>
      </w:pPr>
      <w:r>
        <w:rPr>
          <w:sz w:val="23"/>
        </w:rPr>
        <w:t>Durante el desarrollo inicial de la presente investigación, la intención de proyectar un tren suburbano México-Pachuca enfrentaba un sinnúmero de decisiones a resolver. La anuencia y coordinación intergubernamental bajo convenio entre el gobierno federal y los tres gobernadores potencialmente involucrados no existía, algunos funcionarios estatales expresan: </w:t>
      </w:r>
      <w:r>
        <w:rPr>
          <w:i/>
          <w:sz w:val="23"/>
        </w:rPr>
        <w:t>no es aún </w:t>
      </w:r>
      <w:r>
        <w:rPr>
          <w:i/>
          <w:sz w:val="23"/>
        </w:rPr>
        <w:t>tema metropolitano, sólo  una  empresa  constructora  hidalguense  vendió la idea</w:t>
      </w:r>
      <w:r>
        <w:rPr>
          <w:position w:val="8"/>
          <w:sz w:val="13"/>
        </w:rPr>
        <w:t>148</w:t>
      </w:r>
      <w:r>
        <w:rPr>
          <w:sz w:val="23"/>
        </w:rPr>
        <w:t>. A su vez, la Secretaría de Comunicaciones y Transportes, como dependencia normativa federal, </w:t>
      </w:r>
      <w:r>
        <w:rPr>
          <w:i/>
          <w:sz w:val="23"/>
        </w:rPr>
        <w:t>no </w:t>
      </w:r>
      <w:r>
        <w:rPr>
          <w:sz w:val="23"/>
        </w:rPr>
        <w:t>(contaba) </w:t>
      </w:r>
      <w:r>
        <w:rPr>
          <w:i/>
          <w:sz w:val="23"/>
        </w:rPr>
        <w:t>con información relacionada </w:t>
      </w:r>
      <w:r>
        <w:rPr>
          <w:i/>
          <w:sz w:val="23"/>
        </w:rPr>
        <w:t>con el proyecto de suburbano México</w:t>
      </w:r>
      <w:r>
        <w:rPr>
          <w:i/>
          <w:spacing w:val="-13"/>
          <w:sz w:val="23"/>
        </w:rPr>
        <w:t> </w:t>
      </w:r>
      <w:r>
        <w:rPr>
          <w:i/>
          <w:sz w:val="23"/>
        </w:rPr>
        <w:t>Pachuca</w:t>
      </w:r>
      <w:r>
        <w:rPr>
          <w:position w:val="8"/>
          <w:sz w:val="13"/>
        </w:rPr>
        <w:t>149</w:t>
      </w:r>
      <w:r>
        <w:rPr>
          <w:sz w:val="23"/>
        </w:rPr>
        <w:t>.</w:t>
      </w:r>
    </w:p>
    <w:p>
      <w:pPr>
        <w:pStyle w:val="BodyText"/>
        <w:spacing w:before="10"/>
        <w:rPr>
          <w:sz w:val="22"/>
        </w:rPr>
      </w:pPr>
    </w:p>
    <w:p>
      <w:pPr>
        <w:pStyle w:val="BodyText"/>
        <w:spacing w:line="260" w:lineRule="exact"/>
        <w:ind w:left="110" w:right="114"/>
        <w:jc w:val="both"/>
      </w:pPr>
      <w:r>
        <w:rPr/>
        <w:t>El gobierno hidalguense no había revelado a la opinión pública las carac- terísticas</w:t>
      </w:r>
      <w:r>
        <w:rPr>
          <w:spacing w:val="-29"/>
        </w:rPr>
        <w:t> </w:t>
      </w:r>
      <w:r>
        <w:rPr/>
        <w:t>de</w:t>
      </w:r>
      <w:r>
        <w:rPr>
          <w:spacing w:val="-28"/>
        </w:rPr>
        <w:t> </w:t>
      </w:r>
      <w:r>
        <w:rPr/>
        <w:t>diseño,</w:t>
      </w:r>
      <w:r>
        <w:rPr>
          <w:spacing w:val="-28"/>
        </w:rPr>
        <w:t> </w:t>
      </w:r>
      <w:r>
        <w:rPr/>
        <w:t>sin</w:t>
      </w:r>
      <w:r>
        <w:rPr>
          <w:spacing w:val="-28"/>
        </w:rPr>
        <w:t> </w:t>
      </w:r>
      <w:r>
        <w:rPr/>
        <w:t>embargo,</w:t>
      </w:r>
      <w:r>
        <w:rPr>
          <w:spacing w:val="-28"/>
        </w:rPr>
        <w:t> </w:t>
      </w:r>
      <w:r>
        <w:rPr/>
        <w:t>la</w:t>
      </w:r>
      <w:r>
        <w:rPr>
          <w:spacing w:val="-28"/>
        </w:rPr>
        <w:t> </w:t>
      </w:r>
      <w:r>
        <w:rPr/>
        <w:t>comparativa</w:t>
      </w:r>
      <w:r>
        <w:rPr>
          <w:spacing w:val="-29"/>
        </w:rPr>
        <w:t> </w:t>
      </w:r>
      <w:r>
        <w:rPr/>
        <w:t>entre</w:t>
      </w:r>
      <w:r>
        <w:rPr>
          <w:spacing w:val="-29"/>
        </w:rPr>
        <w:t> </w:t>
      </w:r>
      <w:r>
        <w:rPr/>
        <w:t>los</w:t>
      </w:r>
      <w:r>
        <w:rPr>
          <w:spacing w:val="-28"/>
        </w:rPr>
        <w:t> </w:t>
      </w:r>
      <w:r>
        <w:rPr/>
        <w:t>veintisiete</w:t>
      </w:r>
      <w:r>
        <w:rPr>
          <w:spacing w:val="-28"/>
        </w:rPr>
        <w:t> </w:t>
      </w:r>
      <w:r>
        <w:rPr/>
        <w:t>kilómetros de desarrollo sobre estructura urbana consolidada del tramo Buenavista- Cuautitlán, con respecto a los noventa y cinco kilómetros de desarrollo sobre estructura urbana intermitente del tramo México-Pachuca, de inicio infundía ciertas reservas. Por ello, se consideraba que debía estudiarse a detalle la demanda potencial, la posibilidad de confinamiento de vías, la ubicación de las terminales, las posibles conexiones, el intervalo de terminal a terminal     y la frecuencia entre trenes; además de establecerse escenarios factibles de reordenamiento para las actuales rutas del transporte</w:t>
      </w:r>
      <w:r>
        <w:rPr>
          <w:spacing w:val="-3"/>
        </w:rPr>
        <w:t> </w:t>
      </w:r>
      <w:r>
        <w:rPr/>
        <w:t>tradicional.</w:t>
      </w:r>
    </w:p>
    <w:p>
      <w:pPr>
        <w:pStyle w:val="BodyText"/>
        <w:spacing w:before="7"/>
        <w:rPr>
          <w:sz w:val="22"/>
        </w:rPr>
      </w:pPr>
    </w:p>
    <w:p>
      <w:pPr>
        <w:pStyle w:val="BodyText"/>
        <w:spacing w:line="260" w:lineRule="exact"/>
        <w:ind w:left="110" w:right="113"/>
        <w:jc w:val="both"/>
      </w:pPr>
      <w:r>
        <w:rPr/>
        <w:t>En cuanto a la posible distribución de obra civil entre el futuro concesionario y los gobiernos estatales, en el caso de que el proyecto se declarara viable, el primero de ellos deberá necesariamente construir una segunda vía paralela    a la única existente en la actualidad, lo cual de inicio puede resultar poco atractivo porque esto acrecentaría el ciclo de recuperación de la inversión. Los gobiernos estatales, por su parte, deberán construir un mínimo de siete puentes en los puntos donde la vía confinada cruza con carreteras y caminos fuera de las áreas</w:t>
      </w:r>
      <w:r>
        <w:rPr>
          <w:spacing w:val="-2"/>
        </w:rPr>
        <w:t> </w:t>
      </w:r>
      <w:r>
        <w:rPr/>
        <w:t>urbanas.</w:t>
      </w:r>
    </w:p>
    <w:p>
      <w:pPr>
        <w:pStyle w:val="BodyText"/>
        <w:rPr>
          <w:sz w:val="20"/>
        </w:rPr>
      </w:pPr>
    </w:p>
    <w:p>
      <w:pPr>
        <w:pStyle w:val="BodyText"/>
        <w:spacing w:before="1"/>
        <w:rPr>
          <w:sz w:val="27"/>
        </w:rPr>
      </w:pPr>
      <w:r>
        <w:rPr/>
        <w:pict>
          <v:line style="position:absolute;mso-position-horizontal-relative:page;mso-position-vertical-relative:paragraph;z-index:2728;mso-wrap-distance-left:0;mso-wrap-distance-right:0" from="42.519699pt,18.040581pt" to="114.519699pt,18.040581pt" stroked="true" strokeweight="1pt" strokecolor="#000000">
            <w10:wrap type="topAndBottom"/>
          </v:line>
        </w:pict>
      </w:r>
    </w:p>
    <w:p>
      <w:pPr>
        <w:spacing w:line="249" w:lineRule="auto" w:before="28"/>
        <w:ind w:left="393" w:right="116" w:hanging="284"/>
        <w:jc w:val="both"/>
        <w:rPr>
          <w:sz w:val="18"/>
        </w:rPr>
      </w:pPr>
      <w:r>
        <w:rPr>
          <w:position w:val="7"/>
          <w:sz w:val="11"/>
        </w:rPr>
        <w:t>148 </w:t>
      </w:r>
      <w:r>
        <w:rPr>
          <w:sz w:val="18"/>
        </w:rPr>
        <w:t>Información proporcionada para esta investigación en entrevista con un funcionario estatal involucrado</w:t>
      </w:r>
      <w:r>
        <w:rPr>
          <w:spacing w:val="-6"/>
          <w:sz w:val="18"/>
        </w:rPr>
        <w:t> </w:t>
      </w:r>
      <w:r>
        <w:rPr>
          <w:sz w:val="18"/>
        </w:rPr>
        <w:t>en</w:t>
      </w:r>
      <w:r>
        <w:rPr>
          <w:spacing w:val="-5"/>
          <w:sz w:val="18"/>
        </w:rPr>
        <w:t> </w:t>
      </w:r>
      <w:r>
        <w:rPr>
          <w:sz w:val="18"/>
        </w:rPr>
        <w:t>la</w:t>
      </w:r>
      <w:r>
        <w:rPr>
          <w:spacing w:val="-5"/>
          <w:sz w:val="18"/>
        </w:rPr>
        <w:t> </w:t>
      </w:r>
      <w:r>
        <w:rPr>
          <w:sz w:val="18"/>
        </w:rPr>
        <w:t>intención</w:t>
      </w:r>
      <w:r>
        <w:rPr>
          <w:spacing w:val="-6"/>
          <w:sz w:val="18"/>
        </w:rPr>
        <w:t> </w:t>
      </w:r>
      <w:r>
        <w:rPr>
          <w:sz w:val="18"/>
        </w:rPr>
        <w:t>de</w:t>
      </w:r>
      <w:r>
        <w:rPr>
          <w:spacing w:val="-5"/>
          <w:sz w:val="18"/>
        </w:rPr>
        <w:t> </w:t>
      </w:r>
      <w:r>
        <w:rPr>
          <w:sz w:val="18"/>
        </w:rPr>
        <w:t>proyectar</w:t>
      </w:r>
      <w:r>
        <w:rPr>
          <w:spacing w:val="-5"/>
          <w:sz w:val="18"/>
        </w:rPr>
        <w:t> </w:t>
      </w:r>
      <w:r>
        <w:rPr>
          <w:sz w:val="18"/>
        </w:rPr>
        <w:t>un</w:t>
      </w:r>
      <w:r>
        <w:rPr>
          <w:spacing w:val="-5"/>
          <w:sz w:val="18"/>
        </w:rPr>
        <w:t> </w:t>
      </w:r>
      <w:r>
        <w:rPr>
          <w:sz w:val="18"/>
        </w:rPr>
        <w:t>tren</w:t>
      </w:r>
      <w:r>
        <w:rPr>
          <w:spacing w:val="-5"/>
          <w:sz w:val="18"/>
        </w:rPr>
        <w:t> </w:t>
      </w:r>
      <w:r>
        <w:rPr>
          <w:sz w:val="18"/>
        </w:rPr>
        <w:t>suburbano</w:t>
      </w:r>
      <w:r>
        <w:rPr>
          <w:spacing w:val="-5"/>
          <w:sz w:val="18"/>
        </w:rPr>
        <w:t> </w:t>
      </w:r>
      <w:r>
        <w:rPr>
          <w:sz w:val="18"/>
        </w:rPr>
        <w:t>México-Pachuca,</w:t>
      </w:r>
      <w:r>
        <w:rPr>
          <w:spacing w:val="-4"/>
          <w:sz w:val="18"/>
        </w:rPr>
        <w:t> </w:t>
      </w:r>
      <w:r>
        <w:rPr>
          <w:sz w:val="18"/>
        </w:rPr>
        <w:t>13</w:t>
      </w:r>
      <w:r>
        <w:rPr>
          <w:spacing w:val="-5"/>
          <w:sz w:val="18"/>
        </w:rPr>
        <w:t> </w:t>
      </w:r>
      <w:r>
        <w:rPr>
          <w:sz w:val="18"/>
        </w:rPr>
        <w:t>de</w:t>
      </w:r>
      <w:r>
        <w:rPr>
          <w:spacing w:val="-5"/>
          <w:sz w:val="18"/>
        </w:rPr>
        <w:t> </w:t>
      </w:r>
      <w:r>
        <w:rPr>
          <w:sz w:val="18"/>
        </w:rPr>
        <w:t>octubre</w:t>
      </w:r>
      <w:r>
        <w:rPr>
          <w:spacing w:val="-5"/>
          <w:sz w:val="18"/>
        </w:rPr>
        <w:t> </w:t>
      </w:r>
      <w:r>
        <w:rPr>
          <w:sz w:val="18"/>
        </w:rPr>
        <w:t>del 2010.</w:t>
      </w:r>
    </w:p>
    <w:p>
      <w:pPr>
        <w:spacing w:line="249" w:lineRule="auto" w:before="20"/>
        <w:ind w:left="393" w:right="114" w:hanging="284"/>
        <w:jc w:val="both"/>
        <w:rPr>
          <w:sz w:val="18"/>
        </w:rPr>
      </w:pPr>
      <w:r>
        <w:rPr>
          <w:position w:val="7"/>
          <w:sz w:val="11"/>
        </w:rPr>
        <w:t>149  </w:t>
      </w:r>
      <w:r>
        <w:rPr>
          <w:sz w:val="18"/>
        </w:rPr>
        <w:t>Información  proporcionada  por  la  unidad  de  enlace  de  la  secretaría  de  comunicaciones  y transportes, según solicitud con el número de expediente 0000900118111 del sistema INFOMEX gobierno federal, 19 de abril del</w:t>
      </w:r>
      <w:r>
        <w:rPr>
          <w:spacing w:val="-7"/>
          <w:sz w:val="18"/>
        </w:rPr>
        <w:t> </w:t>
      </w:r>
      <w:r>
        <w:rPr>
          <w:sz w:val="18"/>
        </w:rPr>
        <w:t>2011.</w:t>
      </w:r>
    </w:p>
    <w:p>
      <w:pPr>
        <w:spacing w:after="0" w:line="249" w:lineRule="auto"/>
        <w:jc w:val="both"/>
        <w:rPr>
          <w:sz w:val="18"/>
        </w:rPr>
        <w:sectPr>
          <w:footerReference w:type="even" r:id="rId176"/>
          <w:footerReference w:type="default" r:id="rId177"/>
          <w:pgSz w:w="9360" w:h="13040"/>
          <w:pgMar w:footer="515" w:header="547" w:top="720" w:bottom="700" w:left="740" w:right="1300"/>
          <w:pgNumType w:start="102"/>
        </w:sectPr>
      </w:pPr>
    </w:p>
    <w:p>
      <w:pPr>
        <w:pStyle w:val="BodyText"/>
        <w:spacing w:before="11"/>
        <w:rPr>
          <w:sz w:val="29"/>
        </w:rPr>
      </w:pPr>
    </w:p>
    <w:p>
      <w:pPr>
        <w:spacing w:line="235" w:lineRule="auto" w:before="75"/>
        <w:ind w:left="117" w:right="107" w:firstLine="0"/>
        <w:jc w:val="both"/>
        <w:rPr>
          <w:sz w:val="23"/>
        </w:rPr>
      </w:pPr>
      <w:r>
        <w:rPr>
          <w:sz w:val="23"/>
        </w:rPr>
        <w:t>El</w:t>
      </w:r>
      <w:r>
        <w:rPr>
          <w:spacing w:val="-14"/>
          <w:sz w:val="23"/>
        </w:rPr>
        <w:t> </w:t>
      </w:r>
      <w:r>
        <w:rPr>
          <w:sz w:val="23"/>
        </w:rPr>
        <w:t>gobierno</w:t>
      </w:r>
      <w:r>
        <w:rPr>
          <w:spacing w:val="-14"/>
          <w:sz w:val="23"/>
        </w:rPr>
        <w:t> </w:t>
      </w:r>
      <w:r>
        <w:rPr>
          <w:sz w:val="23"/>
        </w:rPr>
        <w:t>del</w:t>
      </w:r>
      <w:r>
        <w:rPr>
          <w:spacing w:val="-14"/>
          <w:sz w:val="23"/>
        </w:rPr>
        <w:t> </w:t>
      </w:r>
      <w:r>
        <w:rPr>
          <w:sz w:val="23"/>
        </w:rPr>
        <w:t>Estado</w:t>
      </w:r>
      <w:r>
        <w:rPr>
          <w:spacing w:val="-14"/>
          <w:sz w:val="23"/>
        </w:rPr>
        <w:t> </w:t>
      </w:r>
      <w:r>
        <w:rPr>
          <w:sz w:val="23"/>
        </w:rPr>
        <w:t>de</w:t>
      </w:r>
      <w:r>
        <w:rPr>
          <w:spacing w:val="-14"/>
          <w:sz w:val="23"/>
        </w:rPr>
        <w:t> </w:t>
      </w:r>
      <w:r>
        <w:rPr>
          <w:sz w:val="23"/>
        </w:rPr>
        <w:t>Hidalgo</w:t>
      </w:r>
      <w:r>
        <w:rPr>
          <w:spacing w:val="-13"/>
          <w:sz w:val="23"/>
        </w:rPr>
        <w:t> </w:t>
      </w:r>
      <w:r>
        <w:rPr>
          <w:sz w:val="23"/>
        </w:rPr>
        <w:t>particularmente</w:t>
      </w:r>
      <w:r>
        <w:rPr>
          <w:spacing w:val="-14"/>
          <w:sz w:val="23"/>
        </w:rPr>
        <w:t> </w:t>
      </w:r>
      <w:r>
        <w:rPr>
          <w:sz w:val="23"/>
        </w:rPr>
        <w:t>debe</w:t>
      </w:r>
      <w:r>
        <w:rPr>
          <w:spacing w:val="-14"/>
          <w:sz w:val="23"/>
        </w:rPr>
        <w:t> </w:t>
      </w:r>
      <w:r>
        <w:rPr>
          <w:sz w:val="23"/>
        </w:rPr>
        <w:t>destinar</w:t>
      </w:r>
      <w:r>
        <w:rPr>
          <w:spacing w:val="-14"/>
          <w:sz w:val="23"/>
        </w:rPr>
        <w:t> </w:t>
      </w:r>
      <w:r>
        <w:rPr>
          <w:sz w:val="23"/>
        </w:rPr>
        <w:t>un</w:t>
      </w:r>
      <w:r>
        <w:rPr>
          <w:spacing w:val="-14"/>
          <w:sz w:val="23"/>
        </w:rPr>
        <w:t> </w:t>
      </w:r>
      <w:r>
        <w:rPr>
          <w:sz w:val="23"/>
        </w:rPr>
        <w:t>terreno</w:t>
      </w:r>
      <w:r>
        <w:rPr>
          <w:spacing w:val="-14"/>
          <w:sz w:val="23"/>
        </w:rPr>
        <w:t> </w:t>
      </w:r>
      <w:r>
        <w:rPr>
          <w:sz w:val="23"/>
        </w:rPr>
        <w:t>en la periferia del área urbana de Pachuca para construir la terminal ferroviaria de</w:t>
      </w:r>
      <w:r>
        <w:rPr>
          <w:spacing w:val="-11"/>
          <w:sz w:val="23"/>
        </w:rPr>
        <w:t> </w:t>
      </w:r>
      <w:r>
        <w:rPr>
          <w:sz w:val="23"/>
        </w:rPr>
        <w:t>esa</w:t>
      </w:r>
      <w:r>
        <w:rPr>
          <w:spacing w:val="-11"/>
          <w:sz w:val="23"/>
        </w:rPr>
        <w:t> </w:t>
      </w:r>
      <w:r>
        <w:rPr>
          <w:sz w:val="23"/>
        </w:rPr>
        <w:t>ciudad,</w:t>
      </w:r>
      <w:r>
        <w:rPr>
          <w:spacing w:val="-11"/>
          <w:sz w:val="23"/>
        </w:rPr>
        <w:t> </w:t>
      </w:r>
      <w:r>
        <w:rPr>
          <w:sz w:val="23"/>
        </w:rPr>
        <w:t>ya</w:t>
      </w:r>
      <w:r>
        <w:rPr>
          <w:spacing w:val="-11"/>
          <w:sz w:val="23"/>
        </w:rPr>
        <w:t> </w:t>
      </w:r>
      <w:r>
        <w:rPr>
          <w:sz w:val="23"/>
        </w:rPr>
        <w:t>que</w:t>
      </w:r>
      <w:r>
        <w:rPr>
          <w:spacing w:val="-11"/>
          <w:sz w:val="23"/>
        </w:rPr>
        <w:t> </w:t>
      </w:r>
      <w:r>
        <w:rPr>
          <w:sz w:val="23"/>
        </w:rPr>
        <w:t>la</w:t>
      </w:r>
      <w:r>
        <w:rPr>
          <w:spacing w:val="-11"/>
          <w:sz w:val="23"/>
        </w:rPr>
        <w:t> </w:t>
      </w:r>
      <w:r>
        <w:rPr>
          <w:sz w:val="23"/>
        </w:rPr>
        <w:t>antigua</w:t>
      </w:r>
      <w:r>
        <w:rPr>
          <w:spacing w:val="-11"/>
          <w:sz w:val="23"/>
        </w:rPr>
        <w:t> </w:t>
      </w:r>
      <w:r>
        <w:rPr>
          <w:sz w:val="23"/>
        </w:rPr>
        <w:t>estación</w:t>
      </w:r>
      <w:r>
        <w:rPr>
          <w:spacing w:val="-11"/>
          <w:sz w:val="23"/>
        </w:rPr>
        <w:t> </w:t>
      </w:r>
      <w:r>
        <w:rPr>
          <w:sz w:val="23"/>
        </w:rPr>
        <w:t>se</w:t>
      </w:r>
      <w:r>
        <w:rPr>
          <w:spacing w:val="-10"/>
          <w:sz w:val="23"/>
        </w:rPr>
        <w:t> </w:t>
      </w:r>
      <w:r>
        <w:rPr>
          <w:sz w:val="23"/>
        </w:rPr>
        <w:t>convirtió</w:t>
      </w:r>
      <w:r>
        <w:rPr>
          <w:spacing w:val="-11"/>
          <w:sz w:val="23"/>
        </w:rPr>
        <w:t> </w:t>
      </w:r>
      <w:r>
        <w:rPr>
          <w:sz w:val="23"/>
        </w:rPr>
        <w:t>en</w:t>
      </w:r>
      <w:r>
        <w:rPr>
          <w:spacing w:val="-11"/>
          <w:sz w:val="23"/>
        </w:rPr>
        <w:t> </w:t>
      </w:r>
      <w:r>
        <w:rPr>
          <w:sz w:val="23"/>
        </w:rPr>
        <w:t>un</w:t>
      </w:r>
      <w:r>
        <w:rPr>
          <w:spacing w:val="-10"/>
          <w:sz w:val="23"/>
        </w:rPr>
        <w:t> </w:t>
      </w:r>
      <w:r>
        <w:rPr>
          <w:sz w:val="23"/>
        </w:rPr>
        <w:t>museo</w:t>
      </w:r>
      <w:r>
        <w:rPr>
          <w:spacing w:val="-11"/>
          <w:sz w:val="23"/>
        </w:rPr>
        <w:t> </w:t>
      </w:r>
      <w:r>
        <w:rPr>
          <w:sz w:val="23"/>
        </w:rPr>
        <w:t>patrimonial del gremio ferrocarrilero. De conservar la terminal hacia el centro, se necesitaría construir seis puentes más dentro del área urbana de Pachuca  para que el nuevo tren suburbano accediera hasta ese punto, específicamente sobre</w:t>
      </w:r>
      <w:r>
        <w:rPr>
          <w:spacing w:val="-5"/>
          <w:sz w:val="23"/>
        </w:rPr>
        <w:t> </w:t>
      </w:r>
      <w:r>
        <w:rPr>
          <w:sz w:val="23"/>
        </w:rPr>
        <w:t>las</w:t>
      </w:r>
      <w:r>
        <w:rPr>
          <w:spacing w:val="-5"/>
          <w:sz w:val="23"/>
        </w:rPr>
        <w:t> </w:t>
      </w:r>
      <w:r>
        <w:rPr>
          <w:sz w:val="23"/>
        </w:rPr>
        <w:t>vialidades</w:t>
      </w:r>
      <w:r>
        <w:rPr>
          <w:spacing w:val="-5"/>
          <w:sz w:val="23"/>
        </w:rPr>
        <w:t> </w:t>
      </w:r>
      <w:r>
        <w:rPr>
          <w:sz w:val="23"/>
        </w:rPr>
        <w:t>Maestranza</w:t>
      </w:r>
      <w:r>
        <w:rPr>
          <w:spacing w:val="-4"/>
          <w:sz w:val="23"/>
        </w:rPr>
        <w:t> </w:t>
      </w:r>
      <w:r>
        <w:rPr>
          <w:sz w:val="23"/>
        </w:rPr>
        <w:t>(acceso</w:t>
      </w:r>
      <w:r>
        <w:rPr>
          <w:spacing w:val="-5"/>
          <w:sz w:val="23"/>
        </w:rPr>
        <w:t> </w:t>
      </w:r>
      <w:r>
        <w:rPr>
          <w:sz w:val="23"/>
        </w:rPr>
        <w:t>a</w:t>
      </w:r>
      <w:r>
        <w:rPr>
          <w:spacing w:val="-5"/>
          <w:sz w:val="23"/>
        </w:rPr>
        <w:t> </w:t>
      </w:r>
      <w:r>
        <w:rPr>
          <w:sz w:val="23"/>
        </w:rPr>
        <w:t>la</w:t>
      </w:r>
      <w:r>
        <w:rPr>
          <w:spacing w:val="-5"/>
          <w:sz w:val="23"/>
        </w:rPr>
        <w:t> </w:t>
      </w:r>
      <w:r>
        <w:rPr>
          <w:sz w:val="23"/>
        </w:rPr>
        <w:t>estación),</w:t>
      </w:r>
      <w:r>
        <w:rPr>
          <w:spacing w:val="-5"/>
          <w:sz w:val="23"/>
        </w:rPr>
        <w:t> </w:t>
      </w:r>
      <w:r>
        <w:rPr>
          <w:sz w:val="23"/>
        </w:rPr>
        <w:t>Constituyentes,</w:t>
      </w:r>
      <w:r>
        <w:rPr>
          <w:spacing w:val="-5"/>
          <w:sz w:val="23"/>
        </w:rPr>
        <w:t> </w:t>
      </w:r>
      <w:r>
        <w:rPr>
          <w:sz w:val="23"/>
        </w:rPr>
        <w:t>Felipe Ángeles, Rojo Gómez, Colosio y Las </w:t>
      </w:r>
      <w:r>
        <w:rPr>
          <w:spacing w:val="-3"/>
          <w:sz w:val="23"/>
        </w:rPr>
        <w:t>Torres. </w:t>
      </w:r>
      <w:r>
        <w:rPr>
          <w:sz w:val="23"/>
        </w:rPr>
        <w:t>Con todo esto, existía entre la clase gobernante estatal otras proyecciones más sensatas que la del mismo secretario de planeación: </w:t>
      </w:r>
      <w:r>
        <w:rPr>
          <w:i/>
          <w:sz w:val="23"/>
        </w:rPr>
        <w:t>en el actual sexenio el </w:t>
      </w:r>
      <w:r>
        <w:rPr>
          <w:i/>
          <w:spacing w:val="-3"/>
          <w:sz w:val="23"/>
        </w:rPr>
        <w:t>tren </w:t>
      </w:r>
      <w:r>
        <w:rPr>
          <w:i/>
          <w:sz w:val="23"/>
        </w:rPr>
        <w:t>suburbano sólo llegará </w:t>
      </w:r>
      <w:r>
        <w:rPr>
          <w:i/>
          <w:sz w:val="23"/>
        </w:rPr>
        <w:t>a </w:t>
      </w:r>
      <w:r>
        <w:rPr>
          <w:i/>
          <w:spacing w:val="-4"/>
          <w:sz w:val="23"/>
        </w:rPr>
        <w:t>Tecámac </w:t>
      </w:r>
      <w:r>
        <w:rPr>
          <w:i/>
          <w:sz w:val="23"/>
        </w:rPr>
        <w:t>Estado de México, la expansión del servicio hacia territorio hidalguense</w:t>
      </w:r>
      <w:r>
        <w:rPr>
          <w:i/>
          <w:spacing w:val="-16"/>
          <w:sz w:val="23"/>
        </w:rPr>
        <w:t> </w:t>
      </w:r>
      <w:r>
        <w:rPr>
          <w:i/>
          <w:sz w:val="23"/>
        </w:rPr>
        <w:t>dependerá</w:t>
      </w:r>
      <w:r>
        <w:rPr>
          <w:i/>
          <w:spacing w:val="-16"/>
          <w:sz w:val="23"/>
        </w:rPr>
        <w:t> </w:t>
      </w:r>
      <w:r>
        <w:rPr>
          <w:i/>
          <w:sz w:val="23"/>
        </w:rPr>
        <w:t>del</w:t>
      </w:r>
      <w:r>
        <w:rPr>
          <w:i/>
          <w:spacing w:val="-16"/>
          <w:sz w:val="23"/>
        </w:rPr>
        <w:t> </w:t>
      </w:r>
      <w:r>
        <w:rPr>
          <w:i/>
          <w:sz w:val="23"/>
        </w:rPr>
        <w:t>desarrollo</w:t>
      </w:r>
      <w:r>
        <w:rPr>
          <w:i/>
          <w:spacing w:val="-16"/>
          <w:sz w:val="23"/>
        </w:rPr>
        <w:t> </w:t>
      </w:r>
      <w:r>
        <w:rPr>
          <w:i/>
          <w:sz w:val="23"/>
        </w:rPr>
        <w:t>del</w:t>
      </w:r>
      <w:r>
        <w:rPr>
          <w:i/>
          <w:spacing w:val="-16"/>
          <w:sz w:val="23"/>
        </w:rPr>
        <w:t> </w:t>
      </w:r>
      <w:r>
        <w:rPr>
          <w:i/>
          <w:sz w:val="23"/>
        </w:rPr>
        <w:t>proyecto</w:t>
      </w:r>
      <w:r>
        <w:rPr>
          <w:i/>
          <w:spacing w:val="-16"/>
          <w:sz w:val="23"/>
        </w:rPr>
        <w:t> </w:t>
      </w:r>
      <w:r>
        <w:rPr>
          <w:i/>
          <w:spacing w:val="-3"/>
          <w:sz w:val="23"/>
        </w:rPr>
        <w:t>PLATAH</w:t>
      </w:r>
      <w:r>
        <w:rPr>
          <w:spacing w:val="-3"/>
          <w:position w:val="8"/>
          <w:sz w:val="13"/>
        </w:rPr>
        <w:t>150</w:t>
      </w:r>
      <w:r>
        <w:rPr>
          <w:spacing w:val="-3"/>
          <w:sz w:val="23"/>
        </w:rPr>
        <w:t>.</w:t>
      </w:r>
      <w:r>
        <w:rPr>
          <w:spacing w:val="-16"/>
          <w:sz w:val="23"/>
        </w:rPr>
        <w:t> </w:t>
      </w:r>
      <w:r>
        <w:rPr>
          <w:sz w:val="23"/>
        </w:rPr>
        <w:t>Finalmente,</w:t>
      </w:r>
      <w:r>
        <w:rPr>
          <w:spacing w:val="-15"/>
          <w:sz w:val="23"/>
        </w:rPr>
        <w:t> </w:t>
      </w:r>
      <w:r>
        <w:rPr>
          <w:sz w:val="23"/>
        </w:rPr>
        <w:t>el 8</w:t>
      </w:r>
      <w:r>
        <w:rPr>
          <w:spacing w:val="-12"/>
          <w:sz w:val="23"/>
        </w:rPr>
        <w:t> </w:t>
      </w:r>
      <w:r>
        <w:rPr>
          <w:sz w:val="23"/>
        </w:rPr>
        <w:t>de</w:t>
      </w:r>
      <w:r>
        <w:rPr>
          <w:spacing w:val="-12"/>
          <w:sz w:val="23"/>
        </w:rPr>
        <w:t> </w:t>
      </w:r>
      <w:r>
        <w:rPr>
          <w:sz w:val="23"/>
        </w:rPr>
        <w:t>junio</w:t>
      </w:r>
      <w:r>
        <w:rPr>
          <w:spacing w:val="-12"/>
          <w:sz w:val="23"/>
        </w:rPr>
        <w:t> </w:t>
      </w:r>
      <w:r>
        <w:rPr>
          <w:sz w:val="23"/>
        </w:rPr>
        <w:t>de</w:t>
      </w:r>
      <w:r>
        <w:rPr>
          <w:spacing w:val="-12"/>
          <w:sz w:val="23"/>
        </w:rPr>
        <w:t> </w:t>
      </w:r>
      <w:r>
        <w:rPr>
          <w:sz w:val="23"/>
        </w:rPr>
        <w:t>2012</w:t>
      </w:r>
      <w:r>
        <w:rPr>
          <w:spacing w:val="-12"/>
          <w:sz w:val="23"/>
        </w:rPr>
        <w:t> </w:t>
      </w:r>
      <w:r>
        <w:rPr>
          <w:sz w:val="23"/>
        </w:rPr>
        <w:t>los</w:t>
      </w:r>
      <w:r>
        <w:rPr>
          <w:spacing w:val="-12"/>
          <w:sz w:val="23"/>
        </w:rPr>
        <w:t> </w:t>
      </w:r>
      <w:r>
        <w:rPr>
          <w:sz w:val="23"/>
        </w:rPr>
        <w:t>principales</w:t>
      </w:r>
      <w:r>
        <w:rPr>
          <w:spacing w:val="-12"/>
          <w:sz w:val="23"/>
        </w:rPr>
        <w:t> </w:t>
      </w:r>
      <w:r>
        <w:rPr>
          <w:sz w:val="23"/>
        </w:rPr>
        <w:t>diarios</w:t>
      </w:r>
      <w:r>
        <w:rPr>
          <w:spacing w:val="-12"/>
          <w:sz w:val="23"/>
        </w:rPr>
        <w:t> </w:t>
      </w:r>
      <w:r>
        <w:rPr>
          <w:sz w:val="23"/>
        </w:rPr>
        <w:t>que</w:t>
      </w:r>
      <w:r>
        <w:rPr>
          <w:spacing w:val="-12"/>
          <w:sz w:val="23"/>
        </w:rPr>
        <w:t> </w:t>
      </w:r>
      <w:r>
        <w:rPr>
          <w:sz w:val="23"/>
        </w:rPr>
        <w:t>circulan</w:t>
      </w:r>
      <w:r>
        <w:rPr>
          <w:spacing w:val="-12"/>
          <w:sz w:val="23"/>
        </w:rPr>
        <w:t> </w:t>
      </w:r>
      <w:r>
        <w:rPr>
          <w:sz w:val="23"/>
        </w:rPr>
        <w:t>en</w:t>
      </w:r>
      <w:r>
        <w:rPr>
          <w:spacing w:val="-12"/>
          <w:sz w:val="23"/>
        </w:rPr>
        <w:t> </w:t>
      </w:r>
      <w:r>
        <w:rPr>
          <w:sz w:val="23"/>
        </w:rPr>
        <w:t>el</w:t>
      </w:r>
      <w:r>
        <w:rPr>
          <w:spacing w:val="-12"/>
          <w:sz w:val="23"/>
        </w:rPr>
        <w:t> </w:t>
      </w:r>
      <w:r>
        <w:rPr>
          <w:sz w:val="23"/>
        </w:rPr>
        <w:t>Estado</w:t>
      </w:r>
      <w:r>
        <w:rPr>
          <w:spacing w:val="-12"/>
          <w:sz w:val="23"/>
        </w:rPr>
        <w:t> </w:t>
      </w:r>
      <w:r>
        <w:rPr>
          <w:sz w:val="23"/>
        </w:rPr>
        <w:t>de</w:t>
      </w:r>
      <w:r>
        <w:rPr>
          <w:spacing w:val="-12"/>
          <w:sz w:val="23"/>
        </w:rPr>
        <w:t> </w:t>
      </w:r>
      <w:r>
        <w:rPr>
          <w:sz w:val="23"/>
        </w:rPr>
        <w:t>Hidalgo publicaron</w:t>
      </w:r>
      <w:r>
        <w:rPr>
          <w:spacing w:val="-9"/>
          <w:sz w:val="23"/>
        </w:rPr>
        <w:t> </w:t>
      </w:r>
      <w:r>
        <w:rPr>
          <w:sz w:val="23"/>
        </w:rPr>
        <w:t>encabezados</w:t>
      </w:r>
      <w:r>
        <w:rPr>
          <w:spacing w:val="-10"/>
          <w:sz w:val="23"/>
        </w:rPr>
        <w:t> </w:t>
      </w:r>
      <w:r>
        <w:rPr>
          <w:sz w:val="23"/>
        </w:rPr>
        <w:t>similares:</w:t>
      </w:r>
      <w:r>
        <w:rPr>
          <w:spacing w:val="-8"/>
          <w:sz w:val="23"/>
        </w:rPr>
        <w:t> </w:t>
      </w:r>
      <w:r>
        <w:rPr>
          <w:i/>
          <w:sz w:val="23"/>
        </w:rPr>
        <w:t>“descartan</w:t>
      </w:r>
      <w:r>
        <w:rPr>
          <w:i/>
          <w:spacing w:val="-8"/>
          <w:sz w:val="23"/>
        </w:rPr>
        <w:t> </w:t>
      </w:r>
      <w:r>
        <w:rPr>
          <w:i/>
          <w:sz w:val="23"/>
        </w:rPr>
        <w:t>proyecto</w:t>
      </w:r>
      <w:r>
        <w:rPr>
          <w:i/>
          <w:spacing w:val="-9"/>
          <w:sz w:val="23"/>
        </w:rPr>
        <w:t> </w:t>
      </w:r>
      <w:r>
        <w:rPr>
          <w:i/>
          <w:sz w:val="23"/>
        </w:rPr>
        <w:t>de</w:t>
      </w:r>
      <w:r>
        <w:rPr>
          <w:i/>
          <w:spacing w:val="-9"/>
          <w:sz w:val="23"/>
        </w:rPr>
        <w:t> </w:t>
      </w:r>
      <w:r>
        <w:rPr>
          <w:i/>
          <w:spacing w:val="-6"/>
          <w:sz w:val="23"/>
        </w:rPr>
        <w:t>Tren</w:t>
      </w:r>
      <w:r>
        <w:rPr>
          <w:i/>
          <w:spacing w:val="-9"/>
          <w:sz w:val="23"/>
        </w:rPr>
        <w:t> </w:t>
      </w:r>
      <w:r>
        <w:rPr>
          <w:i/>
          <w:sz w:val="23"/>
        </w:rPr>
        <w:t>Suburbano… </w:t>
      </w:r>
      <w:r>
        <w:rPr>
          <w:i/>
          <w:sz w:val="23"/>
        </w:rPr>
        <w:t>el</w:t>
      </w:r>
      <w:r>
        <w:rPr>
          <w:i/>
          <w:spacing w:val="-8"/>
          <w:sz w:val="23"/>
        </w:rPr>
        <w:t> </w:t>
      </w:r>
      <w:r>
        <w:rPr>
          <w:i/>
          <w:sz w:val="23"/>
        </w:rPr>
        <w:t>plan</w:t>
      </w:r>
      <w:r>
        <w:rPr>
          <w:i/>
          <w:spacing w:val="-8"/>
          <w:sz w:val="23"/>
        </w:rPr>
        <w:t> </w:t>
      </w:r>
      <w:r>
        <w:rPr>
          <w:i/>
          <w:sz w:val="23"/>
        </w:rPr>
        <w:t>original</w:t>
      </w:r>
      <w:r>
        <w:rPr>
          <w:i/>
          <w:spacing w:val="-8"/>
          <w:sz w:val="23"/>
        </w:rPr>
        <w:t> </w:t>
      </w:r>
      <w:r>
        <w:rPr>
          <w:i/>
          <w:sz w:val="23"/>
        </w:rPr>
        <w:t>de</w:t>
      </w:r>
      <w:r>
        <w:rPr>
          <w:i/>
          <w:spacing w:val="-8"/>
          <w:sz w:val="23"/>
        </w:rPr>
        <w:t> </w:t>
      </w:r>
      <w:r>
        <w:rPr>
          <w:i/>
          <w:sz w:val="23"/>
        </w:rPr>
        <w:t>una</w:t>
      </w:r>
      <w:r>
        <w:rPr>
          <w:i/>
          <w:spacing w:val="-8"/>
          <w:sz w:val="23"/>
        </w:rPr>
        <w:t> </w:t>
      </w:r>
      <w:r>
        <w:rPr>
          <w:i/>
          <w:sz w:val="23"/>
        </w:rPr>
        <w:t>ruta</w:t>
      </w:r>
      <w:r>
        <w:rPr>
          <w:i/>
          <w:spacing w:val="-7"/>
          <w:sz w:val="23"/>
        </w:rPr>
        <w:t> </w:t>
      </w:r>
      <w:r>
        <w:rPr>
          <w:i/>
          <w:sz w:val="23"/>
        </w:rPr>
        <w:t>de</w:t>
      </w:r>
      <w:r>
        <w:rPr>
          <w:i/>
          <w:spacing w:val="-8"/>
          <w:sz w:val="23"/>
        </w:rPr>
        <w:t> </w:t>
      </w:r>
      <w:r>
        <w:rPr>
          <w:i/>
          <w:sz w:val="23"/>
        </w:rPr>
        <w:t>Pachuca</w:t>
      </w:r>
      <w:r>
        <w:rPr>
          <w:i/>
          <w:spacing w:val="-8"/>
          <w:sz w:val="23"/>
        </w:rPr>
        <w:t> </w:t>
      </w:r>
      <w:r>
        <w:rPr>
          <w:i/>
          <w:sz w:val="23"/>
        </w:rPr>
        <w:t>al</w:t>
      </w:r>
      <w:r>
        <w:rPr>
          <w:i/>
          <w:spacing w:val="-8"/>
          <w:sz w:val="23"/>
        </w:rPr>
        <w:t> </w:t>
      </w:r>
      <w:r>
        <w:rPr>
          <w:i/>
          <w:sz w:val="23"/>
        </w:rPr>
        <w:t>Estado</w:t>
      </w:r>
      <w:r>
        <w:rPr>
          <w:i/>
          <w:spacing w:val="-8"/>
          <w:sz w:val="23"/>
        </w:rPr>
        <w:t> </w:t>
      </w:r>
      <w:r>
        <w:rPr>
          <w:i/>
          <w:sz w:val="23"/>
        </w:rPr>
        <w:t>de</w:t>
      </w:r>
      <w:r>
        <w:rPr>
          <w:i/>
          <w:spacing w:val="-8"/>
          <w:sz w:val="23"/>
        </w:rPr>
        <w:t> </w:t>
      </w:r>
      <w:r>
        <w:rPr>
          <w:i/>
          <w:sz w:val="23"/>
        </w:rPr>
        <w:t>México</w:t>
      </w:r>
      <w:r>
        <w:rPr>
          <w:i/>
          <w:spacing w:val="-8"/>
          <w:sz w:val="23"/>
        </w:rPr>
        <w:t> </w:t>
      </w:r>
      <w:r>
        <w:rPr>
          <w:i/>
          <w:sz w:val="23"/>
        </w:rPr>
        <w:t>es</w:t>
      </w:r>
      <w:r>
        <w:rPr>
          <w:i/>
          <w:spacing w:val="-8"/>
          <w:sz w:val="23"/>
        </w:rPr>
        <w:t> </w:t>
      </w:r>
      <w:r>
        <w:rPr>
          <w:i/>
          <w:sz w:val="23"/>
        </w:rPr>
        <w:t>inviable,</w:t>
      </w:r>
      <w:r>
        <w:rPr>
          <w:i/>
          <w:spacing w:val="-8"/>
          <w:sz w:val="23"/>
        </w:rPr>
        <w:t> </w:t>
      </w:r>
      <w:r>
        <w:rPr>
          <w:i/>
          <w:sz w:val="23"/>
        </w:rPr>
        <w:t>dice Alberto Meléndez” </w:t>
      </w:r>
      <w:r>
        <w:rPr>
          <w:sz w:val="23"/>
        </w:rPr>
        <w:t>(Godínez,</w:t>
      </w:r>
      <w:r>
        <w:rPr>
          <w:spacing w:val="4"/>
          <w:sz w:val="23"/>
        </w:rPr>
        <w:t> </w:t>
      </w:r>
      <w:r>
        <w:rPr>
          <w:sz w:val="23"/>
        </w:rPr>
        <w:t>2012:8)</w:t>
      </w:r>
      <w:r>
        <w:rPr>
          <w:position w:val="8"/>
          <w:sz w:val="13"/>
        </w:rPr>
        <w:t>151</w:t>
      </w:r>
      <w:r>
        <w:rPr>
          <w:sz w:val="23"/>
        </w:rPr>
        <w:t>.</w:t>
      </w:r>
    </w:p>
    <w:p>
      <w:pPr>
        <w:pStyle w:val="BodyText"/>
        <w:spacing w:before="3"/>
        <w:rPr>
          <w:sz w:val="22"/>
        </w:rPr>
      </w:pPr>
    </w:p>
    <w:p>
      <w:pPr>
        <w:pStyle w:val="Heading3"/>
      </w:pPr>
      <w:bookmarkStart w:name="_TOC_250018" w:id="25"/>
      <w:bookmarkEnd w:id="25"/>
      <w:r>
        <w:rPr/>
        <w:t>Conclusiones del Capítulo IV.</w:t>
      </w:r>
    </w:p>
    <w:p>
      <w:pPr>
        <w:pStyle w:val="BodyText"/>
        <w:spacing w:before="9"/>
        <w:rPr>
          <w:b/>
          <w:sz w:val="22"/>
        </w:rPr>
      </w:pPr>
    </w:p>
    <w:p>
      <w:pPr>
        <w:pStyle w:val="BodyText"/>
        <w:spacing w:line="260" w:lineRule="exact"/>
        <w:ind w:left="117" w:right="108"/>
        <w:jc w:val="both"/>
      </w:pPr>
      <w:r>
        <w:rPr/>
        <w:t>La</w:t>
      </w:r>
      <w:r>
        <w:rPr>
          <w:spacing w:val="-15"/>
        </w:rPr>
        <w:t> </w:t>
      </w:r>
      <w:r>
        <w:rPr/>
        <w:t>evaluación</w:t>
      </w:r>
      <w:r>
        <w:rPr>
          <w:spacing w:val="-16"/>
        </w:rPr>
        <w:t> </w:t>
      </w:r>
      <w:r>
        <w:rPr/>
        <w:t>de</w:t>
      </w:r>
      <w:r>
        <w:rPr>
          <w:spacing w:val="-15"/>
        </w:rPr>
        <w:t> </w:t>
      </w:r>
      <w:r>
        <w:rPr/>
        <w:t>las</w:t>
      </w:r>
      <w:r>
        <w:rPr>
          <w:spacing w:val="-16"/>
        </w:rPr>
        <w:t> </w:t>
      </w:r>
      <w:r>
        <w:rPr/>
        <w:t>políticas</w:t>
      </w:r>
      <w:r>
        <w:rPr>
          <w:spacing w:val="-15"/>
        </w:rPr>
        <w:t> </w:t>
      </w:r>
      <w:r>
        <w:rPr/>
        <w:t>distributivas</w:t>
      </w:r>
      <w:r>
        <w:rPr>
          <w:spacing w:val="-15"/>
        </w:rPr>
        <w:t> </w:t>
      </w:r>
      <w:r>
        <w:rPr/>
        <w:t>que</w:t>
      </w:r>
      <w:r>
        <w:rPr>
          <w:spacing w:val="-15"/>
        </w:rPr>
        <w:t> </w:t>
      </w:r>
      <w:r>
        <w:rPr/>
        <w:t>gestiona</w:t>
      </w:r>
      <w:r>
        <w:rPr>
          <w:spacing w:val="-15"/>
        </w:rPr>
        <w:t> </w:t>
      </w:r>
      <w:r>
        <w:rPr/>
        <w:t>el</w:t>
      </w:r>
      <w:r>
        <w:rPr>
          <w:spacing w:val="-15"/>
        </w:rPr>
        <w:t> </w:t>
      </w:r>
      <w:r>
        <w:rPr/>
        <w:t>gobierno</w:t>
      </w:r>
      <w:r>
        <w:rPr>
          <w:spacing w:val="-15"/>
        </w:rPr>
        <w:t> </w:t>
      </w:r>
      <w:r>
        <w:rPr/>
        <w:t>del</w:t>
      </w:r>
      <w:r>
        <w:rPr>
          <w:spacing w:val="-15"/>
        </w:rPr>
        <w:t> </w:t>
      </w:r>
      <w:r>
        <w:rPr/>
        <w:t>Estado de Hidalgo, según la escala correspondiente del federalismo subsidiario, arroja un valor numérico de 4.25, lo cual posiciona a la entidad por encima de</w:t>
      </w:r>
      <w:r>
        <w:rPr>
          <w:spacing w:val="-5"/>
        </w:rPr>
        <w:t> </w:t>
      </w:r>
      <w:r>
        <w:rPr/>
        <w:t>la</w:t>
      </w:r>
      <w:r>
        <w:rPr>
          <w:spacing w:val="-5"/>
        </w:rPr>
        <w:t> </w:t>
      </w:r>
      <w:r>
        <w:rPr/>
        <w:t>media</w:t>
      </w:r>
      <w:r>
        <w:rPr>
          <w:spacing w:val="-5"/>
        </w:rPr>
        <w:t> </w:t>
      </w:r>
      <w:r>
        <w:rPr/>
        <w:t>nacional</w:t>
      </w:r>
      <w:r>
        <w:rPr>
          <w:spacing w:val="-5"/>
        </w:rPr>
        <w:t> </w:t>
      </w:r>
      <w:r>
        <w:rPr/>
        <w:t>lograda</w:t>
      </w:r>
      <w:r>
        <w:rPr>
          <w:spacing w:val="-5"/>
        </w:rPr>
        <w:t> </w:t>
      </w:r>
      <w:r>
        <w:rPr/>
        <w:t>en</w:t>
      </w:r>
      <w:r>
        <w:rPr>
          <w:spacing w:val="-5"/>
        </w:rPr>
        <w:t> </w:t>
      </w:r>
      <w:r>
        <w:rPr/>
        <w:t>estudios</w:t>
      </w:r>
      <w:r>
        <w:rPr>
          <w:spacing w:val="-5"/>
        </w:rPr>
        <w:t> </w:t>
      </w:r>
      <w:r>
        <w:rPr/>
        <w:t>antecedentes</w:t>
      </w:r>
      <w:r>
        <w:rPr>
          <w:spacing w:val="-5"/>
        </w:rPr>
        <w:t> </w:t>
      </w:r>
      <w:r>
        <w:rPr/>
        <w:t>(3.08).</w:t>
      </w:r>
      <w:r>
        <w:rPr>
          <w:spacing w:val="-4"/>
        </w:rPr>
        <w:t> </w:t>
      </w:r>
      <w:r>
        <w:rPr/>
        <w:t>De</w:t>
      </w:r>
      <w:r>
        <w:rPr>
          <w:spacing w:val="-5"/>
        </w:rPr>
        <w:t> </w:t>
      </w:r>
      <w:r>
        <w:rPr/>
        <w:t>manera</w:t>
      </w:r>
      <w:r>
        <w:rPr>
          <w:spacing w:val="-5"/>
        </w:rPr>
        <w:t> </w:t>
      </w:r>
      <w:r>
        <w:rPr/>
        <w:t>más desglosada, el balance entre debilidades y fortalezas es el</w:t>
      </w:r>
      <w:r>
        <w:rPr>
          <w:spacing w:val="-12"/>
        </w:rPr>
        <w:t> </w:t>
      </w:r>
      <w:r>
        <w:rPr/>
        <w:t>siguiente:</w:t>
      </w:r>
    </w:p>
    <w:p>
      <w:pPr>
        <w:pStyle w:val="BodyText"/>
        <w:spacing w:before="7"/>
        <w:rPr>
          <w:sz w:val="22"/>
        </w:rPr>
      </w:pPr>
    </w:p>
    <w:p>
      <w:pPr>
        <w:pStyle w:val="ListParagraph"/>
        <w:numPr>
          <w:ilvl w:val="1"/>
          <w:numId w:val="8"/>
        </w:numPr>
        <w:tabs>
          <w:tab w:pos="685" w:val="left" w:leader="none"/>
        </w:tabs>
        <w:spacing w:line="260" w:lineRule="exact" w:before="0" w:after="0"/>
        <w:ind w:left="684" w:right="107" w:hanging="284"/>
        <w:jc w:val="both"/>
        <w:rPr>
          <w:sz w:val="23"/>
        </w:rPr>
      </w:pPr>
      <w:r>
        <w:rPr>
          <w:sz w:val="23"/>
        </w:rPr>
        <w:t>Para la </w:t>
      </w:r>
      <w:r>
        <w:rPr>
          <w:i/>
          <w:sz w:val="23"/>
        </w:rPr>
        <w:t>capacidad intergubernamental de asociación  estratégica</w:t>
      </w:r>
      <w:r>
        <w:rPr>
          <w:sz w:val="23"/>
        </w:rPr>
        <w:t>.  Tres esquemas de interacción coinciden en inconcurrencias formales   o inducidas. Sobre el gasto federal reasignado, la lógica de la instru- mentación jurídica es el aplazamiento invariable de las acciones pro- gramadas con eventuales rompimientos de relaciones sectoriales determinadas, siendo evidente que en la verticalidad de las relaciones intergubernamentales ambas partes evaden cualquier colaboración político-estratégica. Cuando el gobierno federal diseña acciones que involucran la intervención del gobierno estatal, la implementación va del encono al aplazamiento, esto es, sin importar que las acciones sean unánimemente factibles, la implementación inicia en tensiones por  </w:t>
      </w:r>
      <w:r>
        <w:rPr>
          <w:spacing w:val="42"/>
          <w:sz w:val="23"/>
        </w:rPr>
        <w:t> </w:t>
      </w:r>
      <w:r>
        <w:rPr>
          <w:sz w:val="23"/>
        </w:rPr>
        <w:t>la</w:t>
      </w:r>
    </w:p>
    <w:p>
      <w:pPr>
        <w:pStyle w:val="BodyText"/>
        <w:rPr>
          <w:sz w:val="13"/>
        </w:rPr>
      </w:pPr>
      <w:r>
        <w:rPr/>
        <w:pict>
          <v:line style="position:absolute;mso-position-horizontal-relative:page;mso-position-vertical-relative:paragraph;z-index:2752;mso-wrap-distance-left:0;mso-wrap-distance-right:0" from="70.866096pt,9.928099pt" to="142.866096pt,9.928099pt" stroked="true" strokeweight="1pt" strokecolor="#000000">
            <w10:wrap type="topAndBottom"/>
          </v:line>
        </w:pict>
      </w:r>
    </w:p>
    <w:p>
      <w:pPr>
        <w:spacing w:line="249" w:lineRule="auto" w:before="28"/>
        <w:ind w:left="400" w:right="0" w:hanging="284"/>
        <w:jc w:val="left"/>
        <w:rPr>
          <w:sz w:val="18"/>
        </w:rPr>
      </w:pPr>
      <w:r>
        <w:rPr>
          <w:position w:val="7"/>
          <w:sz w:val="11"/>
        </w:rPr>
        <w:t>150 </w:t>
      </w:r>
      <w:r>
        <w:rPr>
          <w:sz w:val="18"/>
        </w:rPr>
        <w:t>Información proporcionada para esta investigación en entrevista con ex funcionarios estatales participantes en los proyectos estratégicos del estado, 8 de julio del 2011.</w:t>
      </w:r>
    </w:p>
    <w:p>
      <w:pPr>
        <w:spacing w:before="20"/>
        <w:ind w:left="117" w:right="0" w:firstLine="0"/>
        <w:jc w:val="left"/>
        <w:rPr>
          <w:sz w:val="18"/>
        </w:rPr>
      </w:pPr>
      <w:r>
        <w:rPr>
          <w:position w:val="7"/>
          <w:sz w:val="11"/>
        </w:rPr>
        <w:t>151  </w:t>
      </w:r>
      <w:r>
        <w:rPr>
          <w:spacing w:val="11"/>
          <w:position w:val="7"/>
          <w:sz w:val="11"/>
        </w:rPr>
        <w:t> </w:t>
      </w:r>
      <w:r>
        <w:rPr>
          <w:sz w:val="18"/>
        </w:rPr>
        <w:t>Godínez,</w:t>
      </w:r>
      <w:r>
        <w:rPr>
          <w:spacing w:val="-13"/>
          <w:sz w:val="18"/>
        </w:rPr>
        <w:t> </w:t>
      </w:r>
      <w:r>
        <w:rPr>
          <w:sz w:val="18"/>
        </w:rPr>
        <w:t>Gustavo;</w:t>
      </w:r>
      <w:r>
        <w:rPr>
          <w:spacing w:val="-13"/>
          <w:sz w:val="18"/>
        </w:rPr>
        <w:t> </w:t>
      </w:r>
      <w:r>
        <w:rPr>
          <w:i/>
          <w:sz w:val="18"/>
        </w:rPr>
        <w:t>Descartan</w:t>
      </w:r>
      <w:r>
        <w:rPr>
          <w:i/>
          <w:spacing w:val="-13"/>
          <w:sz w:val="18"/>
        </w:rPr>
        <w:t> </w:t>
      </w:r>
      <w:r>
        <w:rPr>
          <w:i/>
          <w:spacing w:val="-3"/>
          <w:sz w:val="18"/>
        </w:rPr>
        <w:t>proyecto</w:t>
      </w:r>
      <w:r>
        <w:rPr>
          <w:i/>
          <w:spacing w:val="-13"/>
          <w:sz w:val="18"/>
        </w:rPr>
        <w:t> </w:t>
      </w:r>
      <w:r>
        <w:rPr>
          <w:i/>
          <w:sz w:val="18"/>
        </w:rPr>
        <w:t>del</w:t>
      </w:r>
      <w:r>
        <w:rPr>
          <w:i/>
          <w:spacing w:val="-13"/>
          <w:sz w:val="18"/>
        </w:rPr>
        <w:t> </w:t>
      </w:r>
      <w:r>
        <w:rPr>
          <w:i/>
          <w:spacing w:val="-6"/>
          <w:sz w:val="18"/>
        </w:rPr>
        <w:t>Tren</w:t>
      </w:r>
      <w:r>
        <w:rPr>
          <w:i/>
          <w:spacing w:val="-14"/>
          <w:sz w:val="18"/>
        </w:rPr>
        <w:t> </w:t>
      </w:r>
      <w:r>
        <w:rPr>
          <w:i/>
          <w:sz w:val="18"/>
        </w:rPr>
        <w:t>Suburbano</w:t>
      </w:r>
      <w:r>
        <w:rPr>
          <w:sz w:val="18"/>
        </w:rPr>
        <w:t>.</w:t>
      </w:r>
      <w:r>
        <w:rPr>
          <w:spacing w:val="-13"/>
          <w:sz w:val="18"/>
        </w:rPr>
        <w:t> </w:t>
      </w:r>
      <w:r>
        <w:rPr>
          <w:sz w:val="18"/>
        </w:rPr>
        <w:t>En</w:t>
      </w:r>
      <w:r>
        <w:rPr>
          <w:spacing w:val="-14"/>
          <w:sz w:val="18"/>
        </w:rPr>
        <w:t> </w:t>
      </w:r>
      <w:r>
        <w:rPr>
          <w:sz w:val="18"/>
        </w:rPr>
        <w:t>Milenio,</w:t>
      </w:r>
      <w:r>
        <w:rPr>
          <w:spacing w:val="-13"/>
          <w:sz w:val="18"/>
        </w:rPr>
        <w:t> </w:t>
      </w:r>
      <w:r>
        <w:rPr>
          <w:sz w:val="18"/>
        </w:rPr>
        <w:t>8</w:t>
      </w:r>
      <w:r>
        <w:rPr>
          <w:spacing w:val="-14"/>
          <w:sz w:val="18"/>
        </w:rPr>
        <w:t> </w:t>
      </w:r>
      <w:r>
        <w:rPr>
          <w:sz w:val="18"/>
        </w:rPr>
        <w:t>de</w:t>
      </w:r>
      <w:r>
        <w:rPr>
          <w:spacing w:val="-13"/>
          <w:sz w:val="18"/>
        </w:rPr>
        <w:t> </w:t>
      </w:r>
      <w:r>
        <w:rPr>
          <w:sz w:val="18"/>
        </w:rPr>
        <w:t>junio</w:t>
      </w:r>
      <w:r>
        <w:rPr>
          <w:spacing w:val="-14"/>
          <w:sz w:val="18"/>
        </w:rPr>
        <w:t> </w:t>
      </w:r>
      <w:r>
        <w:rPr>
          <w:sz w:val="18"/>
        </w:rPr>
        <w:t>de</w:t>
      </w:r>
      <w:r>
        <w:rPr>
          <w:spacing w:val="-13"/>
          <w:sz w:val="18"/>
        </w:rPr>
        <w:t> </w:t>
      </w:r>
      <w:r>
        <w:rPr>
          <w:sz w:val="18"/>
        </w:rPr>
        <w:t>2012,</w:t>
      </w:r>
      <w:r>
        <w:rPr>
          <w:spacing w:val="-13"/>
          <w:sz w:val="18"/>
        </w:rPr>
        <w:t> </w:t>
      </w:r>
      <w:r>
        <w:rPr>
          <w:sz w:val="18"/>
        </w:rPr>
        <w:t>p.</w:t>
      </w:r>
      <w:r>
        <w:rPr>
          <w:spacing w:val="-13"/>
          <w:sz w:val="18"/>
        </w:rPr>
        <w:t> </w:t>
      </w:r>
      <w:r>
        <w:rPr>
          <w:sz w:val="18"/>
        </w:rPr>
        <w:t>8.</w:t>
      </w:r>
    </w:p>
    <w:p>
      <w:pPr>
        <w:spacing w:after="0"/>
        <w:jc w:val="left"/>
        <w:rPr>
          <w:sz w:val="18"/>
        </w:rPr>
        <w:sectPr>
          <w:pgSz w:w="9360" w:h="13040"/>
          <w:pgMar w:header="527" w:footer="515" w:top="940" w:bottom="700" w:left="1300" w:right="740"/>
        </w:sectPr>
      </w:pPr>
    </w:p>
    <w:p>
      <w:pPr>
        <w:pStyle w:val="BodyText"/>
        <w:rPr>
          <w:sz w:val="20"/>
        </w:rPr>
      </w:pPr>
    </w:p>
    <w:p>
      <w:pPr>
        <w:pStyle w:val="BodyText"/>
        <w:spacing w:before="1"/>
        <w:rPr>
          <w:sz w:val="29"/>
        </w:rPr>
      </w:pPr>
    </w:p>
    <w:p>
      <w:pPr>
        <w:pStyle w:val="BodyText"/>
        <w:spacing w:line="244" w:lineRule="auto" w:before="70"/>
        <w:ind w:left="677" w:right="116"/>
        <w:jc w:val="both"/>
      </w:pPr>
      <w:r>
        <w:rPr/>
        <w:t>lucha de intereses de las partes para pasar al aplazamiento sistemático de acciones coordinadas por parte del gobierno federal.</w:t>
      </w:r>
    </w:p>
    <w:p>
      <w:pPr>
        <w:pStyle w:val="BodyText"/>
        <w:spacing w:before="6"/>
      </w:pPr>
    </w:p>
    <w:p>
      <w:pPr>
        <w:pStyle w:val="BodyText"/>
        <w:spacing w:line="244" w:lineRule="auto"/>
        <w:ind w:left="677" w:right="114"/>
        <w:jc w:val="both"/>
      </w:pPr>
      <w:r>
        <w:rPr/>
        <w:t>Para el esquema deseable en el marco del federalismo subsidiario,      la intervención coyuntural de sectores federales en los proyectos estratégicos del estado, la implementación va del aplazamiento a eventuales situaciones de encono, en otras palabras, el gobierno estatal no genera espacios de concurrencia y negociación intergubernamental, manteniendo así los proyectos estratégicos en la exclusividad y sin apresuramiento, de modo que al gestionar autorizaciones ante el gobierno federal éste responde aplazando algunas respuestas (las torales) pese al encono de la clase gobernante</w:t>
      </w:r>
      <w:r>
        <w:rPr>
          <w:spacing w:val="-3"/>
        </w:rPr>
        <w:t> </w:t>
      </w:r>
      <w:r>
        <w:rPr/>
        <w:t>estatal.</w:t>
      </w:r>
    </w:p>
    <w:p>
      <w:pPr>
        <w:pStyle w:val="BodyText"/>
        <w:spacing w:before="6"/>
      </w:pPr>
    </w:p>
    <w:p>
      <w:pPr>
        <w:pStyle w:val="BodyText"/>
        <w:spacing w:line="244" w:lineRule="auto"/>
        <w:ind w:left="677" w:right="114"/>
        <w:jc w:val="both"/>
      </w:pPr>
      <w:r>
        <w:rPr/>
        <w:t>Como relativo aliciente, la relación entre el gobierno estatal y la ini- ciativa privada, según dos proyectos similares de desarrollo, ha evo- lucionado desde la imposición de relaciones verticales hasta una implementación estratégica coordinada, lo cual representa un proceso de aprendizaje de altos costos y consecuencias. En todo lo anterior, los ayuntamientos del estado no juegan papel alguno. Según lo expuesto, un proceso de aprendizaje para la correcta coordinación estratégica entre los gobiernos estatal y federal no se vislumbra todavía, si este llega sus costos y consecuencias serán altísimos. La realidad es una sola: las diferencias de filiación política es un prejuicio determinante en las relaciones intergubernamentales entre los gobiernos federal y estatal. Sin árbitro competente alguno, la situación es extrema pues las partes se distraen en exceso de su función como órdenes federales que deben coordinarse para implementar el desarrollo regional.</w:t>
      </w:r>
    </w:p>
    <w:p>
      <w:pPr>
        <w:pStyle w:val="BodyText"/>
        <w:spacing w:before="6"/>
      </w:pPr>
    </w:p>
    <w:p>
      <w:pPr>
        <w:pStyle w:val="ListParagraph"/>
        <w:numPr>
          <w:ilvl w:val="1"/>
          <w:numId w:val="8"/>
        </w:numPr>
        <w:tabs>
          <w:tab w:pos="678" w:val="left" w:leader="none"/>
        </w:tabs>
        <w:spacing w:line="244" w:lineRule="auto" w:before="0" w:after="0"/>
        <w:ind w:left="677" w:right="114" w:hanging="284"/>
        <w:jc w:val="both"/>
        <w:rPr>
          <w:sz w:val="23"/>
        </w:rPr>
      </w:pPr>
      <w:r>
        <w:rPr>
          <w:sz w:val="23"/>
        </w:rPr>
        <w:t>Sobre la </w:t>
      </w:r>
      <w:r>
        <w:rPr>
          <w:i/>
          <w:sz w:val="23"/>
        </w:rPr>
        <w:t>restricción competencial de las formaciones sociales más </w:t>
      </w:r>
      <w:r>
        <w:rPr>
          <w:i/>
          <w:sz w:val="23"/>
        </w:rPr>
        <w:t>complejas. </w:t>
      </w:r>
      <w:r>
        <w:rPr>
          <w:sz w:val="23"/>
        </w:rPr>
        <w:t>El contexto es el retiro histórico del gobierno federal en materia de política distributiva, tendencia que trascendió en la era de los</w:t>
      </w:r>
      <w:r>
        <w:rPr>
          <w:spacing w:val="-5"/>
          <w:sz w:val="23"/>
        </w:rPr>
        <w:t> </w:t>
      </w:r>
      <w:r>
        <w:rPr>
          <w:sz w:val="23"/>
        </w:rPr>
        <w:t>gobiernos</w:t>
      </w:r>
      <w:r>
        <w:rPr>
          <w:spacing w:val="-5"/>
          <w:sz w:val="23"/>
        </w:rPr>
        <w:t> </w:t>
      </w:r>
      <w:r>
        <w:rPr>
          <w:sz w:val="23"/>
        </w:rPr>
        <w:t>neoliberales.</w:t>
      </w:r>
      <w:r>
        <w:rPr>
          <w:spacing w:val="-5"/>
          <w:sz w:val="23"/>
        </w:rPr>
        <w:t> </w:t>
      </w:r>
      <w:r>
        <w:rPr>
          <w:sz w:val="23"/>
        </w:rPr>
        <w:t>Para</w:t>
      </w:r>
      <w:r>
        <w:rPr>
          <w:spacing w:val="-5"/>
          <w:sz w:val="23"/>
        </w:rPr>
        <w:t> </w:t>
      </w:r>
      <w:r>
        <w:rPr>
          <w:sz w:val="23"/>
        </w:rPr>
        <w:t>el</w:t>
      </w:r>
      <w:r>
        <w:rPr>
          <w:spacing w:val="-5"/>
          <w:sz w:val="23"/>
        </w:rPr>
        <w:t> </w:t>
      </w:r>
      <w:r>
        <w:rPr>
          <w:sz w:val="23"/>
        </w:rPr>
        <w:t>caso</w:t>
      </w:r>
      <w:r>
        <w:rPr>
          <w:spacing w:val="-5"/>
          <w:sz w:val="23"/>
        </w:rPr>
        <w:t> </w:t>
      </w:r>
      <w:r>
        <w:rPr>
          <w:sz w:val="23"/>
        </w:rPr>
        <w:t>que</w:t>
      </w:r>
      <w:r>
        <w:rPr>
          <w:spacing w:val="-5"/>
          <w:sz w:val="23"/>
        </w:rPr>
        <w:t> </w:t>
      </w:r>
      <w:r>
        <w:rPr>
          <w:sz w:val="23"/>
        </w:rPr>
        <w:t>nos</w:t>
      </w:r>
      <w:r>
        <w:rPr>
          <w:spacing w:val="-5"/>
          <w:sz w:val="23"/>
        </w:rPr>
        <w:t> </w:t>
      </w:r>
      <w:r>
        <w:rPr>
          <w:sz w:val="23"/>
        </w:rPr>
        <w:t>ocupa,</w:t>
      </w:r>
      <w:r>
        <w:rPr>
          <w:spacing w:val="-5"/>
          <w:sz w:val="23"/>
        </w:rPr>
        <w:t> </w:t>
      </w:r>
      <w:r>
        <w:rPr>
          <w:sz w:val="23"/>
        </w:rPr>
        <w:t>en</w:t>
      </w:r>
      <w:r>
        <w:rPr>
          <w:spacing w:val="-5"/>
          <w:sz w:val="23"/>
        </w:rPr>
        <w:t> </w:t>
      </w:r>
      <w:r>
        <w:rPr>
          <w:sz w:val="23"/>
        </w:rPr>
        <w:t>lo</w:t>
      </w:r>
      <w:r>
        <w:rPr>
          <w:spacing w:val="-5"/>
          <w:sz w:val="23"/>
        </w:rPr>
        <w:t> </w:t>
      </w:r>
      <w:r>
        <w:rPr>
          <w:sz w:val="23"/>
        </w:rPr>
        <w:t>particular, se</w:t>
      </w:r>
      <w:r>
        <w:rPr>
          <w:spacing w:val="-13"/>
          <w:sz w:val="23"/>
        </w:rPr>
        <w:t> </w:t>
      </w:r>
      <w:r>
        <w:rPr>
          <w:sz w:val="23"/>
        </w:rPr>
        <w:t>ha</w:t>
      </w:r>
      <w:r>
        <w:rPr>
          <w:spacing w:val="-13"/>
          <w:sz w:val="23"/>
        </w:rPr>
        <w:t> </w:t>
      </w:r>
      <w:r>
        <w:rPr>
          <w:sz w:val="23"/>
        </w:rPr>
        <w:t>generalizado</w:t>
      </w:r>
      <w:r>
        <w:rPr>
          <w:spacing w:val="-13"/>
          <w:sz w:val="23"/>
        </w:rPr>
        <w:t> </w:t>
      </w:r>
      <w:r>
        <w:rPr>
          <w:sz w:val="23"/>
        </w:rPr>
        <w:t>además</w:t>
      </w:r>
      <w:r>
        <w:rPr>
          <w:spacing w:val="-13"/>
          <w:sz w:val="23"/>
        </w:rPr>
        <w:t> </w:t>
      </w:r>
      <w:r>
        <w:rPr>
          <w:sz w:val="23"/>
        </w:rPr>
        <w:t>una</w:t>
      </w:r>
      <w:r>
        <w:rPr>
          <w:spacing w:val="-13"/>
          <w:sz w:val="23"/>
        </w:rPr>
        <w:t> </w:t>
      </w:r>
      <w:r>
        <w:rPr>
          <w:sz w:val="23"/>
        </w:rPr>
        <w:t>intervención</w:t>
      </w:r>
      <w:r>
        <w:rPr>
          <w:spacing w:val="-14"/>
          <w:sz w:val="23"/>
        </w:rPr>
        <w:t> </w:t>
      </w:r>
      <w:r>
        <w:rPr>
          <w:sz w:val="23"/>
        </w:rPr>
        <w:t>federal</w:t>
      </w:r>
      <w:r>
        <w:rPr>
          <w:spacing w:val="-13"/>
          <w:sz w:val="23"/>
        </w:rPr>
        <w:t> </w:t>
      </w:r>
      <w:r>
        <w:rPr>
          <w:sz w:val="23"/>
        </w:rPr>
        <w:t>titubeante</w:t>
      </w:r>
      <w:r>
        <w:rPr>
          <w:spacing w:val="-13"/>
          <w:sz w:val="23"/>
        </w:rPr>
        <w:t> </w:t>
      </w:r>
      <w:r>
        <w:rPr>
          <w:sz w:val="23"/>
        </w:rPr>
        <w:t>y</w:t>
      </w:r>
      <w:r>
        <w:rPr>
          <w:spacing w:val="-13"/>
          <w:sz w:val="23"/>
        </w:rPr>
        <w:t> </w:t>
      </w:r>
      <w:r>
        <w:rPr>
          <w:sz w:val="23"/>
        </w:rPr>
        <w:t>evasiva cuando el gobierno del Estado de Hidalgo le realiza promociones al respecto.</w:t>
      </w:r>
    </w:p>
    <w:p>
      <w:pPr>
        <w:pStyle w:val="BodyText"/>
        <w:spacing w:before="6"/>
      </w:pPr>
    </w:p>
    <w:p>
      <w:pPr>
        <w:pStyle w:val="ListParagraph"/>
        <w:numPr>
          <w:ilvl w:val="1"/>
          <w:numId w:val="8"/>
        </w:numPr>
        <w:tabs>
          <w:tab w:pos="678" w:val="left" w:leader="none"/>
        </w:tabs>
        <w:spacing w:line="244" w:lineRule="auto" w:before="0" w:after="0"/>
        <w:ind w:left="677" w:right="115" w:hanging="284"/>
        <w:jc w:val="both"/>
        <w:rPr>
          <w:sz w:val="23"/>
        </w:rPr>
      </w:pPr>
      <w:r>
        <w:rPr>
          <w:sz w:val="23"/>
        </w:rPr>
        <w:t>En cuanto a la </w:t>
      </w:r>
      <w:r>
        <w:rPr>
          <w:i/>
          <w:sz w:val="23"/>
        </w:rPr>
        <w:t>evaluación de las sociedades más simples para el </w:t>
      </w:r>
      <w:r>
        <w:rPr>
          <w:i/>
          <w:sz w:val="23"/>
        </w:rPr>
        <w:t>ejercicio subsidiario</w:t>
      </w:r>
      <w:r>
        <w:rPr>
          <w:sz w:val="23"/>
        </w:rPr>
        <w:t>. Se hace evidente, por todos los rasgos  </w:t>
      </w:r>
      <w:r>
        <w:rPr>
          <w:spacing w:val="7"/>
          <w:sz w:val="23"/>
        </w:rPr>
        <w:t> </w:t>
      </w:r>
      <w:r>
        <w:rPr>
          <w:sz w:val="23"/>
        </w:rPr>
        <w:t>descritos</w:t>
      </w:r>
    </w:p>
    <w:p>
      <w:pPr>
        <w:spacing w:after="0" w:line="244" w:lineRule="auto"/>
        <w:jc w:val="both"/>
        <w:rPr>
          <w:sz w:val="23"/>
        </w:rPr>
        <w:sectPr>
          <w:pgSz w:w="9360" w:h="13040"/>
          <w:pgMar w:header="547" w:footer="515" w:top="720" w:bottom="700" w:left="740" w:right="1300"/>
        </w:sectPr>
      </w:pPr>
    </w:p>
    <w:p>
      <w:pPr>
        <w:pStyle w:val="BodyText"/>
        <w:spacing w:before="11"/>
        <w:rPr>
          <w:sz w:val="29"/>
        </w:rPr>
      </w:pPr>
    </w:p>
    <w:p>
      <w:pPr>
        <w:pStyle w:val="BodyText"/>
        <w:spacing w:line="244" w:lineRule="auto" w:before="70"/>
        <w:ind w:left="684" w:right="108"/>
        <w:jc w:val="both"/>
      </w:pPr>
      <w:r>
        <w:rPr/>
        <w:t>con anterioridad, que la evaluación de las capacidades subsidiarias no se practica formalmente.</w:t>
      </w:r>
    </w:p>
    <w:p>
      <w:pPr>
        <w:pStyle w:val="BodyText"/>
        <w:spacing w:before="4"/>
        <w:rPr>
          <w:sz w:val="22"/>
        </w:rPr>
      </w:pPr>
    </w:p>
    <w:p>
      <w:pPr>
        <w:pStyle w:val="ListParagraph"/>
        <w:numPr>
          <w:ilvl w:val="1"/>
          <w:numId w:val="8"/>
        </w:numPr>
        <w:tabs>
          <w:tab w:pos="685" w:val="left" w:leader="none"/>
        </w:tabs>
        <w:spacing w:line="260" w:lineRule="exact" w:before="0" w:after="0"/>
        <w:ind w:left="684" w:right="107" w:hanging="284"/>
        <w:jc w:val="both"/>
        <w:rPr>
          <w:sz w:val="23"/>
        </w:rPr>
      </w:pPr>
      <w:r>
        <w:rPr>
          <w:sz w:val="23"/>
        </w:rPr>
        <w:t>Con relación al </w:t>
      </w:r>
      <w:r>
        <w:rPr>
          <w:i/>
          <w:sz w:val="23"/>
        </w:rPr>
        <w:t>avance competencial de las sociedades más simples</w:t>
      </w:r>
      <w:r>
        <w:rPr>
          <w:sz w:val="23"/>
        </w:rPr>
        <w:t>. De acuerdo a la participación del gobierno estatal en tres esquemas paralelos de desarrollo regional, su desempeño continuamente rezagado en las obras derivadas del gasto federal reasignado evidencia deficiencias técnicas de planeación y presupuestación. En segundo término, respecto a las acciones del gobierno federal con participación del gobierno estatal, el gasto federal actúa como elemento distractor afectando la atención del gobierno estatal hacia los impactos que generará la nueva refinería petrolera de tula. En tercer lugar, en cuanto a la implementación de proyectos estratégicos propios, las constantes universales son: a) la adaptación de modelos exitosos identificados en otros estados, b) el intento de implementación anticipada de proyectos sin considerar la incidencia de variables socio-económicas y de obras inducidas, c) la incapacidad demostrada en el diseño e implementación de acciones relacionadas con el sector comunicaciones y   </w:t>
      </w:r>
      <w:r>
        <w:rPr>
          <w:spacing w:val="7"/>
          <w:sz w:val="23"/>
        </w:rPr>
        <w:t> </w:t>
      </w:r>
      <w:r>
        <w:rPr>
          <w:sz w:val="23"/>
        </w:rPr>
        <w:t>transportes,</w:t>
      </w:r>
    </w:p>
    <w:p>
      <w:pPr>
        <w:pStyle w:val="BodyText"/>
        <w:spacing w:line="260" w:lineRule="exact"/>
        <w:ind w:left="684" w:right="107"/>
        <w:jc w:val="both"/>
      </w:pPr>
      <w:r>
        <w:rPr/>
        <w:t>d) la focalización de todos los proyectos en el sur del estado por el intento de aprovechar las ventajas propias de la zona metropolitana   de la Ciudad de México </w:t>
      </w:r>
      <w:r>
        <w:rPr>
          <w:spacing w:val="-8"/>
        </w:rPr>
        <w:t>y, </w:t>
      </w:r>
      <w:r>
        <w:rPr/>
        <w:t>e) como consecuencia de lo anterior, el abandono del norte del estado con respecto a proyectos considerables de desarrollo regional.</w:t>
      </w:r>
    </w:p>
    <w:p>
      <w:pPr>
        <w:pStyle w:val="BodyText"/>
        <w:spacing w:before="7"/>
        <w:rPr>
          <w:sz w:val="22"/>
        </w:rPr>
      </w:pPr>
    </w:p>
    <w:p>
      <w:pPr>
        <w:pStyle w:val="BodyText"/>
        <w:spacing w:line="260" w:lineRule="exact"/>
        <w:ind w:left="684" w:right="107"/>
        <w:jc w:val="both"/>
      </w:pPr>
      <w:r>
        <w:rPr/>
        <w:t>Como</w:t>
      </w:r>
      <w:r>
        <w:rPr>
          <w:spacing w:val="-22"/>
        </w:rPr>
        <w:t> </w:t>
      </w:r>
      <w:r>
        <w:rPr/>
        <w:t>fortaleza</w:t>
      </w:r>
      <w:r>
        <w:rPr>
          <w:spacing w:val="-22"/>
        </w:rPr>
        <w:t> </w:t>
      </w:r>
      <w:r>
        <w:rPr/>
        <w:t>contenida</w:t>
      </w:r>
      <w:r>
        <w:rPr>
          <w:spacing w:val="-22"/>
        </w:rPr>
        <w:t> </w:t>
      </w:r>
      <w:r>
        <w:rPr/>
        <w:t>que</w:t>
      </w:r>
      <w:r>
        <w:rPr>
          <w:spacing w:val="-22"/>
        </w:rPr>
        <w:t> </w:t>
      </w:r>
      <w:r>
        <w:rPr/>
        <w:t>abonaría</w:t>
      </w:r>
      <w:r>
        <w:rPr>
          <w:spacing w:val="-22"/>
        </w:rPr>
        <w:t> </w:t>
      </w:r>
      <w:r>
        <w:rPr/>
        <w:t>a</w:t>
      </w:r>
      <w:r>
        <w:rPr>
          <w:spacing w:val="-22"/>
        </w:rPr>
        <w:t> </w:t>
      </w:r>
      <w:r>
        <w:rPr/>
        <w:t>la</w:t>
      </w:r>
      <w:r>
        <w:rPr>
          <w:spacing w:val="-22"/>
        </w:rPr>
        <w:t> </w:t>
      </w:r>
      <w:r>
        <w:rPr/>
        <w:t>filosofía</w:t>
      </w:r>
      <w:r>
        <w:rPr>
          <w:spacing w:val="-22"/>
        </w:rPr>
        <w:t> </w:t>
      </w:r>
      <w:r>
        <w:rPr/>
        <w:t>subsidiaria,</w:t>
      </w:r>
      <w:r>
        <w:rPr>
          <w:spacing w:val="-22"/>
        </w:rPr>
        <w:t> </w:t>
      </w:r>
      <w:r>
        <w:rPr/>
        <w:t>algunos funcionarios estatales parecen estar consientes ya de las deficiencias cometidas,</w:t>
      </w:r>
      <w:r>
        <w:rPr>
          <w:spacing w:val="-12"/>
        </w:rPr>
        <w:t> </w:t>
      </w:r>
      <w:r>
        <w:rPr/>
        <w:t>por</w:t>
      </w:r>
      <w:r>
        <w:rPr>
          <w:spacing w:val="-12"/>
        </w:rPr>
        <w:t> </w:t>
      </w:r>
      <w:r>
        <w:rPr/>
        <w:t>lo</w:t>
      </w:r>
      <w:r>
        <w:rPr>
          <w:spacing w:val="-12"/>
        </w:rPr>
        <w:t> </w:t>
      </w:r>
      <w:r>
        <w:rPr/>
        <w:t>que</w:t>
      </w:r>
      <w:r>
        <w:rPr>
          <w:spacing w:val="-12"/>
        </w:rPr>
        <w:t> </w:t>
      </w:r>
      <w:r>
        <w:rPr/>
        <w:t>manifiestan</w:t>
      </w:r>
      <w:r>
        <w:rPr>
          <w:spacing w:val="-12"/>
        </w:rPr>
        <w:t> </w:t>
      </w:r>
      <w:r>
        <w:rPr/>
        <w:t>que</w:t>
      </w:r>
      <w:r>
        <w:rPr>
          <w:spacing w:val="-12"/>
        </w:rPr>
        <w:t> </w:t>
      </w:r>
      <w:r>
        <w:rPr/>
        <w:t>el</w:t>
      </w:r>
      <w:r>
        <w:rPr>
          <w:spacing w:val="-12"/>
        </w:rPr>
        <w:t> </w:t>
      </w:r>
      <w:r>
        <w:rPr/>
        <w:t>desempeño</w:t>
      </w:r>
      <w:r>
        <w:rPr>
          <w:spacing w:val="-12"/>
        </w:rPr>
        <w:t> </w:t>
      </w:r>
      <w:r>
        <w:rPr/>
        <w:t>técnico-estratégico debe destinarse a convencer (con más técnica que política) tanto en</w:t>
      </w:r>
      <w:r>
        <w:rPr>
          <w:spacing w:val="-26"/>
        </w:rPr>
        <w:t> </w:t>
      </w:r>
      <w:r>
        <w:rPr/>
        <w:t>sus relaciones con la iniciativa privada como en las intergubernamentales, asimismo, se debe aprender a negociar con ventaja lo que el estado posee: tierras baratas y agua subterránea en relativa</w:t>
      </w:r>
      <w:r>
        <w:rPr>
          <w:spacing w:val="-13"/>
        </w:rPr>
        <w:t> </w:t>
      </w:r>
      <w:r>
        <w:rPr/>
        <w:t>abundancia.</w:t>
      </w:r>
    </w:p>
    <w:p>
      <w:pPr>
        <w:pStyle w:val="BodyText"/>
        <w:spacing w:before="7"/>
        <w:rPr>
          <w:sz w:val="22"/>
        </w:rPr>
      </w:pPr>
    </w:p>
    <w:p>
      <w:pPr>
        <w:pStyle w:val="BodyText"/>
        <w:spacing w:line="260" w:lineRule="exact"/>
        <w:ind w:left="117" w:right="107"/>
        <w:jc w:val="both"/>
      </w:pPr>
      <w:r>
        <w:rPr/>
        <w:t>En</w:t>
      </w:r>
      <w:r>
        <w:rPr>
          <w:spacing w:val="-22"/>
        </w:rPr>
        <w:t> </w:t>
      </w:r>
      <w:r>
        <w:rPr/>
        <w:t>concreto,</w:t>
      </w:r>
      <w:r>
        <w:rPr>
          <w:spacing w:val="-23"/>
        </w:rPr>
        <w:t> </w:t>
      </w:r>
      <w:r>
        <w:rPr/>
        <w:t>al</w:t>
      </w:r>
      <w:r>
        <w:rPr>
          <w:spacing w:val="-22"/>
        </w:rPr>
        <w:t> </w:t>
      </w:r>
      <w:r>
        <w:rPr/>
        <w:t>ser</w:t>
      </w:r>
      <w:r>
        <w:rPr>
          <w:spacing w:val="-22"/>
        </w:rPr>
        <w:t> </w:t>
      </w:r>
      <w:r>
        <w:rPr/>
        <w:t>el</w:t>
      </w:r>
      <w:r>
        <w:rPr>
          <w:spacing w:val="-22"/>
        </w:rPr>
        <w:t> </w:t>
      </w:r>
      <w:r>
        <w:rPr/>
        <w:t>desarrollo</w:t>
      </w:r>
      <w:r>
        <w:rPr>
          <w:spacing w:val="-22"/>
        </w:rPr>
        <w:t> </w:t>
      </w:r>
      <w:r>
        <w:rPr/>
        <w:t>regional</w:t>
      </w:r>
      <w:r>
        <w:rPr>
          <w:spacing w:val="-22"/>
        </w:rPr>
        <w:t> </w:t>
      </w:r>
      <w:r>
        <w:rPr/>
        <w:t>el</w:t>
      </w:r>
      <w:r>
        <w:rPr>
          <w:spacing w:val="-22"/>
        </w:rPr>
        <w:t> </w:t>
      </w:r>
      <w:r>
        <w:rPr/>
        <w:t>rubro</w:t>
      </w:r>
      <w:r>
        <w:rPr>
          <w:spacing w:val="-22"/>
        </w:rPr>
        <w:t> </w:t>
      </w:r>
      <w:r>
        <w:rPr/>
        <w:t>más</w:t>
      </w:r>
      <w:r>
        <w:rPr>
          <w:spacing w:val="-23"/>
        </w:rPr>
        <w:t> </w:t>
      </w:r>
      <w:r>
        <w:rPr/>
        <w:t>trascendente</w:t>
      </w:r>
      <w:r>
        <w:rPr>
          <w:spacing w:val="-23"/>
        </w:rPr>
        <w:t> </w:t>
      </w:r>
      <w:r>
        <w:rPr/>
        <w:t>de</w:t>
      </w:r>
      <w:r>
        <w:rPr>
          <w:spacing w:val="-22"/>
        </w:rPr>
        <w:t> </w:t>
      </w:r>
      <w:r>
        <w:rPr/>
        <w:t>la</w:t>
      </w:r>
      <w:r>
        <w:rPr>
          <w:spacing w:val="-22"/>
        </w:rPr>
        <w:t> </w:t>
      </w:r>
      <w:r>
        <w:rPr/>
        <w:t>gestión pública estatal, una propuesta sobre los antecedentes expuestos es compleja  y esa condición se magnifica al considerar la actualización histórica. Por    los antecedentes, la propuesta de asociación estratégica intergubernamental se orientaba a sortear el prejuicio existente en relación a las diferencias       de filiación política de los gobiernos estatal y federal, de tal modo que se apresurara un proceso de conciliación y aprendizaje mutuo para la   </w:t>
      </w:r>
      <w:r>
        <w:rPr>
          <w:spacing w:val="24"/>
        </w:rPr>
        <w:t> </w:t>
      </w:r>
      <w:r>
        <w:rPr/>
        <w:t>correcta</w:t>
      </w:r>
    </w:p>
    <w:p>
      <w:pPr>
        <w:spacing w:after="0" w:line="260" w:lineRule="exact"/>
        <w:jc w:val="both"/>
        <w:sectPr>
          <w:pgSz w:w="9360" w:h="13040"/>
          <w:pgMar w:header="52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2"/>
        <w:jc w:val="both"/>
      </w:pPr>
      <w:r>
        <w:rPr/>
        <w:t>coordinación en un contexto post-burocrático. Sin embargo, considerando que a partir del 1° de diciembre del 2012 los gobiernos estatal y federal vuelven a coincidir en lo referente a su extracción política, la propuesta se reorienta hacia evitar la abstracción total del gobierno federal del ámbito </w:t>
      </w:r>
      <w:r>
        <w:rPr>
          <w:spacing w:val="2"/>
        </w:rPr>
        <w:t>es- </w:t>
      </w:r>
      <w:r>
        <w:rPr/>
        <w:t>tratégico regional, pero en un contexto intergubernamental que contenga     el dominio de criterios políticos y sus intereses inherentes, sentando así un equilibrio racional con respecto a la ética social. Para el logro de lo último,  la asociación estratégica intergubernamental debe contar con un examen permanente de subsidiariedad a cargo de eficientes guardianes subsidiarios. En la oportunidad del nuevo sexenio de gobierno federal el logro práctico de metas</w:t>
      </w:r>
      <w:r>
        <w:rPr>
          <w:spacing w:val="-5"/>
        </w:rPr>
        <w:t> </w:t>
      </w:r>
      <w:r>
        <w:rPr/>
        <w:t>en</w:t>
      </w:r>
      <w:r>
        <w:rPr>
          <w:spacing w:val="-4"/>
        </w:rPr>
        <w:t> </w:t>
      </w:r>
      <w:r>
        <w:rPr/>
        <w:t>los</w:t>
      </w:r>
      <w:r>
        <w:rPr>
          <w:spacing w:val="-4"/>
        </w:rPr>
        <w:t> </w:t>
      </w:r>
      <w:r>
        <w:rPr/>
        <w:t>proyectos</w:t>
      </w:r>
      <w:r>
        <w:rPr>
          <w:spacing w:val="-4"/>
        </w:rPr>
        <w:t> </w:t>
      </w:r>
      <w:r>
        <w:rPr/>
        <w:t>de</w:t>
      </w:r>
      <w:r>
        <w:rPr>
          <w:spacing w:val="-4"/>
        </w:rPr>
        <w:t> </w:t>
      </w:r>
      <w:r>
        <w:rPr/>
        <w:t>desarrollo</w:t>
      </w:r>
      <w:r>
        <w:rPr>
          <w:spacing w:val="-4"/>
        </w:rPr>
        <w:t> </w:t>
      </w:r>
      <w:r>
        <w:rPr/>
        <w:t>es</w:t>
      </w:r>
      <w:r>
        <w:rPr>
          <w:spacing w:val="-4"/>
        </w:rPr>
        <w:t> </w:t>
      </w:r>
      <w:r>
        <w:rPr/>
        <w:t>relativo,</w:t>
      </w:r>
      <w:r>
        <w:rPr>
          <w:spacing w:val="-4"/>
        </w:rPr>
        <w:t> </w:t>
      </w:r>
      <w:r>
        <w:rPr/>
        <w:t>lo</w:t>
      </w:r>
      <w:r>
        <w:rPr>
          <w:spacing w:val="-4"/>
        </w:rPr>
        <w:t> </w:t>
      </w:r>
      <w:r>
        <w:rPr/>
        <w:t>realmente</w:t>
      </w:r>
      <w:r>
        <w:rPr>
          <w:spacing w:val="-4"/>
        </w:rPr>
        <w:t> </w:t>
      </w:r>
      <w:r>
        <w:rPr/>
        <w:t>trascendental</w:t>
      </w:r>
      <w:r>
        <w:rPr>
          <w:spacing w:val="-5"/>
        </w:rPr>
        <w:t> </w:t>
      </w:r>
      <w:r>
        <w:rPr/>
        <w:t>es que la base de la gestión intergubernamental deje de darse sobre identidades políticas,</w:t>
      </w:r>
      <w:r>
        <w:rPr>
          <w:spacing w:val="-9"/>
        </w:rPr>
        <w:t> </w:t>
      </w:r>
      <w:r>
        <w:rPr/>
        <w:t>a</w:t>
      </w:r>
      <w:r>
        <w:rPr>
          <w:spacing w:val="-9"/>
        </w:rPr>
        <w:t> </w:t>
      </w:r>
      <w:r>
        <w:rPr/>
        <w:t>veces</w:t>
      </w:r>
      <w:r>
        <w:rPr>
          <w:spacing w:val="-9"/>
        </w:rPr>
        <w:t> </w:t>
      </w:r>
      <w:r>
        <w:rPr/>
        <w:t>contrarias</w:t>
      </w:r>
      <w:r>
        <w:rPr>
          <w:spacing w:val="-9"/>
        </w:rPr>
        <w:t> </w:t>
      </w:r>
      <w:r>
        <w:rPr/>
        <w:t>y</w:t>
      </w:r>
      <w:r>
        <w:rPr>
          <w:spacing w:val="-9"/>
        </w:rPr>
        <w:t> </w:t>
      </w:r>
      <w:r>
        <w:rPr/>
        <w:t>otras</w:t>
      </w:r>
      <w:r>
        <w:rPr>
          <w:spacing w:val="-9"/>
        </w:rPr>
        <w:t> </w:t>
      </w:r>
      <w:r>
        <w:rPr/>
        <w:t>afines,</w:t>
      </w:r>
      <w:r>
        <w:rPr>
          <w:spacing w:val="-9"/>
        </w:rPr>
        <w:t> </w:t>
      </w:r>
      <w:r>
        <w:rPr/>
        <w:t>para</w:t>
      </w:r>
      <w:r>
        <w:rPr>
          <w:spacing w:val="-9"/>
        </w:rPr>
        <w:t> </w:t>
      </w:r>
      <w:r>
        <w:rPr/>
        <w:t>enmarcarse</w:t>
      </w:r>
      <w:r>
        <w:rPr>
          <w:spacing w:val="-9"/>
        </w:rPr>
        <w:t> </w:t>
      </w:r>
      <w:r>
        <w:rPr/>
        <w:t>en</w:t>
      </w:r>
      <w:r>
        <w:rPr>
          <w:spacing w:val="-9"/>
        </w:rPr>
        <w:t> </w:t>
      </w:r>
      <w:r>
        <w:rPr/>
        <w:t>una</w:t>
      </w:r>
      <w:r>
        <w:rPr>
          <w:spacing w:val="-8"/>
        </w:rPr>
        <w:t> </w:t>
      </w:r>
      <w:r>
        <w:rPr/>
        <w:t>cultura</w:t>
      </w:r>
      <w:r>
        <w:rPr>
          <w:spacing w:val="-9"/>
        </w:rPr>
        <w:t> </w:t>
      </w:r>
      <w:r>
        <w:rPr/>
        <w:t>que proyecte resultados de verdadero valor</w:t>
      </w:r>
      <w:r>
        <w:rPr>
          <w:spacing w:val="-7"/>
        </w:rPr>
        <w:t> </w:t>
      </w:r>
      <w:r>
        <w:rPr/>
        <w:t>social.</w:t>
      </w:r>
    </w:p>
    <w:p>
      <w:pPr>
        <w:pStyle w:val="BodyText"/>
        <w:spacing w:before="7"/>
        <w:rPr>
          <w:sz w:val="22"/>
        </w:rPr>
      </w:pPr>
    </w:p>
    <w:p>
      <w:pPr>
        <w:spacing w:line="260" w:lineRule="exact" w:before="0"/>
        <w:ind w:left="110" w:right="114" w:firstLine="0"/>
        <w:jc w:val="both"/>
        <w:rPr>
          <w:sz w:val="23"/>
        </w:rPr>
      </w:pPr>
      <w:r>
        <w:rPr>
          <w:sz w:val="23"/>
        </w:rPr>
        <w:t>En ese sentido, no queda duda de que la refinería de </w:t>
      </w:r>
      <w:r>
        <w:rPr>
          <w:spacing w:val="-3"/>
          <w:sz w:val="23"/>
        </w:rPr>
        <w:t>Tula </w:t>
      </w:r>
      <w:r>
        <w:rPr>
          <w:sz w:val="23"/>
        </w:rPr>
        <w:t>será concretada, es también</w:t>
      </w:r>
      <w:r>
        <w:rPr>
          <w:spacing w:val="-7"/>
          <w:sz w:val="23"/>
        </w:rPr>
        <w:t> </w:t>
      </w:r>
      <w:r>
        <w:rPr>
          <w:sz w:val="23"/>
        </w:rPr>
        <w:t>previsible</w:t>
      </w:r>
      <w:r>
        <w:rPr>
          <w:spacing w:val="-7"/>
          <w:sz w:val="23"/>
        </w:rPr>
        <w:t> </w:t>
      </w:r>
      <w:r>
        <w:rPr>
          <w:sz w:val="23"/>
        </w:rPr>
        <w:t>que,</w:t>
      </w:r>
      <w:r>
        <w:rPr>
          <w:spacing w:val="-7"/>
          <w:sz w:val="23"/>
        </w:rPr>
        <w:t> </w:t>
      </w:r>
      <w:r>
        <w:rPr>
          <w:sz w:val="23"/>
        </w:rPr>
        <w:t>en</w:t>
      </w:r>
      <w:r>
        <w:rPr>
          <w:spacing w:val="-7"/>
          <w:sz w:val="23"/>
        </w:rPr>
        <w:t> </w:t>
      </w:r>
      <w:r>
        <w:rPr>
          <w:sz w:val="23"/>
        </w:rPr>
        <w:t>cumplimiento</w:t>
      </w:r>
      <w:r>
        <w:rPr>
          <w:spacing w:val="-7"/>
          <w:sz w:val="23"/>
        </w:rPr>
        <w:t> </w:t>
      </w:r>
      <w:r>
        <w:rPr>
          <w:sz w:val="23"/>
        </w:rPr>
        <w:t>del</w:t>
      </w:r>
      <w:r>
        <w:rPr>
          <w:spacing w:val="-7"/>
          <w:sz w:val="23"/>
        </w:rPr>
        <w:t> </w:t>
      </w:r>
      <w:r>
        <w:rPr>
          <w:sz w:val="23"/>
        </w:rPr>
        <w:t>compromiso</w:t>
      </w:r>
      <w:r>
        <w:rPr>
          <w:spacing w:val="-7"/>
          <w:sz w:val="23"/>
        </w:rPr>
        <w:t> </w:t>
      </w:r>
      <w:r>
        <w:rPr>
          <w:sz w:val="23"/>
        </w:rPr>
        <w:t>político</w:t>
      </w:r>
      <w:r>
        <w:rPr>
          <w:spacing w:val="-7"/>
          <w:sz w:val="23"/>
        </w:rPr>
        <w:t> </w:t>
      </w:r>
      <w:r>
        <w:rPr>
          <w:sz w:val="23"/>
        </w:rPr>
        <w:t>respectivo, el</w:t>
      </w:r>
      <w:r>
        <w:rPr>
          <w:spacing w:val="-7"/>
          <w:sz w:val="23"/>
        </w:rPr>
        <w:t> </w:t>
      </w:r>
      <w:r>
        <w:rPr>
          <w:sz w:val="23"/>
        </w:rPr>
        <w:t>aeropuerto</w:t>
      </w:r>
      <w:r>
        <w:rPr>
          <w:spacing w:val="-8"/>
          <w:sz w:val="23"/>
        </w:rPr>
        <w:t> </w:t>
      </w:r>
      <w:r>
        <w:rPr>
          <w:sz w:val="23"/>
        </w:rPr>
        <w:t>del</w:t>
      </w:r>
      <w:r>
        <w:rPr>
          <w:spacing w:val="-7"/>
          <w:sz w:val="23"/>
        </w:rPr>
        <w:t> </w:t>
      </w:r>
      <w:r>
        <w:rPr>
          <w:sz w:val="23"/>
        </w:rPr>
        <w:t>proyecto</w:t>
      </w:r>
      <w:r>
        <w:rPr>
          <w:spacing w:val="-7"/>
          <w:sz w:val="23"/>
        </w:rPr>
        <w:t> </w:t>
      </w:r>
      <w:r>
        <w:rPr>
          <w:spacing w:val="-8"/>
          <w:sz w:val="23"/>
        </w:rPr>
        <w:t>PLATAH</w:t>
      </w:r>
      <w:r>
        <w:rPr>
          <w:spacing w:val="-7"/>
          <w:sz w:val="23"/>
        </w:rPr>
        <w:t> </w:t>
      </w:r>
      <w:r>
        <w:rPr>
          <w:sz w:val="23"/>
        </w:rPr>
        <w:t>sea</w:t>
      </w:r>
      <w:r>
        <w:rPr>
          <w:spacing w:val="-7"/>
          <w:sz w:val="23"/>
        </w:rPr>
        <w:t> </w:t>
      </w:r>
      <w:r>
        <w:rPr>
          <w:sz w:val="23"/>
        </w:rPr>
        <w:t>autorizado.</w:t>
      </w:r>
      <w:r>
        <w:rPr>
          <w:spacing w:val="-8"/>
          <w:sz w:val="23"/>
        </w:rPr>
        <w:t> </w:t>
      </w:r>
      <w:r>
        <w:rPr>
          <w:sz w:val="23"/>
        </w:rPr>
        <w:t>Sin</w:t>
      </w:r>
      <w:r>
        <w:rPr>
          <w:spacing w:val="-7"/>
          <w:sz w:val="23"/>
        </w:rPr>
        <w:t> </w:t>
      </w:r>
      <w:r>
        <w:rPr>
          <w:sz w:val="23"/>
        </w:rPr>
        <w:t>embargo,</w:t>
      </w:r>
      <w:r>
        <w:rPr>
          <w:spacing w:val="-7"/>
          <w:sz w:val="23"/>
        </w:rPr>
        <w:t> </w:t>
      </w:r>
      <w:r>
        <w:rPr>
          <w:sz w:val="23"/>
        </w:rPr>
        <w:t>el</w:t>
      </w:r>
      <w:r>
        <w:rPr>
          <w:spacing w:val="-7"/>
          <w:sz w:val="23"/>
        </w:rPr>
        <w:t> </w:t>
      </w:r>
      <w:r>
        <w:rPr>
          <w:sz w:val="23"/>
        </w:rPr>
        <w:t>principal cuestionamiento</w:t>
      </w:r>
      <w:r>
        <w:rPr>
          <w:spacing w:val="-11"/>
          <w:sz w:val="23"/>
        </w:rPr>
        <w:t> </w:t>
      </w:r>
      <w:r>
        <w:rPr>
          <w:sz w:val="23"/>
        </w:rPr>
        <w:t>debe</w:t>
      </w:r>
      <w:r>
        <w:rPr>
          <w:spacing w:val="-10"/>
          <w:sz w:val="23"/>
        </w:rPr>
        <w:t> </w:t>
      </w:r>
      <w:r>
        <w:rPr>
          <w:sz w:val="23"/>
        </w:rPr>
        <w:t>ser</w:t>
      </w:r>
      <w:r>
        <w:rPr>
          <w:spacing w:val="-10"/>
          <w:sz w:val="23"/>
        </w:rPr>
        <w:t> </w:t>
      </w:r>
      <w:r>
        <w:rPr>
          <w:i/>
          <w:sz w:val="23"/>
        </w:rPr>
        <w:t>¿contribuirán</w:t>
      </w:r>
      <w:r>
        <w:rPr>
          <w:i/>
          <w:spacing w:val="-10"/>
          <w:sz w:val="23"/>
        </w:rPr>
        <w:t> </w:t>
      </w:r>
      <w:r>
        <w:rPr>
          <w:i/>
          <w:sz w:val="23"/>
        </w:rPr>
        <w:t>esas</w:t>
      </w:r>
      <w:r>
        <w:rPr>
          <w:i/>
          <w:spacing w:val="-10"/>
          <w:sz w:val="23"/>
        </w:rPr>
        <w:t> </w:t>
      </w:r>
      <w:r>
        <w:rPr>
          <w:i/>
          <w:sz w:val="23"/>
        </w:rPr>
        <w:t>acciones</w:t>
      </w:r>
      <w:r>
        <w:rPr>
          <w:i/>
          <w:spacing w:val="-10"/>
          <w:sz w:val="23"/>
        </w:rPr>
        <w:t> </w:t>
      </w:r>
      <w:r>
        <w:rPr>
          <w:i/>
          <w:sz w:val="23"/>
        </w:rPr>
        <w:t>a</w:t>
      </w:r>
      <w:r>
        <w:rPr>
          <w:i/>
          <w:spacing w:val="-10"/>
          <w:sz w:val="23"/>
        </w:rPr>
        <w:t> </w:t>
      </w:r>
      <w:r>
        <w:rPr>
          <w:i/>
          <w:sz w:val="23"/>
        </w:rPr>
        <w:t>la</w:t>
      </w:r>
      <w:r>
        <w:rPr>
          <w:i/>
          <w:spacing w:val="-10"/>
          <w:sz w:val="23"/>
        </w:rPr>
        <w:t> </w:t>
      </w:r>
      <w:r>
        <w:rPr>
          <w:i/>
          <w:sz w:val="23"/>
        </w:rPr>
        <w:t>distribución</w:t>
      </w:r>
      <w:r>
        <w:rPr>
          <w:i/>
          <w:spacing w:val="-10"/>
          <w:sz w:val="23"/>
        </w:rPr>
        <w:t> </w:t>
      </w:r>
      <w:r>
        <w:rPr>
          <w:i/>
          <w:sz w:val="23"/>
        </w:rPr>
        <w:t>social </w:t>
      </w:r>
      <w:r>
        <w:rPr>
          <w:i/>
          <w:sz w:val="23"/>
        </w:rPr>
        <w:t>de los beneficios del desarrollo regional?</w:t>
      </w:r>
      <w:r>
        <w:rPr>
          <w:sz w:val="23"/>
        </w:rPr>
        <w:t>, y considerando el desempeño potencial de las futuras mesas de coordinación intergubernamental </w:t>
      </w:r>
      <w:r>
        <w:rPr>
          <w:i/>
          <w:sz w:val="23"/>
        </w:rPr>
        <w:t>¿serán </w:t>
      </w:r>
      <w:r>
        <w:rPr>
          <w:i/>
          <w:sz w:val="23"/>
        </w:rPr>
        <w:t>ellas agencias que traduzcan la inversión público-privada en desarrollo económico</w:t>
      </w:r>
      <w:r>
        <w:rPr>
          <w:i/>
          <w:spacing w:val="-20"/>
          <w:sz w:val="23"/>
        </w:rPr>
        <w:t> </w:t>
      </w:r>
      <w:r>
        <w:rPr>
          <w:i/>
          <w:sz w:val="23"/>
        </w:rPr>
        <w:t>individualizado</w:t>
      </w:r>
      <w:r>
        <w:rPr>
          <w:i/>
          <w:spacing w:val="-21"/>
          <w:sz w:val="23"/>
        </w:rPr>
        <w:t> </w:t>
      </w:r>
      <w:r>
        <w:rPr>
          <w:i/>
          <w:sz w:val="23"/>
        </w:rPr>
        <w:t>como</w:t>
      </w:r>
      <w:r>
        <w:rPr>
          <w:i/>
          <w:spacing w:val="-20"/>
          <w:sz w:val="23"/>
        </w:rPr>
        <w:t> </w:t>
      </w:r>
      <w:r>
        <w:rPr>
          <w:i/>
          <w:sz w:val="23"/>
        </w:rPr>
        <w:t>criterio</w:t>
      </w:r>
      <w:r>
        <w:rPr>
          <w:i/>
          <w:spacing w:val="-20"/>
          <w:sz w:val="23"/>
        </w:rPr>
        <w:t> </w:t>
      </w:r>
      <w:r>
        <w:rPr>
          <w:i/>
          <w:sz w:val="23"/>
        </w:rPr>
        <w:t>supremo</w:t>
      </w:r>
      <w:r>
        <w:rPr>
          <w:i/>
          <w:spacing w:val="-20"/>
          <w:sz w:val="23"/>
        </w:rPr>
        <w:t> </w:t>
      </w:r>
      <w:r>
        <w:rPr>
          <w:i/>
          <w:sz w:val="23"/>
        </w:rPr>
        <w:t>y</w:t>
      </w:r>
      <w:r>
        <w:rPr>
          <w:i/>
          <w:spacing w:val="-20"/>
          <w:sz w:val="23"/>
        </w:rPr>
        <w:t> </w:t>
      </w:r>
      <w:r>
        <w:rPr>
          <w:i/>
          <w:sz w:val="23"/>
        </w:rPr>
        <w:t>antes</w:t>
      </w:r>
      <w:r>
        <w:rPr>
          <w:i/>
          <w:spacing w:val="-20"/>
          <w:sz w:val="23"/>
        </w:rPr>
        <w:t> </w:t>
      </w:r>
      <w:r>
        <w:rPr>
          <w:i/>
          <w:sz w:val="23"/>
        </w:rPr>
        <w:t>de</w:t>
      </w:r>
      <w:r>
        <w:rPr>
          <w:i/>
          <w:spacing w:val="-20"/>
          <w:sz w:val="23"/>
        </w:rPr>
        <w:t> </w:t>
      </w:r>
      <w:r>
        <w:rPr>
          <w:i/>
          <w:sz w:val="23"/>
        </w:rPr>
        <w:t>atender</w:t>
      </w:r>
      <w:r>
        <w:rPr>
          <w:i/>
          <w:spacing w:val="-20"/>
          <w:sz w:val="23"/>
        </w:rPr>
        <w:t> </w:t>
      </w:r>
      <w:r>
        <w:rPr>
          <w:i/>
          <w:sz w:val="23"/>
        </w:rPr>
        <w:t>intereses de clase?</w:t>
      </w:r>
      <w:r>
        <w:rPr>
          <w:sz w:val="23"/>
        </w:rPr>
        <w:t>, y si para realizar el examen permanente de subsidiariedad se integran representantes sociales </w:t>
      </w:r>
      <w:r>
        <w:rPr>
          <w:i/>
          <w:sz w:val="23"/>
        </w:rPr>
        <w:t>¿favorecerán ellos al equilibrio de intereses </w:t>
      </w:r>
      <w:r>
        <w:rPr>
          <w:i/>
          <w:sz w:val="23"/>
        </w:rPr>
        <w:t>o sólo dificultarán la coordinación intergubernamental? </w:t>
      </w:r>
      <w:r>
        <w:rPr>
          <w:sz w:val="23"/>
        </w:rPr>
        <w:t>Si se logra que los ideales del </w:t>
      </w:r>
      <w:r>
        <w:rPr>
          <w:i/>
          <w:sz w:val="23"/>
        </w:rPr>
        <w:t>federalismo subsidiario </w:t>
      </w:r>
      <w:r>
        <w:rPr>
          <w:sz w:val="23"/>
        </w:rPr>
        <w:t>coincidan con los objetivos del</w:t>
      </w:r>
      <w:r>
        <w:rPr>
          <w:spacing w:val="-27"/>
          <w:sz w:val="23"/>
        </w:rPr>
        <w:t> </w:t>
      </w:r>
      <w:r>
        <w:rPr>
          <w:sz w:val="23"/>
        </w:rPr>
        <w:t>desarrollo regional hidalguense, las estrategias que se diseñen deben ser</w:t>
      </w:r>
      <w:r>
        <w:rPr>
          <w:spacing w:val="-23"/>
          <w:sz w:val="23"/>
        </w:rPr>
        <w:t> </w:t>
      </w:r>
      <w:r>
        <w:rPr>
          <w:sz w:val="23"/>
        </w:rPr>
        <w:t>eminentemente de</w:t>
      </w:r>
      <w:r>
        <w:rPr>
          <w:spacing w:val="-7"/>
          <w:sz w:val="23"/>
        </w:rPr>
        <w:t> </w:t>
      </w:r>
      <w:r>
        <w:rPr>
          <w:sz w:val="23"/>
        </w:rPr>
        <w:t>carácter</w:t>
      </w:r>
      <w:r>
        <w:rPr>
          <w:spacing w:val="-7"/>
          <w:sz w:val="23"/>
        </w:rPr>
        <w:t> </w:t>
      </w:r>
      <w:r>
        <w:rPr>
          <w:sz w:val="23"/>
        </w:rPr>
        <w:t>incremental</w:t>
      </w:r>
      <w:r>
        <w:rPr>
          <w:spacing w:val="-7"/>
          <w:sz w:val="23"/>
        </w:rPr>
        <w:t> </w:t>
      </w:r>
      <w:r>
        <w:rPr>
          <w:sz w:val="23"/>
        </w:rPr>
        <w:t>(paso</w:t>
      </w:r>
      <w:r>
        <w:rPr>
          <w:spacing w:val="-7"/>
          <w:sz w:val="23"/>
        </w:rPr>
        <w:t> </w:t>
      </w:r>
      <w:r>
        <w:rPr>
          <w:sz w:val="23"/>
        </w:rPr>
        <w:t>a</w:t>
      </w:r>
      <w:r>
        <w:rPr>
          <w:spacing w:val="-7"/>
          <w:sz w:val="23"/>
        </w:rPr>
        <w:t> </w:t>
      </w:r>
      <w:r>
        <w:rPr>
          <w:sz w:val="23"/>
        </w:rPr>
        <w:t>paso</w:t>
      </w:r>
      <w:r>
        <w:rPr>
          <w:spacing w:val="-7"/>
          <w:sz w:val="23"/>
        </w:rPr>
        <w:t> </w:t>
      </w:r>
      <w:r>
        <w:rPr>
          <w:sz w:val="23"/>
        </w:rPr>
        <w:t>y</w:t>
      </w:r>
      <w:r>
        <w:rPr>
          <w:spacing w:val="-7"/>
          <w:sz w:val="23"/>
        </w:rPr>
        <w:t> </w:t>
      </w:r>
      <w:r>
        <w:rPr>
          <w:sz w:val="23"/>
        </w:rPr>
        <w:t>con</w:t>
      </w:r>
      <w:r>
        <w:rPr>
          <w:spacing w:val="-7"/>
          <w:sz w:val="23"/>
        </w:rPr>
        <w:t> </w:t>
      </w:r>
      <w:r>
        <w:rPr>
          <w:sz w:val="23"/>
        </w:rPr>
        <w:t>ajustes</w:t>
      </w:r>
      <w:r>
        <w:rPr>
          <w:spacing w:val="-7"/>
          <w:sz w:val="23"/>
        </w:rPr>
        <w:t> </w:t>
      </w:r>
      <w:r>
        <w:rPr>
          <w:sz w:val="23"/>
        </w:rPr>
        <w:t>sucesivos).</w:t>
      </w:r>
      <w:r>
        <w:rPr>
          <w:spacing w:val="-6"/>
          <w:sz w:val="23"/>
        </w:rPr>
        <w:t> </w:t>
      </w:r>
      <w:r>
        <w:rPr>
          <w:sz w:val="23"/>
        </w:rPr>
        <w:t>En</w:t>
      </w:r>
      <w:r>
        <w:rPr>
          <w:spacing w:val="-7"/>
          <w:sz w:val="23"/>
        </w:rPr>
        <w:t> </w:t>
      </w:r>
      <w:r>
        <w:rPr>
          <w:sz w:val="23"/>
        </w:rPr>
        <w:t>paralelo</w:t>
      </w:r>
      <w:r>
        <w:rPr>
          <w:spacing w:val="-7"/>
          <w:sz w:val="23"/>
        </w:rPr>
        <w:t> </w:t>
      </w:r>
      <w:r>
        <w:rPr>
          <w:sz w:val="23"/>
        </w:rPr>
        <w:t>a</w:t>
      </w:r>
      <w:r>
        <w:rPr>
          <w:spacing w:val="-7"/>
          <w:sz w:val="23"/>
        </w:rPr>
        <w:t> </w:t>
      </w:r>
      <w:r>
        <w:rPr>
          <w:sz w:val="23"/>
        </w:rPr>
        <w:t>la solución</w:t>
      </w:r>
      <w:r>
        <w:rPr>
          <w:spacing w:val="-20"/>
          <w:sz w:val="23"/>
        </w:rPr>
        <w:t> </w:t>
      </w:r>
      <w:r>
        <w:rPr>
          <w:sz w:val="23"/>
        </w:rPr>
        <w:t>de</w:t>
      </w:r>
      <w:r>
        <w:rPr>
          <w:spacing w:val="-20"/>
          <w:sz w:val="23"/>
        </w:rPr>
        <w:t> </w:t>
      </w:r>
      <w:r>
        <w:rPr>
          <w:sz w:val="23"/>
        </w:rPr>
        <w:t>los</w:t>
      </w:r>
      <w:r>
        <w:rPr>
          <w:spacing w:val="-20"/>
          <w:sz w:val="23"/>
        </w:rPr>
        <w:t> </w:t>
      </w:r>
      <w:r>
        <w:rPr>
          <w:sz w:val="23"/>
        </w:rPr>
        <w:t>aspectos</w:t>
      </w:r>
      <w:r>
        <w:rPr>
          <w:spacing w:val="-21"/>
          <w:sz w:val="23"/>
        </w:rPr>
        <w:t> </w:t>
      </w:r>
      <w:r>
        <w:rPr>
          <w:sz w:val="23"/>
        </w:rPr>
        <w:t>anteriores,</w:t>
      </w:r>
      <w:r>
        <w:rPr>
          <w:spacing w:val="-20"/>
          <w:sz w:val="23"/>
        </w:rPr>
        <w:t> </w:t>
      </w:r>
      <w:r>
        <w:rPr>
          <w:sz w:val="23"/>
        </w:rPr>
        <w:t>es</w:t>
      </w:r>
      <w:r>
        <w:rPr>
          <w:spacing w:val="-20"/>
          <w:sz w:val="23"/>
        </w:rPr>
        <w:t> </w:t>
      </w:r>
      <w:r>
        <w:rPr>
          <w:sz w:val="23"/>
        </w:rPr>
        <w:t>indispensable</w:t>
      </w:r>
      <w:r>
        <w:rPr>
          <w:spacing w:val="-21"/>
          <w:sz w:val="23"/>
        </w:rPr>
        <w:t> </w:t>
      </w:r>
      <w:r>
        <w:rPr>
          <w:sz w:val="23"/>
        </w:rPr>
        <w:t>solventar</w:t>
      </w:r>
      <w:r>
        <w:rPr>
          <w:spacing w:val="-19"/>
          <w:sz w:val="23"/>
        </w:rPr>
        <w:t> </w:t>
      </w:r>
      <w:r>
        <w:rPr>
          <w:sz w:val="23"/>
        </w:rPr>
        <w:t>las</w:t>
      </w:r>
      <w:r>
        <w:rPr>
          <w:spacing w:val="-20"/>
          <w:sz w:val="23"/>
        </w:rPr>
        <w:t> </w:t>
      </w:r>
      <w:r>
        <w:rPr>
          <w:sz w:val="23"/>
        </w:rPr>
        <w:t>carencias</w:t>
      </w:r>
      <w:r>
        <w:rPr>
          <w:spacing w:val="-21"/>
          <w:sz w:val="23"/>
        </w:rPr>
        <w:t> </w:t>
      </w:r>
      <w:r>
        <w:rPr>
          <w:sz w:val="23"/>
        </w:rPr>
        <w:t>del gobierno estatal sobre varios aspectos técnico-administrativos que menguan considerablemente</w:t>
      </w:r>
      <w:r>
        <w:rPr>
          <w:spacing w:val="-7"/>
          <w:sz w:val="23"/>
        </w:rPr>
        <w:t> </w:t>
      </w:r>
      <w:r>
        <w:rPr>
          <w:sz w:val="23"/>
        </w:rPr>
        <w:t>su</w:t>
      </w:r>
      <w:r>
        <w:rPr>
          <w:spacing w:val="-6"/>
          <w:sz w:val="23"/>
        </w:rPr>
        <w:t> </w:t>
      </w:r>
      <w:r>
        <w:rPr>
          <w:sz w:val="23"/>
        </w:rPr>
        <w:t>éxito</w:t>
      </w:r>
      <w:r>
        <w:rPr>
          <w:spacing w:val="-6"/>
          <w:sz w:val="23"/>
        </w:rPr>
        <w:t> </w:t>
      </w:r>
      <w:r>
        <w:rPr>
          <w:sz w:val="23"/>
        </w:rPr>
        <w:t>como</w:t>
      </w:r>
      <w:r>
        <w:rPr>
          <w:spacing w:val="-6"/>
          <w:sz w:val="23"/>
        </w:rPr>
        <w:t> </w:t>
      </w:r>
      <w:r>
        <w:rPr>
          <w:sz w:val="23"/>
        </w:rPr>
        <w:t>rector</w:t>
      </w:r>
      <w:r>
        <w:rPr>
          <w:spacing w:val="-6"/>
          <w:sz w:val="23"/>
        </w:rPr>
        <w:t> </w:t>
      </w:r>
      <w:r>
        <w:rPr>
          <w:sz w:val="23"/>
        </w:rPr>
        <w:t>del</w:t>
      </w:r>
      <w:r>
        <w:rPr>
          <w:spacing w:val="-6"/>
          <w:sz w:val="23"/>
        </w:rPr>
        <w:t> </w:t>
      </w:r>
      <w:r>
        <w:rPr>
          <w:sz w:val="23"/>
        </w:rPr>
        <w:t>desarrollo</w:t>
      </w:r>
      <w:r>
        <w:rPr>
          <w:spacing w:val="-6"/>
          <w:sz w:val="23"/>
        </w:rPr>
        <w:t> </w:t>
      </w:r>
      <w:r>
        <w:rPr>
          <w:sz w:val="23"/>
        </w:rPr>
        <w:t>regional,</w:t>
      </w:r>
      <w:r>
        <w:rPr>
          <w:spacing w:val="-6"/>
          <w:sz w:val="23"/>
        </w:rPr>
        <w:t> </w:t>
      </w:r>
      <w:r>
        <w:rPr>
          <w:sz w:val="23"/>
        </w:rPr>
        <w:t>entre</w:t>
      </w:r>
      <w:r>
        <w:rPr>
          <w:spacing w:val="-6"/>
          <w:sz w:val="23"/>
        </w:rPr>
        <w:t> </w:t>
      </w:r>
      <w:r>
        <w:rPr>
          <w:sz w:val="23"/>
        </w:rPr>
        <w:t>ellas:</w:t>
      </w:r>
      <w:r>
        <w:rPr>
          <w:spacing w:val="-7"/>
          <w:sz w:val="23"/>
        </w:rPr>
        <w:t> </w:t>
      </w:r>
      <w:r>
        <w:rPr>
          <w:sz w:val="23"/>
        </w:rPr>
        <w:t>la planeación integral del desarrollo regional del estado, la adaptación racional de modelos de desarrollo, la mitigación de impactos urbanos, la negociación de intervenciones sectoriales y sociales en los proyectos de desarrollo, la planeación y presupuestación de obras con énfasis en las relativas al sector comunicaciones y transportes, así como la evaluación de proyectos </w:t>
      </w:r>
      <w:r>
        <w:rPr>
          <w:spacing w:val="-8"/>
          <w:sz w:val="23"/>
        </w:rPr>
        <w:t>y, </w:t>
      </w:r>
      <w:r>
        <w:rPr>
          <w:sz w:val="23"/>
        </w:rPr>
        <w:t>en pro de nuestra causa, aquella valoración de orientación</w:t>
      </w:r>
      <w:r>
        <w:rPr>
          <w:spacing w:val="-14"/>
          <w:sz w:val="23"/>
        </w:rPr>
        <w:t> </w:t>
      </w:r>
      <w:r>
        <w:rPr>
          <w:sz w:val="23"/>
        </w:rPr>
        <w:t>subsidiaria.</w:t>
      </w:r>
    </w:p>
    <w:p>
      <w:pPr>
        <w:spacing w:after="0" w:line="260" w:lineRule="exact"/>
        <w:jc w:val="both"/>
        <w:rPr>
          <w:sz w:val="23"/>
        </w:rPr>
        <w:sectPr>
          <w:pgSz w:w="9360" w:h="13040"/>
          <w:pgMar w:header="547" w:footer="515" w:top="720" w:bottom="700" w:left="740" w:right="1300"/>
        </w:sectPr>
      </w:pPr>
    </w:p>
    <w:p>
      <w:pPr>
        <w:pStyle w:val="BodyText"/>
        <w:spacing w:before="8"/>
        <w:rPr>
          <w:sz w:val="29"/>
        </w:rPr>
      </w:pPr>
    </w:p>
    <w:p>
      <w:pPr>
        <w:pStyle w:val="Heading3"/>
        <w:spacing w:before="70"/>
        <w:ind w:left="2132"/>
        <w:jc w:val="left"/>
      </w:pPr>
      <w:r>
        <w:rPr/>
        <w:t>ANEXOS DEL CAPITULO IV</w:t>
      </w:r>
    </w:p>
    <w:p>
      <w:pPr>
        <w:pStyle w:val="BodyText"/>
        <w:rPr>
          <w:b/>
          <w:sz w:val="22"/>
        </w:rPr>
      </w:pPr>
    </w:p>
    <w:p>
      <w:pPr>
        <w:pStyle w:val="BodyText"/>
        <w:spacing w:before="4"/>
        <w:rPr>
          <w:b/>
        </w:rPr>
      </w:pPr>
    </w:p>
    <w:p>
      <w:pPr>
        <w:spacing w:line="260" w:lineRule="exact" w:before="0"/>
        <w:ind w:left="117" w:right="104" w:firstLine="0"/>
        <w:jc w:val="both"/>
        <w:rPr>
          <w:b/>
          <w:sz w:val="23"/>
        </w:rPr>
      </w:pPr>
      <w:r>
        <w:rPr>
          <w:b/>
          <w:sz w:val="23"/>
        </w:rPr>
        <w:t>Obras</w:t>
      </w:r>
      <w:r>
        <w:rPr>
          <w:b/>
          <w:spacing w:val="-22"/>
          <w:sz w:val="23"/>
        </w:rPr>
        <w:t> </w:t>
      </w:r>
      <w:r>
        <w:rPr>
          <w:b/>
          <w:sz w:val="23"/>
        </w:rPr>
        <w:t>y</w:t>
      </w:r>
      <w:r>
        <w:rPr>
          <w:b/>
          <w:spacing w:val="-22"/>
          <w:sz w:val="23"/>
        </w:rPr>
        <w:t> </w:t>
      </w:r>
      <w:r>
        <w:rPr>
          <w:b/>
          <w:sz w:val="23"/>
        </w:rPr>
        <w:t>transferencias</w:t>
      </w:r>
      <w:r>
        <w:rPr>
          <w:b/>
          <w:spacing w:val="-22"/>
          <w:sz w:val="23"/>
        </w:rPr>
        <w:t> </w:t>
      </w:r>
      <w:r>
        <w:rPr>
          <w:b/>
          <w:sz w:val="23"/>
        </w:rPr>
        <w:t>derivadas</w:t>
      </w:r>
      <w:r>
        <w:rPr>
          <w:b/>
          <w:spacing w:val="-21"/>
          <w:sz w:val="23"/>
        </w:rPr>
        <w:t> </w:t>
      </w:r>
      <w:r>
        <w:rPr>
          <w:b/>
          <w:sz w:val="23"/>
        </w:rPr>
        <w:t>del</w:t>
      </w:r>
      <w:r>
        <w:rPr>
          <w:b/>
          <w:spacing w:val="-22"/>
          <w:sz w:val="23"/>
        </w:rPr>
        <w:t> </w:t>
      </w:r>
      <w:r>
        <w:rPr>
          <w:b/>
          <w:sz w:val="23"/>
        </w:rPr>
        <w:t>convenio</w:t>
      </w:r>
      <w:r>
        <w:rPr>
          <w:b/>
          <w:spacing w:val="-22"/>
          <w:sz w:val="23"/>
        </w:rPr>
        <w:t> </w:t>
      </w:r>
      <w:r>
        <w:rPr>
          <w:b/>
          <w:sz w:val="23"/>
        </w:rPr>
        <w:t>de</w:t>
      </w:r>
      <w:r>
        <w:rPr>
          <w:b/>
          <w:spacing w:val="-22"/>
          <w:sz w:val="23"/>
        </w:rPr>
        <w:t> </w:t>
      </w:r>
      <w:r>
        <w:rPr>
          <w:b/>
          <w:sz w:val="23"/>
        </w:rPr>
        <w:t>coordinación</w:t>
      </w:r>
      <w:r>
        <w:rPr>
          <w:b/>
          <w:spacing w:val="-22"/>
          <w:sz w:val="23"/>
        </w:rPr>
        <w:t> </w:t>
      </w:r>
      <w:r>
        <w:rPr>
          <w:b/>
          <w:sz w:val="23"/>
        </w:rPr>
        <w:t>en</w:t>
      </w:r>
      <w:r>
        <w:rPr>
          <w:b/>
          <w:spacing w:val="-22"/>
          <w:sz w:val="23"/>
        </w:rPr>
        <w:t> </w:t>
      </w:r>
      <w:r>
        <w:rPr>
          <w:b/>
          <w:sz w:val="23"/>
        </w:rPr>
        <w:t>materia de reasignación de recursos del año 2008, entre el Ejecutivo Federal, por conducto</w:t>
      </w:r>
      <w:r>
        <w:rPr>
          <w:b/>
          <w:spacing w:val="-19"/>
          <w:sz w:val="23"/>
        </w:rPr>
        <w:t> </w:t>
      </w:r>
      <w:r>
        <w:rPr>
          <w:b/>
          <w:sz w:val="23"/>
        </w:rPr>
        <w:t>de</w:t>
      </w:r>
      <w:r>
        <w:rPr>
          <w:b/>
          <w:spacing w:val="-18"/>
          <w:sz w:val="23"/>
        </w:rPr>
        <w:t> </w:t>
      </w:r>
      <w:r>
        <w:rPr>
          <w:b/>
          <w:sz w:val="23"/>
        </w:rPr>
        <w:t>la</w:t>
      </w:r>
      <w:r>
        <w:rPr>
          <w:b/>
          <w:spacing w:val="-18"/>
          <w:sz w:val="23"/>
        </w:rPr>
        <w:t> </w:t>
      </w:r>
      <w:r>
        <w:rPr>
          <w:b/>
          <w:sz w:val="23"/>
        </w:rPr>
        <w:t>Secretaría</w:t>
      </w:r>
      <w:r>
        <w:rPr>
          <w:b/>
          <w:spacing w:val="-19"/>
          <w:sz w:val="23"/>
        </w:rPr>
        <w:t> </w:t>
      </w:r>
      <w:r>
        <w:rPr>
          <w:b/>
          <w:sz w:val="23"/>
        </w:rPr>
        <w:t>de</w:t>
      </w:r>
      <w:r>
        <w:rPr>
          <w:b/>
          <w:spacing w:val="-18"/>
          <w:sz w:val="23"/>
        </w:rPr>
        <w:t> </w:t>
      </w:r>
      <w:r>
        <w:rPr>
          <w:b/>
          <w:sz w:val="23"/>
        </w:rPr>
        <w:t>Comunicaciones</w:t>
      </w:r>
      <w:r>
        <w:rPr>
          <w:b/>
          <w:spacing w:val="-17"/>
          <w:sz w:val="23"/>
        </w:rPr>
        <w:t> </w:t>
      </w:r>
      <w:r>
        <w:rPr>
          <w:b/>
          <w:sz w:val="23"/>
        </w:rPr>
        <w:t>y</w:t>
      </w:r>
      <w:r>
        <w:rPr>
          <w:b/>
          <w:spacing w:val="-22"/>
          <w:sz w:val="23"/>
        </w:rPr>
        <w:t> </w:t>
      </w:r>
      <w:r>
        <w:rPr>
          <w:b/>
          <w:sz w:val="23"/>
        </w:rPr>
        <w:t>Transportes,</w:t>
      </w:r>
      <w:r>
        <w:rPr>
          <w:b/>
          <w:spacing w:val="-19"/>
          <w:sz w:val="23"/>
        </w:rPr>
        <w:t> </w:t>
      </w:r>
      <w:r>
        <w:rPr>
          <w:b/>
          <w:sz w:val="23"/>
        </w:rPr>
        <w:t>y</w:t>
      </w:r>
      <w:r>
        <w:rPr>
          <w:b/>
          <w:spacing w:val="-18"/>
          <w:sz w:val="23"/>
        </w:rPr>
        <w:t> </w:t>
      </w:r>
      <w:r>
        <w:rPr>
          <w:b/>
          <w:sz w:val="23"/>
        </w:rPr>
        <w:t>el</w:t>
      </w:r>
      <w:r>
        <w:rPr>
          <w:b/>
          <w:spacing w:val="-19"/>
          <w:sz w:val="23"/>
        </w:rPr>
        <w:t> </w:t>
      </w:r>
      <w:r>
        <w:rPr>
          <w:b/>
          <w:sz w:val="23"/>
        </w:rPr>
        <w:t>gobierno del Estado de</w:t>
      </w:r>
      <w:r>
        <w:rPr>
          <w:b/>
          <w:spacing w:val="-4"/>
          <w:sz w:val="23"/>
        </w:rPr>
        <w:t> </w:t>
      </w:r>
      <w:r>
        <w:rPr>
          <w:b/>
          <w:sz w:val="23"/>
        </w:rPr>
        <w:t>Hidalgo.</w:t>
      </w:r>
    </w:p>
    <w:p>
      <w:pPr>
        <w:pStyle w:val="BodyText"/>
        <w:spacing w:after="1"/>
        <w:rPr>
          <w:b/>
          <w:sz w:val="2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8"/>
        <w:gridCol w:w="3538"/>
      </w:tblGrid>
      <w:tr>
        <w:trPr>
          <w:trHeight w:val="451" w:hRule="exact"/>
        </w:trPr>
        <w:tc>
          <w:tcPr>
            <w:tcW w:w="3538" w:type="dxa"/>
          </w:tcPr>
          <w:p>
            <w:pPr>
              <w:pStyle w:val="TableParagraph"/>
              <w:spacing w:before="113"/>
              <w:ind w:left="1481" w:right="1481"/>
              <w:jc w:val="center"/>
              <w:rPr>
                <w:b/>
                <w:sz w:val="18"/>
              </w:rPr>
            </w:pPr>
            <w:r>
              <w:rPr>
                <w:b/>
                <w:sz w:val="18"/>
              </w:rPr>
              <w:t>Obras.</w:t>
            </w:r>
          </w:p>
        </w:tc>
        <w:tc>
          <w:tcPr>
            <w:tcW w:w="3538" w:type="dxa"/>
          </w:tcPr>
          <w:p>
            <w:pPr>
              <w:pStyle w:val="TableParagraph"/>
              <w:spacing w:line="249" w:lineRule="auto" w:before="5"/>
              <w:ind w:left="721" w:right="79" w:hanging="117"/>
              <w:rPr>
                <w:b/>
                <w:sz w:val="18"/>
              </w:rPr>
            </w:pPr>
            <w:r>
              <w:rPr>
                <w:b/>
                <w:sz w:val="18"/>
              </w:rPr>
              <w:t>Transferencias al gobierno del Estado de Hidalgo en 2008.</w:t>
            </w:r>
          </w:p>
        </w:tc>
      </w:tr>
      <w:tr>
        <w:trPr>
          <w:trHeight w:val="670" w:hRule="exact"/>
        </w:trPr>
        <w:tc>
          <w:tcPr>
            <w:tcW w:w="3538" w:type="dxa"/>
          </w:tcPr>
          <w:p>
            <w:pPr>
              <w:pStyle w:val="TableParagraph"/>
              <w:spacing w:before="8"/>
              <w:ind w:left="51" w:right="35"/>
              <w:rPr>
                <w:sz w:val="18"/>
              </w:rPr>
            </w:pPr>
            <w:r>
              <w:rPr>
                <w:sz w:val="18"/>
              </w:rPr>
              <w:t>Paso a desnivel en la carretera federal Actopan</w:t>
            </w:r>
          </w:p>
          <w:p>
            <w:pPr>
              <w:pStyle w:val="TableParagraph"/>
              <w:spacing w:line="249" w:lineRule="auto"/>
              <w:ind w:left="51" w:right="35"/>
              <w:rPr>
                <w:sz w:val="18"/>
              </w:rPr>
            </w:pPr>
            <w:r>
              <w:rPr>
                <w:sz w:val="18"/>
              </w:rPr>
              <w:t>–</w:t>
            </w:r>
            <w:r>
              <w:rPr>
                <w:spacing w:val="-10"/>
                <w:sz w:val="18"/>
              </w:rPr>
              <w:t> </w:t>
            </w:r>
            <w:r>
              <w:rPr>
                <w:sz w:val="18"/>
              </w:rPr>
              <w:t>Ixmiquilpan,</w:t>
            </w:r>
            <w:r>
              <w:rPr>
                <w:spacing w:val="-10"/>
                <w:sz w:val="18"/>
              </w:rPr>
              <w:t> </w:t>
            </w:r>
            <w:r>
              <w:rPr>
                <w:sz w:val="18"/>
              </w:rPr>
              <w:t>entronque</w:t>
            </w:r>
            <w:r>
              <w:rPr>
                <w:spacing w:val="-11"/>
                <w:sz w:val="18"/>
              </w:rPr>
              <w:t> </w:t>
            </w:r>
            <w:r>
              <w:rPr>
                <w:sz w:val="18"/>
              </w:rPr>
              <w:t>con</w:t>
            </w:r>
            <w:r>
              <w:rPr>
                <w:spacing w:val="-10"/>
                <w:sz w:val="18"/>
              </w:rPr>
              <w:t> </w:t>
            </w:r>
            <w:r>
              <w:rPr>
                <w:sz w:val="18"/>
              </w:rPr>
              <w:t>la</w:t>
            </w:r>
            <w:r>
              <w:rPr>
                <w:spacing w:val="-10"/>
                <w:sz w:val="18"/>
              </w:rPr>
              <w:t> </w:t>
            </w:r>
            <w:r>
              <w:rPr>
                <w:sz w:val="18"/>
              </w:rPr>
              <w:t>carretera</w:t>
            </w:r>
            <w:r>
              <w:rPr>
                <w:spacing w:val="-11"/>
                <w:sz w:val="18"/>
              </w:rPr>
              <w:t> </w:t>
            </w:r>
            <w:r>
              <w:rPr>
                <w:sz w:val="18"/>
              </w:rPr>
              <w:t>estatal Actopan –</w:t>
            </w:r>
            <w:r>
              <w:rPr>
                <w:spacing w:val="-17"/>
                <w:sz w:val="18"/>
              </w:rPr>
              <w:t> </w:t>
            </w:r>
            <w:r>
              <w:rPr>
                <w:sz w:val="18"/>
              </w:rPr>
              <w:t>Tula.</w:t>
            </w:r>
          </w:p>
        </w:tc>
        <w:tc>
          <w:tcPr>
            <w:tcW w:w="3538" w:type="dxa"/>
          </w:tcPr>
          <w:p>
            <w:pPr>
              <w:pStyle w:val="TableParagraph"/>
              <w:spacing w:before="8"/>
              <w:ind w:left="51" w:right="79"/>
              <w:rPr>
                <w:sz w:val="18"/>
              </w:rPr>
            </w:pPr>
            <w:r>
              <w:rPr>
                <w:sz w:val="18"/>
              </w:rPr>
              <w:t>$ 20 000 000.00</w:t>
            </w:r>
          </w:p>
        </w:tc>
      </w:tr>
      <w:tr>
        <w:trPr>
          <w:trHeight w:val="454" w:hRule="exact"/>
        </w:trPr>
        <w:tc>
          <w:tcPr>
            <w:tcW w:w="3538" w:type="dxa"/>
          </w:tcPr>
          <w:p>
            <w:pPr>
              <w:pStyle w:val="TableParagraph"/>
              <w:spacing w:line="249" w:lineRule="auto" w:before="8"/>
              <w:ind w:left="51" w:right="4"/>
              <w:rPr>
                <w:sz w:val="18"/>
              </w:rPr>
            </w:pPr>
            <w:r>
              <w:rPr>
                <w:sz w:val="18"/>
              </w:rPr>
              <w:t>Carretera federal Pachuca-Ciudad Valles, tramo Ixmiquilpan – Portezuelo.</w:t>
            </w:r>
          </w:p>
        </w:tc>
        <w:tc>
          <w:tcPr>
            <w:tcW w:w="3538" w:type="dxa"/>
          </w:tcPr>
          <w:p>
            <w:pPr>
              <w:pStyle w:val="TableParagraph"/>
              <w:spacing w:before="8"/>
              <w:ind w:left="51" w:right="79"/>
              <w:rPr>
                <w:sz w:val="18"/>
              </w:rPr>
            </w:pPr>
            <w:r>
              <w:rPr>
                <w:sz w:val="18"/>
              </w:rPr>
              <w:t>$ 15 000 000.00</w:t>
            </w:r>
          </w:p>
        </w:tc>
      </w:tr>
      <w:tr>
        <w:trPr>
          <w:trHeight w:val="670" w:hRule="exact"/>
        </w:trPr>
        <w:tc>
          <w:tcPr>
            <w:tcW w:w="3538" w:type="dxa"/>
          </w:tcPr>
          <w:p>
            <w:pPr>
              <w:pStyle w:val="TableParagraph"/>
              <w:spacing w:before="8"/>
              <w:ind w:left="51" w:right="79"/>
              <w:rPr>
                <w:sz w:val="18"/>
              </w:rPr>
            </w:pPr>
            <w:r>
              <w:rPr>
                <w:sz w:val="18"/>
              </w:rPr>
              <w:t>Actopan - Atotonilco (10+000 – 15+000).</w:t>
            </w:r>
          </w:p>
        </w:tc>
        <w:tc>
          <w:tcPr>
            <w:tcW w:w="3538" w:type="dxa"/>
          </w:tcPr>
          <w:p>
            <w:pPr>
              <w:pStyle w:val="TableParagraph"/>
              <w:spacing w:before="8"/>
              <w:ind w:left="51" w:right="79"/>
              <w:rPr>
                <w:sz w:val="18"/>
              </w:rPr>
            </w:pPr>
            <w:r>
              <w:rPr>
                <w:sz w:val="18"/>
              </w:rPr>
              <w:t>$ 50 000 000.</w:t>
            </w:r>
          </w:p>
          <w:p>
            <w:pPr>
              <w:pStyle w:val="TableParagraph"/>
              <w:ind w:left="51" w:right="35"/>
              <w:rPr>
                <w:sz w:val="18"/>
              </w:rPr>
            </w:pPr>
            <w:r>
              <w:rPr>
                <w:sz w:val="18"/>
              </w:rPr>
              <w:t>Asignación  adicional  21  de  octubre  de 2008</w:t>
            </w:r>
          </w:p>
          <w:p>
            <w:pPr>
              <w:pStyle w:val="TableParagraph"/>
              <w:ind w:left="51" w:right="79"/>
              <w:rPr>
                <w:sz w:val="18"/>
              </w:rPr>
            </w:pPr>
            <w:r>
              <w:rPr>
                <w:sz w:val="18"/>
              </w:rPr>
              <w:t>$ 20 000 000.</w:t>
            </w:r>
          </w:p>
        </w:tc>
      </w:tr>
      <w:tr>
        <w:trPr>
          <w:trHeight w:val="670" w:hRule="exact"/>
        </w:trPr>
        <w:tc>
          <w:tcPr>
            <w:tcW w:w="3538" w:type="dxa"/>
          </w:tcPr>
          <w:p>
            <w:pPr>
              <w:pStyle w:val="TableParagraph"/>
              <w:spacing w:before="8"/>
              <w:ind w:left="51" w:right="79"/>
              <w:rPr>
                <w:sz w:val="18"/>
              </w:rPr>
            </w:pPr>
            <w:r>
              <w:rPr>
                <w:sz w:val="18"/>
              </w:rPr>
              <w:t>Progreso – El Tephe.</w:t>
            </w:r>
          </w:p>
        </w:tc>
        <w:tc>
          <w:tcPr>
            <w:tcW w:w="3538" w:type="dxa"/>
          </w:tcPr>
          <w:p>
            <w:pPr>
              <w:pStyle w:val="TableParagraph"/>
              <w:spacing w:before="8"/>
              <w:ind w:left="51" w:right="79"/>
              <w:rPr>
                <w:sz w:val="18"/>
              </w:rPr>
            </w:pPr>
            <w:r>
              <w:rPr>
                <w:sz w:val="18"/>
              </w:rPr>
              <w:t>$ 20 000 000.</w:t>
            </w:r>
          </w:p>
          <w:p>
            <w:pPr>
              <w:pStyle w:val="TableParagraph"/>
              <w:ind w:left="51" w:right="35"/>
              <w:rPr>
                <w:sz w:val="18"/>
              </w:rPr>
            </w:pPr>
            <w:r>
              <w:rPr>
                <w:sz w:val="18"/>
              </w:rPr>
              <w:t>Asignación  adicional  21  de  octubre  de 2008</w:t>
            </w:r>
          </w:p>
          <w:p>
            <w:pPr>
              <w:pStyle w:val="TableParagraph"/>
              <w:ind w:left="51" w:right="79"/>
              <w:rPr>
                <w:sz w:val="18"/>
              </w:rPr>
            </w:pPr>
            <w:r>
              <w:rPr>
                <w:sz w:val="18"/>
              </w:rPr>
              <w:t>$ 10 000 000.</w:t>
            </w:r>
          </w:p>
        </w:tc>
      </w:tr>
      <w:tr>
        <w:trPr>
          <w:trHeight w:val="238" w:hRule="exact"/>
        </w:trPr>
        <w:tc>
          <w:tcPr>
            <w:tcW w:w="3538" w:type="dxa"/>
          </w:tcPr>
          <w:p>
            <w:pPr>
              <w:pStyle w:val="TableParagraph"/>
              <w:spacing w:before="8"/>
              <w:ind w:left="51" w:right="79"/>
              <w:rPr>
                <w:sz w:val="18"/>
              </w:rPr>
            </w:pPr>
            <w:r>
              <w:rPr>
                <w:sz w:val="18"/>
              </w:rPr>
              <w:t>Zacualtipan – Zoyatla.</w:t>
            </w:r>
          </w:p>
        </w:tc>
        <w:tc>
          <w:tcPr>
            <w:tcW w:w="3538" w:type="dxa"/>
          </w:tcPr>
          <w:p>
            <w:pPr>
              <w:pStyle w:val="TableParagraph"/>
              <w:spacing w:before="8"/>
              <w:ind w:left="51" w:right="79"/>
              <w:rPr>
                <w:sz w:val="18"/>
              </w:rPr>
            </w:pPr>
            <w:r>
              <w:rPr>
                <w:sz w:val="18"/>
              </w:rPr>
              <w:t>$ 10 000 000.00</w:t>
            </w:r>
          </w:p>
        </w:tc>
      </w:tr>
      <w:tr>
        <w:trPr>
          <w:trHeight w:val="238" w:hRule="exact"/>
        </w:trPr>
        <w:tc>
          <w:tcPr>
            <w:tcW w:w="3538" w:type="dxa"/>
          </w:tcPr>
          <w:p>
            <w:pPr>
              <w:pStyle w:val="TableParagraph"/>
              <w:spacing w:before="8"/>
              <w:ind w:left="51" w:right="79"/>
              <w:rPr>
                <w:sz w:val="18"/>
              </w:rPr>
            </w:pPr>
            <w:r>
              <w:rPr>
                <w:sz w:val="18"/>
              </w:rPr>
              <w:t>Maravillas – San Sebastián de Juárez.</w:t>
            </w:r>
          </w:p>
        </w:tc>
        <w:tc>
          <w:tcPr>
            <w:tcW w:w="3538" w:type="dxa"/>
          </w:tcPr>
          <w:p>
            <w:pPr>
              <w:pStyle w:val="TableParagraph"/>
              <w:spacing w:before="8"/>
              <w:ind w:left="51" w:right="79"/>
              <w:rPr>
                <w:sz w:val="18"/>
              </w:rPr>
            </w:pPr>
            <w:r>
              <w:rPr>
                <w:sz w:val="18"/>
              </w:rPr>
              <w:t>$ 14 000 000.00</w:t>
            </w:r>
          </w:p>
        </w:tc>
      </w:tr>
      <w:tr>
        <w:trPr>
          <w:trHeight w:val="670" w:hRule="exact"/>
        </w:trPr>
        <w:tc>
          <w:tcPr>
            <w:tcW w:w="3538" w:type="dxa"/>
          </w:tcPr>
          <w:p>
            <w:pPr>
              <w:pStyle w:val="TableParagraph"/>
              <w:spacing w:line="249" w:lineRule="auto" w:before="8"/>
              <w:ind w:left="51" w:right="49"/>
              <w:jc w:val="both"/>
              <w:rPr>
                <w:sz w:val="18"/>
              </w:rPr>
            </w:pPr>
            <w:r>
              <w:rPr>
                <w:sz w:val="18"/>
              </w:rPr>
              <w:t>Paso</w:t>
            </w:r>
            <w:r>
              <w:rPr>
                <w:spacing w:val="-6"/>
                <w:sz w:val="18"/>
              </w:rPr>
              <w:t> </w:t>
            </w:r>
            <w:r>
              <w:rPr>
                <w:sz w:val="18"/>
              </w:rPr>
              <w:t>a</w:t>
            </w:r>
            <w:r>
              <w:rPr>
                <w:spacing w:val="-7"/>
                <w:sz w:val="18"/>
              </w:rPr>
              <w:t> </w:t>
            </w:r>
            <w:r>
              <w:rPr>
                <w:sz w:val="18"/>
              </w:rPr>
              <w:t>desnivel</w:t>
            </w:r>
            <w:r>
              <w:rPr>
                <w:spacing w:val="-7"/>
                <w:sz w:val="18"/>
              </w:rPr>
              <w:t> </w:t>
            </w:r>
            <w:r>
              <w:rPr>
                <w:sz w:val="18"/>
              </w:rPr>
              <w:t>de</w:t>
            </w:r>
            <w:r>
              <w:rPr>
                <w:spacing w:val="-7"/>
                <w:sz w:val="18"/>
              </w:rPr>
              <w:t> </w:t>
            </w:r>
            <w:r>
              <w:rPr>
                <w:sz w:val="18"/>
              </w:rPr>
              <w:t>la</w:t>
            </w:r>
            <w:r>
              <w:rPr>
                <w:spacing w:val="-7"/>
                <w:sz w:val="18"/>
              </w:rPr>
              <w:t> </w:t>
            </w:r>
            <w:r>
              <w:rPr>
                <w:sz w:val="18"/>
              </w:rPr>
              <w:t>carretera</w:t>
            </w:r>
            <w:r>
              <w:rPr>
                <w:spacing w:val="-7"/>
                <w:sz w:val="18"/>
              </w:rPr>
              <w:t> </w:t>
            </w:r>
            <w:r>
              <w:rPr>
                <w:sz w:val="18"/>
              </w:rPr>
              <w:t>estatal</w:t>
            </w:r>
            <w:r>
              <w:rPr>
                <w:spacing w:val="-7"/>
                <w:sz w:val="18"/>
              </w:rPr>
              <w:t> </w:t>
            </w:r>
            <w:r>
              <w:rPr>
                <w:sz w:val="18"/>
              </w:rPr>
              <w:t>Pachuca</w:t>
            </w:r>
            <w:r>
              <w:rPr>
                <w:spacing w:val="-6"/>
                <w:sz w:val="18"/>
              </w:rPr>
              <w:t> </w:t>
            </w:r>
            <w:r>
              <w:rPr>
                <w:sz w:val="18"/>
              </w:rPr>
              <w:t>– Tulancingo,</w:t>
            </w:r>
            <w:r>
              <w:rPr>
                <w:spacing w:val="-11"/>
                <w:sz w:val="18"/>
              </w:rPr>
              <w:t> </w:t>
            </w:r>
            <w:r>
              <w:rPr>
                <w:sz w:val="18"/>
              </w:rPr>
              <w:t>entronque</w:t>
            </w:r>
            <w:r>
              <w:rPr>
                <w:spacing w:val="-11"/>
                <w:sz w:val="18"/>
              </w:rPr>
              <w:t> </w:t>
            </w:r>
            <w:r>
              <w:rPr>
                <w:sz w:val="18"/>
              </w:rPr>
              <w:t>carretero</w:t>
            </w:r>
            <w:r>
              <w:rPr>
                <w:spacing w:val="-11"/>
                <w:sz w:val="18"/>
              </w:rPr>
              <w:t> </w:t>
            </w:r>
            <w:r>
              <w:rPr>
                <w:sz w:val="18"/>
              </w:rPr>
              <w:t>Pachuca</w:t>
            </w:r>
            <w:r>
              <w:rPr>
                <w:spacing w:val="-11"/>
                <w:sz w:val="18"/>
              </w:rPr>
              <w:t> </w:t>
            </w:r>
            <w:r>
              <w:rPr>
                <w:sz w:val="18"/>
              </w:rPr>
              <w:t>–</w:t>
            </w:r>
            <w:r>
              <w:rPr>
                <w:spacing w:val="-11"/>
                <w:sz w:val="18"/>
              </w:rPr>
              <w:t> </w:t>
            </w:r>
            <w:r>
              <w:rPr>
                <w:sz w:val="18"/>
              </w:rPr>
              <w:t>Real del</w:t>
            </w:r>
            <w:r>
              <w:rPr>
                <w:spacing w:val="-6"/>
                <w:sz w:val="18"/>
              </w:rPr>
              <w:t> </w:t>
            </w:r>
            <w:r>
              <w:rPr>
                <w:sz w:val="18"/>
              </w:rPr>
              <w:t>Monte.</w:t>
            </w:r>
          </w:p>
        </w:tc>
        <w:tc>
          <w:tcPr>
            <w:tcW w:w="3538" w:type="dxa"/>
          </w:tcPr>
          <w:p>
            <w:pPr>
              <w:pStyle w:val="TableParagraph"/>
              <w:spacing w:before="8"/>
              <w:ind w:left="51" w:right="79"/>
              <w:rPr>
                <w:sz w:val="18"/>
              </w:rPr>
            </w:pPr>
            <w:r>
              <w:rPr>
                <w:sz w:val="18"/>
              </w:rPr>
              <w:t>$ 20 000 000.</w:t>
            </w:r>
          </w:p>
          <w:p>
            <w:pPr>
              <w:pStyle w:val="TableParagraph"/>
              <w:ind w:left="51" w:right="79"/>
              <w:rPr>
                <w:sz w:val="18"/>
              </w:rPr>
            </w:pPr>
            <w:r>
              <w:rPr>
                <w:sz w:val="18"/>
              </w:rPr>
              <w:t>El 3 de diciembre de 2008 fue reconvenida a</w:t>
            </w:r>
          </w:p>
          <w:p>
            <w:pPr>
              <w:pStyle w:val="TableParagraph"/>
              <w:ind w:left="51" w:right="79"/>
              <w:rPr>
                <w:sz w:val="18"/>
              </w:rPr>
            </w:pPr>
            <w:r>
              <w:rPr>
                <w:sz w:val="18"/>
              </w:rPr>
              <w:t>$ 40 000 000.00</w:t>
            </w:r>
          </w:p>
        </w:tc>
      </w:tr>
      <w:tr>
        <w:trPr>
          <w:trHeight w:val="454" w:hRule="exact"/>
        </w:trPr>
        <w:tc>
          <w:tcPr>
            <w:tcW w:w="3538" w:type="dxa"/>
          </w:tcPr>
          <w:p>
            <w:pPr>
              <w:pStyle w:val="TableParagraph"/>
              <w:spacing w:line="249" w:lineRule="auto" w:before="8"/>
              <w:ind w:left="51" w:right="79"/>
              <w:rPr>
                <w:sz w:val="18"/>
              </w:rPr>
            </w:pPr>
            <w:r>
              <w:rPr>
                <w:sz w:val="18"/>
              </w:rPr>
              <w:t>Juárez Hidalgo – Tlahuelilpa, tramo Acatitla – Iztlacoyotla</w:t>
            </w:r>
          </w:p>
        </w:tc>
        <w:tc>
          <w:tcPr>
            <w:tcW w:w="3538" w:type="dxa"/>
          </w:tcPr>
          <w:p>
            <w:pPr>
              <w:pStyle w:val="TableParagraph"/>
              <w:spacing w:before="8"/>
              <w:ind w:left="51" w:right="79"/>
              <w:rPr>
                <w:sz w:val="18"/>
              </w:rPr>
            </w:pPr>
            <w:r>
              <w:rPr>
                <w:sz w:val="18"/>
              </w:rPr>
              <w:t>$ 20 000 000.00</w:t>
            </w:r>
          </w:p>
        </w:tc>
      </w:tr>
      <w:tr>
        <w:trPr>
          <w:trHeight w:val="670" w:hRule="exact"/>
        </w:trPr>
        <w:tc>
          <w:tcPr>
            <w:tcW w:w="3538" w:type="dxa"/>
          </w:tcPr>
          <w:p>
            <w:pPr>
              <w:pStyle w:val="TableParagraph"/>
              <w:spacing w:before="8"/>
              <w:ind w:left="51" w:right="79"/>
              <w:rPr>
                <w:sz w:val="18"/>
              </w:rPr>
            </w:pPr>
            <w:r>
              <w:rPr>
                <w:sz w:val="18"/>
              </w:rPr>
              <w:t>Libramiento Tizayuca.</w:t>
            </w:r>
          </w:p>
        </w:tc>
        <w:tc>
          <w:tcPr>
            <w:tcW w:w="3538" w:type="dxa"/>
          </w:tcPr>
          <w:p>
            <w:pPr>
              <w:pStyle w:val="TableParagraph"/>
              <w:spacing w:before="8"/>
              <w:ind w:left="51" w:right="79"/>
              <w:rPr>
                <w:sz w:val="18"/>
              </w:rPr>
            </w:pPr>
            <w:r>
              <w:rPr>
                <w:sz w:val="18"/>
              </w:rPr>
              <w:t>$ 15 000 000.00</w:t>
            </w:r>
          </w:p>
          <w:p>
            <w:pPr>
              <w:pStyle w:val="TableParagraph"/>
              <w:ind w:left="51" w:right="35"/>
              <w:rPr>
                <w:sz w:val="18"/>
              </w:rPr>
            </w:pPr>
            <w:r>
              <w:rPr>
                <w:sz w:val="18"/>
              </w:rPr>
              <w:t>Asignación  adicional  21  de  octubre  de 2008</w:t>
            </w:r>
          </w:p>
          <w:p>
            <w:pPr>
              <w:pStyle w:val="TableParagraph"/>
              <w:ind w:left="51" w:right="79"/>
              <w:rPr>
                <w:sz w:val="18"/>
              </w:rPr>
            </w:pPr>
            <w:r>
              <w:rPr>
                <w:sz w:val="18"/>
              </w:rPr>
              <w:t>$ 2 500 000.00</w:t>
            </w:r>
          </w:p>
        </w:tc>
      </w:tr>
      <w:tr>
        <w:trPr>
          <w:trHeight w:val="670" w:hRule="exact"/>
        </w:trPr>
        <w:tc>
          <w:tcPr>
            <w:tcW w:w="3538" w:type="dxa"/>
          </w:tcPr>
          <w:p>
            <w:pPr>
              <w:pStyle w:val="TableParagraph"/>
              <w:spacing w:line="249" w:lineRule="auto" w:before="8"/>
              <w:ind w:left="51" w:right="49"/>
              <w:jc w:val="both"/>
              <w:rPr>
                <w:sz w:val="18"/>
              </w:rPr>
            </w:pPr>
            <w:r>
              <w:rPr>
                <w:sz w:val="18"/>
              </w:rPr>
              <w:t>Entronque carretero federal México – Tuxpan con</w:t>
            </w:r>
            <w:r>
              <w:rPr>
                <w:spacing w:val="-18"/>
                <w:sz w:val="18"/>
              </w:rPr>
              <w:t> </w:t>
            </w:r>
            <w:r>
              <w:rPr>
                <w:sz w:val="18"/>
              </w:rPr>
              <w:t>carretera</w:t>
            </w:r>
            <w:r>
              <w:rPr>
                <w:spacing w:val="-18"/>
                <w:sz w:val="18"/>
              </w:rPr>
              <w:t> </w:t>
            </w:r>
            <w:r>
              <w:rPr>
                <w:sz w:val="18"/>
              </w:rPr>
              <w:t>estatal</w:t>
            </w:r>
            <w:r>
              <w:rPr>
                <w:spacing w:val="-18"/>
                <w:sz w:val="18"/>
              </w:rPr>
              <w:t> </w:t>
            </w:r>
            <w:r>
              <w:rPr>
                <w:sz w:val="18"/>
              </w:rPr>
              <w:t>Huapancalco</w:t>
            </w:r>
            <w:r>
              <w:rPr>
                <w:spacing w:val="-18"/>
                <w:sz w:val="18"/>
              </w:rPr>
              <w:t> </w:t>
            </w:r>
            <w:r>
              <w:rPr>
                <w:sz w:val="18"/>
              </w:rPr>
              <w:t>en</w:t>
            </w:r>
            <w:r>
              <w:rPr>
                <w:spacing w:val="-21"/>
                <w:sz w:val="18"/>
              </w:rPr>
              <w:t> </w:t>
            </w:r>
            <w:r>
              <w:rPr>
                <w:sz w:val="18"/>
              </w:rPr>
              <w:t>Tulancingo (acceso a universidad politécnica).</w:t>
            </w:r>
          </w:p>
        </w:tc>
        <w:tc>
          <w:tcPr>
            <w:tcW w:w="3538" w:type="dxa"/>
          </w:tcPr>
          <w:p>
            <w:pPr>
              <w:pStyle w:val="TableParagraph"/>
              <w:spacing w:before="8"/>
              <w:ind w:left="51" w:right="79"/>
              <w:rPr>
                <w:sz w:val="18"/>
              </w:rPr>
            </w:pPr>
            <w:r>
              <w:rPr>
                <w:sz w:val="18"/>
              </w:rPr>
              <w:t>$ 25 000 000.00</w:t>
            </w:r>
          </w:p>
        </w:tc>
      </w:tr>
      <w:tr>
        <w:trPr>
          <w:trHeight w:val="238" w:hRule="exact"/>
        </w:trPr>
        <w:tc>
          <w:tcPr>
            <w:tcW w:w="3538" w:type="dxa"/>
          </w:tcPr>
          <w:p>
            <w:pPr>
              <w:pStyle w:val="TableParagraph"/>
              <w:spacing w:before="8"/>
              <w:ind w:left="51" w:right="35"/>
              <w:rPr>
                <w:sz w:val="18"/>
              </w:rPr>
            </w:pPr>
            <w:r>
              <w:rPr>
                <w:sz w:val="18"/>
              </w:rPr>
              <w:t>Huapancalco</w:t>
            </w:r>
            <w:r>
              <w:rPr>
                <w:spacing w:val="-9"/>
                <w:sz w:val="18"/>
              </w:rPr>
              <w:t> </w:t>
            </w:r>
            <w:r>
              <w:rPr>
                <w:sz w:val="18"/>
              </w:rPr>
              <w:t>–</w:t>
            </w:r>
            <w:r>
              <w:rPr>
                <w:spacing w:val="-9"/>
                <w:sz w:val="18"/>
              </w:rPr>
              <w:t> </w:t>
            </w:r>
            <w:r>
              <w:rPr>
                <w:sz w:val="18"/>
              </w:rPr>
              <w:t>El</w:t>
            </w:r>
            <w:r>
              <w:rPr>
                <w:spacing w:val="-18"/>
                <w:sz w:val="18"/>
              </w:rPr>
              <w:t> </w:t>
            </w:r>
            <w:r>
              <w:rPr>
                <w:sz w:val="18"/>
              </w:rPr>
              <w:t>Acocul</w:t>
            </w:r>
            <w:r>
              <w:rPr>
                <w:spacing w:val="-9"/>
                <w:sz w:val="18"/>
              </w:rPr>
              <w:t> </w:t>
            </w:r>
            <w:r>
              <w:rPr>
                <w:sz w:val="18"/>
              </w:rPr>
              <w:t>–</w:t>
            </w:r>
            <w:r>
              <w:rPr>
                <w:spacing w:val="-9"/>
                <w:sz w:val="18"/>
              </w:rPr>
              <w:t> </w:t>
            </w:r>
            <w:r>
              <w:rPr>
                <w:sz w:val="18"/>
              </w:rPr>
              <w:t>Estación</w:t>
            </w:r>
            <w:r>
              <w:rPr>
                <w:spacing w:val="-10"/>
                <w:sz w:val="18"/>
              </w:rPr>
              <w:t> </w:t>
            </w:r>
            <w:r>
              <w:rPr>
                <w:sz w:val="18"/>
              </w:rPr>
              <w:t>de</w:t>
            </w:r>
            <w:r>
              <w:rPr>
                <w:spacing w:val="-18"/>
                <w:sz w:val="18"/>
              </w:rPr>
              <w:t> </w:t>
            </w:r>
            <w:r>
              <w:rPr>
                <w:sz w:val="18"/>
              </w:rPr>
              <w:t>Apulco.</w:t>
            </w:r>
          </w:p>
        </w:tc>
        <w:tc>
          <w:tcPr>
            <w:tcW w:w="3538" w:type="dxa"/>
          </w:tcPr>
          <w:p>
            <w:pPr>
              <w:pStyle w:val="TableParagraph"/>
              <w:spacing w:before="8"/>
              <w:ind w:left="51" w:right="79"/>
              <w:rPr>
                <w:sz w:val="18"/>
              </w:rPr>
            </w:pPr>
            <w:r>
              <w:rPr>
                <w:sz w:val="18"/>
              </w:rPr>
              <w:t>$ 15 000 000.00</w:t>
            </w:r>
          </w:p>
        </w:tc>
      </w:tr>
      <w:tr>
        <w:trPr>
          <w:trHeight w:val="454" w:hRule="exact"/>
        </w:trPr>
        <w:tc>
          <w:tcPr>
            <w:tcW w:w="3538" w:type="dxa"/>
          </w:tcPr>
          <w:p>
            <w:pPr>
              <w:pStyle w:val="TableParagraph"/>
              <w:spacing w:line="249" w:lineRule="auto" w:before="8"/>
              <w:ind w:left="51" w:right="4"/>
              <w:rPr>
                <w:sz w:val="18"/>
              </w:rPr>
            </w:pPr>
            <w:r>
              <w:rPr>
                <w:sz w:val="18"/>
              </w:rPr>
              <w:t>Boulevard de acceso a universidad politécnica, entronque carretero federal (México – Tuxpan).</w:t>
            </w:r>
          </w:p>
        </w:tc>
        <w:tc>
          <w:tcPr>
            <w:tcW w:w="3538" w:type="dxa"/>
          </w:tcPr>
          <w:p>
            <w:pPr>
              <w:pStyle w:val="TableParagraph"/>
              <w:spacing w:before="8"/>
              <w:ind w:left="51" w:right="79"/>
              <w:rPr>
                <w:sz w:val="18"/>
              </w:rPr>
            </w:pPr>
            <w:r>
              <w:rPr>
                <w:sz w:val="18"/>
              </w:rPr>
              <w:t>$ 25 000 000.00</w:t>
            </w:r>
          </w:p>
        </w:tc>
      </w:tr>
      <w:tr>
        <w:trPr>
          <w:trHeight w:val="1534" w:hRule="exact"/>
        </w:trPr>
        <w:tc>
          <w:tcPr>
            <w:tcW w:w="3538" w:type="dxa"/>
          </w:tcPr>
          <w:p>
            <w:pPr>
              <w:pStyle w:val="TableParagraph"/>
              <w:spacing w:line="249" w:lineRule="auto" w:before="7"/>
              <w:ind w:left="51" w:right="79"/>
              <w:rPr>
                <w:sz w:val="18"/>
              </w:rPr>
            </w:pPr>
            <w:r>
              <w:rPr>
                <w:sz w:val="18"/>
              </w:rPr>
              <w:t>Distribuidor vial Cubitos – La Paz, entronque carretero federal Pachuca – Ciudad Sahagún.</w:t>
            </w:r>
          </w:p>
        </w:tc>
        <w:tc>
          <w:tcPr>
            <w:tcW w:w="3538" w:type="dxa"/>
          </w:tcPr>
          <w:p>
            <w:pPr>
              <w:pStyle w:val="TableParagraph"/>
              <w:spacing w:before="7"/>
              <w:ind w:left="51"/>
              <w:jc w:val="both"/>
              <w:rPr>
                <w:sz w:val="18"/>
              </w:rPr>
            </w:pPr>
            <w:r>
              <w:rPr>
                <w:sz w:val="18"/>
              </w:rPr>
              <w:t>$ 20 000 000.00</w:t>
            </w:r>
          </w:p>
          <w:p>
            <w:pPr>
              <w:pStyle w:val="TableParagraph"/>
              <w:spacing w:line="249" w:lineRule="auto"/>
              <w:ind w:left="51" w:right="49"/>
              <w:jc w:val="both"/>
              <w:rPr>
                <w:sz w:val="18"/>
              </w:rPr>
            </w:pPr>
            <w:r>
              <w:rPr>
                <w:sz w:val="18"/>
              </w:rPr>
              <w:t>El 3  de  diciembre  de  2008  fue  reconvenida a $ 45 000 000.00 al fusionarse con la obra distribuidor vial panorámica entronque antigua carretera estatal La Paz – Boulevard Everardo Márquez, que contaba con una asignación     de</w:t>
            </w:r>
          </w:p>
          <w:p>
            <w:pPr>
              <w:pStyle w:val="TableParagraph"/>
              <w:spacing w:before="1"/>
              <w:ind w:left="51"/>
              <w:jc w:val="both"/>
              <w:rPr>
                <w:sz w:val="18"/>
              </w:rPr>
            </w:pPr>
            <w:r>
              <w:rPr>
                <w:sz w:val="18"/>
              </w:rPr>
              <w:t>$ 25 000 000.00</w:t>
            </w:r>
          </w:p>
        </w:tc>
      </w:tr>
    </w:tbl>
    <w:p>
      <w:pPr>
        <w:spacing w:after="0"/>
        <w:jc w:val="both"/>
        <w:rPr>
          <w:sz w:val="18"/>
        </w:rPr>
        <w:sectPr>
          <w:pgSz w:w="9360" w:h="13040"/>
          <w:pgMar w:header="527" w:footer="515" w:top="940" w:bottom="700" w:left="1300" w:right="740"/>
        </w:sectPr>
      </w:pPr>
    </w:p>
    <w:p>
      <w:pPr>
        <w:pStyle w:val="BodyText"/>
        <w:rPr>
          <w:b/>
          <w:sz w:val="20"/>
        </w:rPr>
      </w:pPr>
    </w:p>
    <w:p>
      <w:pPr>
        <w:pStyle w:val="BodyText"/>
        <w:rPr>
          <w:b/>
          <w:sz w:val="20"/>
        </w:rPr>
      </w:pPr>
    </w:p>
    <w:p>
      <w:pPr>
        <w:pStyle w:val="BodyText"/>
        <w:rPr>
          <w:b/>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38"/>
        <w:gridCol w:w="3538"/>
      </w:tblGrid>
      <w:tr>
        <w:trPr>
          <w:trHeight w:val="238" w:hRule="exact"/>
        </w:trPr>
        <w:tc>
          <w:tcPr>
            <w:tcW w:w="3538" w:type="dxa"/>
          </w:tcPr>
          <w:p>
            <w:pPr>
              <w:pStyle w:val="TableParagraph"/>
              <w:spacing w:before="8"/>
              <w:ind w:left="51" w:right="79"/>
              <w:rPr>
                <w:sz w:val="18"/>
              </w:rPr>
            </w:pPr>
            <w:r>
              <w:rPr>
                <w:sz w:val="18"/>
              </w:rPr>
              <w:t>Distribuidor vial Tepeji del Río.</w:t>
            </w:r>
          </w:p>
        </w:tc>
        <w:tc>
          <w:tcPr>
            <w:tcW w:w="3538" w:type="dxa"/>
          </w:tcPr>
          <w:p>
            <w:pPr>
              <w:pStyle w:val="TableParagraph"/>
              <w:spacing w:before="8"/>
              <w:ind w:left="51" w:right="79"/>
              <w:rPr>
                <w:sz w:val="18"/>
              </w:rPr>
            </w:pPr>
            <w:r>
              <w:rPr>
                <w:sz w:val="18"/>
              </w:rPr>
              <w:t>$ 25 000 000.00</w:t>
            </w:r>
          </w:p>
        </w:tc>
      </w:tr>
      <w:tr>
        <w:trPr>
          <w:trHeight w:val="1102" w:hRule="exact"/>
        </w:trPr>
        <w:tc>
          <w:tcPr>
            <w:tcW w:w="3538" w:type="dxa"/>
          </w:tcPr>
          <w:p>
            <w:pPr>
              <w:pStyle w:val="TableParagraph"/>
              <w:spacing w:line="249" w:lineRule="auto" w:before="8"/>
              <w:ind w:left="51" w:right="79"/>
              <w:rPr>
                <w:sz w:val="18"/>
              </w:rPr>
            </w:pPr>
            <w:r>
              <w:rPr>
                <w:sz w:val="18"/>
              </w:rPr>
              <w:t>Carretera federal México – Tampico, acceso a Huejutla.</w:t>
            </w:r>
          </w:p>
        </w:tc>
        <w:tc>
          <w:tcPr>
            <w:tcW w:w="3538" w:type="dxa"/>
          </w:tcPr>
          <w:p>
            <w:pPr>
              <w:pStyle w:val="TableParagraph"/>
              <w:spacing w:before="8"/>
              <w:ind w:left="51"/>
              <w:jc w:val="both"/>
              <w:rPr>
                <w:sz w:val="18"/>
              </w:rPr>
            </w:pPr>
            <w:r>
              <w:rPr>
                <w:sz w:val="18"/>
              </w:rPr>
              <w:t>$ 20 000 000.00</w:t>
            </w:r>
          </w:p>
          <w:p>
            <w:pPr>
              <w:pStyle w:val="TableParagraph"/>
              <w:spacing w:line="249" w:lineRule="auto"/>
              <w:ind w:left="51" w:right="49"/>
              <w:jc w:val="both"/>
              <w:rPr>
                <w:sz w:val="18"/>
              </w:rPr>
            </w:pPr>
            <w:r>
              <w:rPr>
                <w:sz w:val="18"/>
              </w:rPr>
              <w:t>El 3 de diciembre de 2008 fue cancelada y su monto se le transfirió a la obra paso a desnivel de la carretera estatal Pachuca – Tulancingo, entronque carretero Pachuca – Real del Monte.</w:t>
            </w:r>
          </w:p>
        </w:tc>
      </w:tr>
      <w:tr>
        <w:trPr>
          <w:trHeight w:val="670" w:hRule="exact"/>
        </w:trPr>
        <w:tc>
          <w:tcPr>
            <w:tcW w:w="3538" w:type="dxa"/>
          </w:tcPr>
          <w:p>
            <w:pPr>
              <w:pStyle w:val="TableParagraph"/>
              <w:spacing w:before="8"/>
              <w:ind w:left="51" w:right="79"/>
              <w:rPr>
                <w:sz w:val="18"/>
              </w:rPr>
            </w:pPr>
            <w:r>
              <w:rPr>
                <w:sz w:val="18"/>
              </w:rPr>
              <w:t>Huichapan – Tecozautla.</w:t>
            </w:r>
          </w:p>
        </w:tc>
        <w:tc>
          <w:tcPr>
            <w:tcW w:w="3538" w:type="dxa"/>
          </w:tcPr>
          <w:p>
            <w:pPr>
              <w:pStyle w:val="TableParagraph"/>
              <w:spacing w:before="8"/>
              <w:ind w:left="51" w:right="79"/>
              <w:rPr>
                <w:sz w:val="18"/>
              </w:rPr>
            </w:pPr>
            <w:r>
              <w:rPr>
                <w:sz w:val="18"/>
              </w:rPr>
              <w:t>$ 20 000 000.00</w:t>
            </w:r>
          </w:p>
          <w:p>
            <w:pPr>
              <w:pStyle w:val="TableParagraph"/>
              <w:ind w:left="51" w:right="35"/>
              <w:rPr>
                <w:sz w:val="18"/>
              </w:rPr>
            </w:pPr>
            <w:r>
              <w:rPr>
                <w:sz w:val="18"/>
              </w:rPr>
              <w:t>Asignación  adicional  21  de  octubre  de 2008</w:t>
            </w:r>
          </w:p>
          <w:p>
            <w:pPr>
              <w:pStyle w:val="TableParagraph"/>
              <w:ind w:left="51" w:right="79"/>
              <w:rPr>
                <w:sz w:val="18"/>
              </w:rPr>
            </w:pPr>
            <w:r>
              <w:rPr>
                <w:sz w:val="18"/>
              </w:rPr>
              <w:t>$ 5 000 000.00</w:t>
            </w:r>
          </w:p>
        </w:tc>
      </w:tr>
      <w:tr>
        <w:trPr>
          <w:trHeight w:val="670" w:hRule="exact"/>
        </w:trPr>
        <w:tc>
          <w:tcPr>
            <w:tcW w:w="3538" w:type="dxa"/>
          </w:tcPr>
          <w:p>
            <w:pPr>
              <w:pStyle w:val="TableParagraph"/>
              <w:spacing w:line="249" w:lineRule="auto" w:before="8"/>
              <w:ind w:left="51" w:right="79"/>
              <w:rPr>
                <w:sz w:val="18"/>
              </w:rPr>
            </w:pPr>
            <w:r>
              <w:rPr>
                <w:sz w:val="18"/>
              </w:rPr>
              <w:t>Modernización de la carretera Tula – Tepeji, tramo Jalpa.</w:t>
            </w:r>
          </w:p>
        </w:tc>
        <w:tc>
          <w:tcPr>
            <w:tcW w:w="3538" w:type="dxa"/>
          </w:tcPr>
          <w:p>
            <w:pPr>
              <w:pStyle w:val="TableParagraph"/>
              <w:spacing w:before="8"/>
              <w:ind w:left="51" w:right="79"/>
              <w:rPr>
                <w:sz w:val="18"/>
              </w:rPr>
            </w:pPr>
            <w:r>
              <w:rPr>
                <w:sz w:val="18"/>
              </w:rPr>
              <w:t>15 000 000.00</w:t>
            </w:r>
          </w:p>
          <w:p>
            <w:pPr>
              <w:pStyle w:val="TableParagraph"/>
              <w:ind w:left="51" w:right="35"/>
              <w:rPr>
                <w:sz w:val="18"/>
              </w:rPr>
            </w:pPr>
            <w:r>
              <w:rPr>
                <w:sz w:val="18"/>
              </w:rPr>
              <w:t>Asignación  adicional  21  de  octubre  de 2008</w:t>
            </w:r>
          </w:p>
          <w:p>
            <w:pPr>
              <w:pStyle w:val="TableParagraph"/>
              <w:ind w:left="51" w:right="79"/>
              <w:rPr>
                <w:sz w:val="18"/>
              </w:rPr>
            </w:pPr>
            <w:r>
              <w:rPr>
                <w:sz w:val="18"/>
              </w:rPr>
              <w:t>$ 2 500 000.00</w:t>
            </w:r>
          </w:p>
        </w:tc>
      </w:tr>
    </w:tbl>
    <w:p>
      <w:pPr>
        <w:pStyle w:val="BodyText"/>
        <w:spacing w:before="5"/>
        <w:rPr>
          <w:b/>
          <w:sz w:val="12"/>
        </w:rPr>
      </w:pPr>
    </w:p>
    <w:p>
      <w:pPr>
        <w:spacing w:line="244" w:lineRule="auto" w:before="78"/>
        <w:ind w:left="110" w:right="115" w:firstLine="0"/>
        <w:jc w:val="both"/>
        <w:rPr>
          <w:sz w:val="17"/>
        </w:rPr>
      </w:pPr>
      <w:r>
        <w:rPr>
          <w:sz w:val="17"/>
        </w:rPr>
        <w:t>Cuadro elaborado por el autor con información proporcionada por la Secretaría de Comunicaciones y Transportes,</w:t>
      </w:r>
      <w:r>
        <w:rPr>
          <w:spacing w:val="-11"/>
          <w:sz w:val="17"/>
        </w:rPr>
        <w:t> </w:t>
      </w:r>
      <w:r>
        <w:rPr>
          <w:sz w:val="17"/>
        </w:rPr>
        <w:t>según</w:t>
      </w:r>
      <w:r>
        <w:rPr>
          <w:spacing w:val="-11"/>
          <w:sz w:val="17"/>
        </w:rPr>
        <w:t> </w:t>
      </w:r>
      <w:r>
        <w:rPr>
          <w:sz w:val="17"/>
        </w:rPr>
        <w:t>solicitud</w:t>
      </w:r>
      <w:r>
        <w:rPr>
          <w:spacing w:val="-11"/>
          <w:sz w:val="17"/>
        </w:rPr>
        <w:t> </w:t>
      </w:r>
      <w:r>
        <w:rPr>
          <w:sz w:val="17"/>
        </w:rPr>
        <w:t>al</w:t>
      </w:r>
      <w:r>
        <w:rPr>
          <w:spacing w:val="-11"/>
          <w:sz w:val="17"/>
        </w:rPr>
        <w:t> </w:t>
      </w:r>
      <w:r>
        <w:rPr>
          <w:sz w:val="17"/>
        </w:rPr>
        <w:t>sistema</w:t>
      </w:r>
      <w:r>
        <w:rPr>
          <w:spacing w:val="-11"/>
          <w:sz w:val="17"/>
        </w:rPr>
        <w:t> </w:t>
      </w:r>
      <w:r>
        <w:rPr>
          <w:sz w:val="17"/>
        </w:rPr>
        <w:t>INFOMEX</w:t>
      </w:r>
      <w:r>
        <w:rPr>
          <w:spacing w:val="-11"/>
          <w:sz w:val="17"/>
        </w:rPr>
        <w:t> </w:t>
      </w:r>
      <w:r>
        <w:rPr>
          <w:sz w:val="17"/>
        </w:rPr>
        <w:t>gobierno</w:t>
      </w:r>
      <w:r>
        <w:rPr>
          <w:spacing w:val="-11"/>
          <w:sz w:val="17"/>
        </w:rPr>
        <w:t> </w:t>
      </w:r>
      <w:r>
        <w:rPr>
          <w:sz w:val="17"/>
        </w:rPr>
        <w:t>federal</w:t>
      </w:r>
      <w:r>
        <w:rPr>
          <w:spacing w:val="-11"/>
          <w:sz w:val="17"/>
        </w:rPr>
        <w:t> </w:t>
      </w:r>
      <w:r>
        <w:rPr>
          <w:sz w:val="17"/>
        </w:rPr>
        <w:t>con</w:t>
      </w:r>
      <w:r>
        <w:rPr>
          <w:spacing w:val="-11"/>
          <w:sz w:val="17"/>
        </w:rPr>
        <w:t> </w:t>
      </w:r>
      <w:r>
        <w:rPr>
          <w:sz w:val="17"/>
        </w:rPr>
        <w:t>número</w:t>
      </w:r>
      <w:r>
        <w:rPr>
          <w:spacing w:val="-11"/>
          <w:sz w:val="17"/>
        </w:rPr>
        <w:t> </w:t>
      </w:r>
      <w:r>
        <w:rPr>
          <w:sz w:val="17"/>
        </w:rPr>
        <w:t>de</w:t>
      </w:r>
      <w:r>
        <w:rPr>
          <w:spacing w:val="-11"/>
          <w:sz w:val="17"/>
        </w:rPr>
        <w:t> </w:t>
      </w:r>
      <w:r>
        <w:rPr>
          <w:sz w:val="17"/>
        </w:rPr>
        <w:t>folio</w:t>
      </w:r>
      <w:r>
        <w:rPr>
          <w:spacing w:val="-11"/>
          <w:sz w:val="17"/>
        </w:rPr>
        <w:t> </w:t>
      </w:r>
      <w:r>
        <w:rPr>
          <w:sz w:val="17"/>
        </w:rPr>
        <w:t>0000900014611, 2 de marzo del</w:t>
      </w:r>
      <w:r>
        <w:rPr>
          <w:spacing w:val="-8"/>
          <w:sz w:val="17"/>
        </w:rPr>
        <w:t> </w:t>
      </w:r>
      <w:r>
        <w:rPr>
          <w:sz w:val="17"/>
        </w:rPr>
        <w:t>2011.</w:t>
      </w:r>
    </w:p>
    <w:p>
      <w:pPr>
        <w:spacing w:after="0" w:line="244" w:lineRule="auto"/>
        <w:jc w:val="both"/>
        <w:rPr>
          <w:sz w:val="17"/>
        </w:rPr>
        <w:sectPr>
          <w:pgSz w:w="9360" w:h="13040"/>
          <w:pgMar w:header="547" w:footer="515" w:top="720" w:bottom="700" w:left="740" w:right="1300"/>
        </w:sectPr>
      </w:pPr>
    </w:p>
    <w:p>
      <w:pPr>
        <w:pStyle w:val="BodyText"/>
        <w:spacing w:before="7"/>
        <w:rPr>
          <w:sz w:val="29"/>
        </w:rPr>
      </w:pPr>
    </w:p>
    <w:p>
      <w:pPr>
        <w:pStyle w:val="Heading3"/>
        <w:spacing w:line="260" w:lineRule="exact" w:before="77"/>
        <w:ind w:right="104"/>
      </w:pPr>
      <w:r>
        <w:rPr/>
        <w:t>Obras</w:t>
      </w:r>
      <w:r>
        <w:rPr>
          <w:spacing w:val="-22"/>
        </w:rPr>
        <w:t> </w:t>
      </w:r>
      <w:r>
        <w:rPr/>
        <w:t>y</w:t>
      </w:r>
      <w:r>
        <w:rPr>
          <w:spacing w:val="-22"/>
        </w:rPr>
        <w:t> </w:t>
      </w:r>
      <w:r>
        <w:rPr/>
        <w:t>transferencias</w:t>
      </w:r>
      <w:r>
        <w:rPr>
          <w:spacing w:val="-22"/>
        </w:rPr>
        <w:t> </w:t>
      </w:r>
      <w:r>
        <w:rPr/>
        <w:t>derivadas</w:t>
      </w:r>
      <w:r>
        <w:rPr>
          <w:spacing w:val="-21"/>
        </w:rPr>
        <w:t> </w:t>
      </w:r>
      <w:r>
        <w:rPr/>
        <w:t>del</w:t>
      </w:r>
      <w:r>
        <w:rPr>
          <w:spacing w:val="-22"/>
        </w:rPr>
        <w:t> </w:t>
      </w:r>
      <w:r>
        <w:rPr/>
        <w:t>convenio</w:t>
      </w:r>
      <w:r>
        <w:rPr>
          <w:spacing w:val="-22"/>
        </w:rPr>
        <w:t> </w:t>
      </w:r>
      <w:r>
        <w:rPr/>
        <w:t>de</w:t>
      </w:r>
      <w:r>
        <w:rPr>
          <w:spacing w:val="-22"/>
        </w:rPr>
        <w:t> </w:t>
      </w:r>
      <w:r>
        <w:rPr/>
        <w:t>coordinación</w:t>
      </w:r>
      <w:r>
        <w:rPr>
          <w:spacing w:val="-22"/>
        </w:rPr>
        <w:t> </w:t>
      </w:r>
      <w:r>
        <w:rPr/>
        <w:t>en</w:t>
      </w:r>
      <w:r>
        <w:rPr>
          <w:spacing w:val="-22"/>
        </w:rPr>
        <w:t> </w:t>
      </w:r>
      <w:r>
        <w:rPr/>
        <w:t>materia de reasignación de recursos del año 2008, entre el Ejecutivo Federal, por conducto de la Secretaría de Salud, y el gobierno del Estado de</w:t>
      </w:r>
      <w:r>
        <w:rPr>
          <w:spacing w:val="-21"/>
        </w:rPr>
        <w:t> </w:t>
      </w:r>
      <w:r>
        <w:rPr/>
        <w:t>Hidalgo.</w:t>
      </w:r>
    </w:p>
    <w:p>
      <w:pPr>
        <w:pStyle w:val="BodyText"/>
        <w:rPr>
          <w:b/>
          <w:sz w:val="20"/>
        </w:rPr>
      </w:pPr>
    </w:p>
    <w:p>
      <w:pPr>
        <w:pStyle w:val="BodyText"/>
        <w:spacing w:before="7"/>
        <w:rPr>
          <w:b/>
          <w:sz w:val="27"/>
        </w:r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2430"/>
        <w:gridCol w:w="2636"/>
        <w:gridCol w:w="2005"/>
      </w:tblGrid>
      <w:tr>
        <w:trPr>
          <w:trHeight w:val="667" w:hRule="exact"/>
        </w:trPr>
        <w:tc>
          <w:tcPr>
            <w:tcW w:w="2430" w:type="dxa"/>
            <w:tcBorders>
              <w:bottom w:val="single" w:sz="4" w:space="0" w:color="000000"/>
              <w:right w:val="single" w:sz="4" w:space="0" w:color="000000"/>
            </w:tcBorders>
          </w:tcPr>
          <w:p>
            <w:pPr>
              <w:pStyle w:val="TableParagraph"/>
              <w:spacing w:before="0"/>
              <w:rPr>
                <w:b/>
                <w:sz w:val="19"/>
              </w:rPr>
            </w:pPr>
          </w:p>
          <w:p>
            <w:pPr>
              <w:pStyle w:val="TableParagraph"/>
              <w:spacing w:before="0"/>
              <w:ind w:left="926" w:right="926"/>
              <w:jc w:val="center"/>
              <w:rPr>
                <w:b/>
                <w:sz w:val="18"/>
              </w:rPr>
            </w:pPr>
            <w:r>
              <w:rPr>
                <w:b/>
                <w:sz w:val="18"/>
              </w:rPr>
              <w:t>Obras.</w:t>
            </w:r>
          </w:p>
        </w:tc>
        <w:tc>
          <w:tcPr>
            <w:tcW w:w="2636" w:type="dxa"/>
            <w:tcBorders>
              <w:left w:val="single" w:sz="4" w:space="0" w:color="000000"/>
              <w:bottom w:val="single" w:sz="4" w:space="0" w:color="000000"/>
              <w:right w:val="single" w:sz="4" w:space="0" w:color="000000"/>
            </w:tcBorders>
          </w:tcPr>
          <w:p>
            <w:pPr>
              <w:pStyle w:val="TableParagraph"/>
              <w:spacing w:line="249" w:lineRule="auto" w:before="3"/>
              <w:ind w:left="95" w:right="93" w:hanging="1"/>
              <w:jc w:val="center"/>
              <w:rPr>
                <w:b/>
                <w:sz w:val="18"/>
              </w:rPr>
            </w:pPr>
            <w:r>
              <w:rPr>
                <w:b/>
                <w:sz w:val="18"/>
              </w:rPr>
              <w:t>Transferencias al gobierno del Estado de Hidalgo en 2008 </w:t>
            </w:r>
            <w:r>
              <w:rPr>
                <w:b/>
                <w:spacing w:val="-5"/>
                <w:sz w:val="18"/>
              </w:rPr>
              <w:t>y, </w:t>
            </w:r>
            <w:r>
              <w:rPr>
                <w:b/>
                <w:sz w:val="18"/>
              </w:rPr>
              <w:t>en su caso, aportaciones estatales.</w:t>
            </w:r>
          </w:p>
        </w:tc>
        <w:tc>
          <w:tcPr>
            <w:tcW w:w="2005" w:type="dxa"/>
            <w:tcBorders>
              <w:left w:val="single" w:sz="4" w:space="0" w:color="000000"/>
              <w:bottom w:val="single" w:sz="4" w:space="0" w:color="000000"/>
            </w:tcBorders>
          </w:tcPr>
          <w:p>
            <w:pPr>
              <w:pStyle w:val="TableParagraph"/>
              <w:spacing w:before="0"/>
              <w:rPr>
                <w:b/>
                <w:sz w:val="19"/>
              </w:rPr>
            </w:pPr>
          </w:p>
          <w:p>
            <w:pPr>
              <w:pStyle w:val="TableParagraph"/>
              <w:spacing w:before="0"/>
              <w:ind w:left="15" w:right="12"/>
              <w:jc w:val="center"/>
              <w:rPr>
                <w:b/>
                <w:sz w:val="18"/>
              </w:rPr>
            </w:pPr>
            <w:r>
              <w:rPr>
                <w:b/>
                <w:sz w:val="18"/>
              </w:rPr>
              <w:t>Periodo de ejecución.</w:t>
            </w:r>
          </w:p>
        </w:tc>
      </w:tr>
      <w:tr>
        <w:trPr>
          <w:trHeight w:val="1102"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49" w:right="49"/>
              <w:jc w:val="both"/>
              <w:rPr>
                <w:sz w:val="18"/>
              </w:rPr>
            </w:pPr>
            <w:r>
              <w:rPr>
                <w:sz w:val="18"/>
              </w:rPr>
              <w:t>Sustitución por obra nueva del hospital general de Tulancingo (proyecto ejecutivo y primera etapa), municipio de</w:t>
            </w:r>
            <w:r>
              <w:rPr>
                <w:spacing w:val="-25"/>
                <w:sz w:val="18"/>
              </w:rPr>
              <w:t> </w:t>
            </w:r>
            <w:r>
              <w:rPr>
                <w:sz w:val="18"/>
              </w:rPr>
              <w:t>Tulancingo de Bravo</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1"/>
              <w:rPr>
                <w:sz w:val="18"/>
              </w:rPr>
            </w:pPr>
            <w:r>
              <w:rPr>
                <w:sz w:val="18"/>
              </w:rPr>
              <w:t>$ 32 730 969.00</w:t>
            </w:r>
          </w:p>
          <w:p>
            <w:pPr>
              <w:pStyle w:val="TableParagraph"/>
              <w:ind w:left="51"/>
              <w:rPr>
                <w:sz w:val="18"/>
              </w:rPr>
            </w:pPr>
            <w:r>
              <w:rPr>
                <w:sz w:val="18"/>
              </w:rPr>
              <w:t>16.16% de la inversión total.</w:t>
            </w:r>
          </w:p>
        </w:tc>
        <w:tc>
          <w:tcPr>
            <w:tcW w:w="2005" w:type="dxa"/>
            <w:tcBorders>
              <w:top w:val="single" w:sz="4" w:space="0" w:color="000000"/>
              <w:left w:val="single" w:sz="4" w:space="0" w:color="000000"/>
              <w:bottom w:val="single" w:sz="4" w:space="0" w:color="000000"/>
            </w:tcBorders>
          </w:tcPr>
          <w:p>
            <w:pPr>
              <w:pStyle w:val="TableParagraph"/>
              <w:spacing w:before="8"/>
              <w:ind w:left="51"/>
              <w:rPr>
                <w:sz w:val="18"/>
              </w:rPr>
            </w:pPr>
            <w:r>
              <w:rPr>
                <w:sz w:val="18"/>
              </w:rPr>
              <w:t>Inició en 2008.</w:t>
            </w:r>
          </w:p>
          <w:p>
            <w:pPr>
              <w:pStyle w:val="TableParagraph"/>
              <w:ind w:left="51"/>
              <w:rPr>
                <w:sz w:val="18"/>
              </w:rPr>
            </w:pPr>
            <w:r>
              <w:rPr>
                <w:sz w:val="18"/>
              </w:rPr>
              <w:t>Concluyó en 2011.</w:t>
            </w:r>
          </w:p>
        </w:tc>
      </w:tr>
      <w:tr>
        <w:trPr>
          <w:trHeight w:val="1318"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49" w:right="49"/>
              <w:jc w:val="both"/>
              <w:rPr>
                <w:sz w:val="18"/>
              </w:rPr>
            </w:pPr>
            <w:r>
              <w:rPr>
                <w:sz w:val="18"/>
              </w:rPr>
              <w:t>Segunda etapa del hospital infantil de Pachuca, 60 camas, municipio de Pachuca de Soto.</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2"/>
              <w:rPr>
                <w:sz w:val="18"/>
              </w:rPr>
            </w:pPr>
            <w:r>
              <w:rPr>
                <w:sz w:val="18"/>
              </w:rPr>
              <w:t>$ 32 000 948.00</w:t>
            </w:r>
          </w:p>
          <w:p>
            <w:pPr>
              <w:pStyle w:val="TableParagraph"/>
              <w:tabs>
                <w:tab w:pos="746" w:val="left" w:leader="none"/>
                <w:tab w:pos="1145" w:val="left" w:leader="none"/>
                <w:tab w:pos="1575" w:val="left" w:leader="none"/>
              </w:tabs>
              <w:spacing w:line="249" w:lineRule="auto"/>
              <w:ind w:left="52" w:right="48"/>
              <w:rPr>
                <w:sz w:val="18"/>
              </w:rPr>
            </w:pPr>
            <w:r>
              <w:rPr>
                <w:sz w:val="18"/>
              </w:rPr>
              <w:t>8.98%</w:t>
              <w:tab/>
              <w:t>de</w:t>
              <w:tab/>
              <w:t>las</w:t>
              <w:tab/>
              <w:t>transferencias federales totales.</w:t>
            </w:r>
          </w:p>
          <w:p>
            <w:pPr>
              <w:pStyle w:val="TableParagraph"/>
              <w:tabs>
                <w:tab w:pos="1403" w:val="left" w:leader="none"/>
                <w:tab w:pos="2404" w:val="left" w:leader="none"/>
              </w:tabs>
              <w:spacing w:before="1"/>
              <w:ind w:left="52"/>
              <w:rPr>
                <w:sz w:val="18"/>
              </w:rPr>
            </w:pPr>
            <w:r>
              <w:rPr>
                <w:sz w:val="18"/>
              </w:rPr>
              <w:t>Aportación</w:t>
              <w:tab/>
              <w:t>estatal</w:t>
              <w:tab/>
              <w:t>de</w:t>
            </w:r>
          </w:p>
          <w:p>
            <w:pPr>
              <w:pStyle w:val="TableParagraph"/>
              <w:ind w:left="52"/>
              <w:rPr>
                <w:sz w:val="18"/>
              </w:rPr>
            </w:pPr>
            <w:r>
              <w:rPr>
                <w:sz w:val="18"/>
              </w:rPr>
              <w:t>$   115   673   529.00,   24.50% del</w:t>
            </w:r>
          </w:p>
          <w:p>
            <w:pPr>
              <w:pStyle w:val="TableParagraph"/>
              <w:ind w:left="52"/>
              <w:rPr>
                <w:sz w:val="18"/>
              </w:rPr>
            </w:pPr>
            <w:r>
              <w:rPr>
                <w:sz w:val="18"/>
              </w:rPr>
              <w:t>costo total de la obra.</w:t>
            </w:r>
          </w:p>
        </w:tc>
        <w:tc>
          <w:tcPr>
            <w:tcW w:w="2005" w:type="dxa"/>
            <w:tcBorders>
              <w:top w:val="single" w:sz="4" w:space="0" w:color="000000"/>
              <w:left w:val="single" w:sz="4" w:space="0" w:color="000000"/>
              <w:bottom w:val="single" w:sz="4" w:space="0" w:color="000000"/>
            </w:tcBorders>
          </w:tcPr>
          <w:p>
            <w:pPr>
              <w:pStyle w:val="TableParagraph"/>
              <w:spacing w:before="8"/>
              <w:ind w:left="52"/>
              <w:rPr>
                <w:sz w:val="18"/>
              </w:rPr>
            </w:pPr>
            <w:r>
              <w:rPr>
                <w:sz w:val="18"/>
              </w:rPr>
              <w:t>Inició en 2005.</w:t>
            </w:r>
          </w:p>
          <w:p>
            <w:pPr>
              <w:pStyle w:val="TableParagraph"/>
              <w:ind w:left="52"/>
              <w:rPr>
                <w:sz w:val="18"/>
              </w:rPr>
            </w:pPr>
            <w:r>
              <w:rPr>
                <w:sz w:val="18"/>
              </w:rPr>
              <w:t>Concluyó en 2010.</w:t>
            </w:r>
          </w:p>
        </w:tc>
      </w:tr>
      <w:tr>
        <w:trPr>
          <w:trHeight w:val="670"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49" w:right="48"/>
              <w:jc w:val="both"/>
              <w:rPr>
                <w:sz w:val="18"/>
              </w:rPr>
            </w:pPr>
            <w:r>
              <w:rPr>
                <w:sz w:val="18"/>
              </w:rPr>
              <w:t>Centro estatal de transfusión sanguínea, municipio de Pachuca de Soto.</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2"/>
              <w:rPr>
                <w:sz w:val="18"/>
              </w:rPr>
            </w:pPr>
            <w:r>
              <w:rPr>
                <w:sz w:val="18"/>
              </w:rPr>
              <w:t>$ 12 600 373.00</w:t>
            </w:r>
          </w:p>
          <w:p>
            <w:pPr>
              <w:pStyle w:val="TableParagraph"/>
              <w:ind w:left="52"/>
              <w:rPr>
                <w:sz w:val="18"/>
              </w:rPr>
            </w:pPr>
            <w:r>
              <w:rPr>
                <w:sz w:val="18"/>
              </w:rPr>
              <w:t>40.98% de la inversión total.</w:t>
            </w:r>
          </w:p>
        </w:tc>
        <w:tc>
          <w:tcPr>
            <w:tcW w:w="2005" w:type="dxa"/>
            <w:tcBorders>
              <w:top w:val="single" w:sz="4" w:space="0" w:color="000000"/>
              <w:left w:val="single" w:sz="4" w:space="0" w:color="000000"/>
              <w:bottom w:val="single" w:sz="4" w:space="0" w:color="000000"/>
            </w:tcBorders>
          </w:tcPr>
          <w:p>
            <w:pPr>
              <w:pStyle w:val="TableParagraph"/>
              <w:spacing w:before="8"/>
              <w:ind w:left="52"/>
              <w:rPr>
                <w:sz w:val="18"/>
              </w:rPr>
            </w:pPr>
            <w:r>
              <w:rPr>
                <w:sz w:val="18"/>
              </w:rPr>
              <w:t>Inició en 2008.</w:t>
            </w:r>
          </w:p>
          <w:p>
            <w:pPr>
              <w:pStyle w:val="TableParagraph"/>
              <w:ind w:left="52"/>
              <w:rPr>
                <w:sz w:val="18"/>
              </w:rPr>
            </w:pPr>
            <w:r>
              <w:rPr>
                <w:sz w:val="18"/>
              </w:rPr>
              <w:t>Concluyó en 2011.</w:t>
            </w:r>
          </w:p>
        </w:tc>
      </w:tr>
      <w:tr>
        <w:trPr>
          <w:trHeight w:val="670"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49" w:right="48"/>
              <w:jc w:val="both"/>
              <w:rPr>
                <w:sz w:val="18"/>
              </w:rPr>
            </w:pPr>
            <w:r>
              <w:rPr>
                <w:sz w:val="18"/>
              </w:rPr>
              <w:t>Obra nueva hospital de especialidades, 60 camas, municipio de Pachuca de Soto.</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2"/>
              <w:rPr>
                <w:sz w:val="18"/>
              </w:rPr>
            </w:pPr>
            <w:r>
              <w:rPr>
                <w:sz w:val="18"/>
              </w:rPr>
              <w:t>$ 10 000 000.00</w:t>
            </w:r>
          </w:p>
          <w:p>
            <w:pPr>
              <w:pStyle w:val="TableParagraph"/>
              <w:ind w:left="52"/>
              <w:rPr>
                <w:sz w:val="18"/>
              </w:rPr>
            </w:pPr>
            <w:r>
              <w:rPr>
                <w:sz w:val="18"/>
              </w:rPr>
              <w:t>4.95% de la inversión total.</w:t>
            </w:r>
          </w:p>
        </w:tc>
        <w:tc>
          <w:tcPr>
            <w:tcW w:w="2005" w:type="dxa"/>
            <w:tcBorders>
              <w:top w:val="single" w:sz="4" w:space="0" w:color="000000"/>
              <w:left w:val="single" w:sz="4" w:space="0" w:color="000000"/>
              <w:bottom w:val="single" w:sz="4" w:space="0" w:color="000000"/>
            </w:tcBorders>
          </w:tcPr>
          <w:p>
            <w:pPr>
              <w:pStyle w:val="TableParagraph"/>
              <w:spacing w:before="8"/>
              <w:ind w:left="52"/>
              <w:rPr>
                <w:sz w:val="18"/>
              </w:rPr>
            </w:pPr>
            <w:r>
              <w:rPr>
                <w:sz w:val="18"/>
              </w:rPr>
              <w:t>Inició en 2008.</w:t>
            </w:r>
          </w:p>
          <w:p>
            <w:pPr>
              <w:pStyle w:val="TableParagraph"/>
              <w:ind w:left="52"/>
              <w:rPr>
                <w:sz w:val="18"/>
              </w:rPr>
            </w:pPr>
            <w:r>
              <w:rPr>
                <w:sz w:val="18"/>
              </w:rPr>
              <w:t>Concluyó en 2011.</w:t>
            </w:r>
          </w:p>
        </w:tc>
      </w:tr>
      <w:tr>
        <w:trPr>
          <w:trHeight w:val="670"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49" w:right="48"/>
              <w:jc w:val="both"/>
              <w:rPr>
                <w:sz w:val="18"/>
              </w:rPr>
            </w:pPr>
            <w:r>
              <w:rPr>
                <w:sz w:val="18"/>
              </w:rPr>
              <w:t>Obra nueva de salud de Santa Ana Hueytlalpan, municipio de Tulancingo de Bravo.</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2"/>
              <w:rPr>
                <w:sz w:val="18"/>
              </w:rPr>
            </w:pPr>
            <w:r>
              <w:rPr>
                <w:sz w:val="18"/>
              </w:rPr>
              <w:t>$ 3 001 273.00</w:t>
            </w:r>
          </w:p>
          <w:p>
            <w:pPr>
              <w:pStyle w:val="TableParagraph"/>
              <w:ind w:left="52"/>
              <w:rPr>
                <w:sz w:val="18"/>
              </w:rPr>
            </w:pPr>
            <w:r>
              <w:rPr>
                <w:sz w:val="18"/>
              </w:rPr>
              <w:t>45.24% de la inversión total.</w:t>
            </w:r>
          </w:p>
        </w:tc>
        <w:tc>
          <w:tcPr>
            <w:tcW w:w="2005" w:type="dxa"/>
            <w:tcBorders>
              <w:top w:val="single" w:sz="4" w:space="0" w:color="000000"/>
              <w:left w:val="single" w:sz="4" w:space="0" w:color="000000"/>
              <w:bottom w:val="single" w:sz="4" w:space="0" w:color="000000"/>
            </w:tcBorders>
          </w:tcPr>
          <w:p>
            <w:pPr>
              <w:pStyle w:val="TableParagraph"/>
              <w:spacing w:before="8"/>
              <w:ind w:left="52"/>
              <w:rPr>
                <w:sz w:val="18"/>
              </w:rPr>
            </w:pPr>
            <w:r>
              <w:rPr>
                <w:sz w:val="18"/>
              </w:rPr>
              <w:t>Inició en 2008.</w:t>
            </w:r>
          </w:p>
          <w:p>
            <w:pPr>
              <w:pStyle w:val="TableParagraph"/>
              <w:ind w:left="52"/>
              <w:rPr>
                <w:sz w:val="18"/>
              </w:rPr>
            </w:pPr>
            <w:r>
              <w:rPr>
                <w:sz w:val="18"/>
              </w:rPr>
              <w:t>Concluyó en 2010.</w:t>
            </w:r>
          </w:p>
        </w:tc>
      </w:tr>
      <w:tr>
        <w:trPr>
          <w:trHeight w:val="1318" w:hRule="exact"/>
        </w:trPr>
        <w:tc>
          <w:tcPr>
            <w:tcW w:w="2430" w:type="dxa"/>
            <w:tcBorders>
              <w:top w:val="single" w:sz="4" w:space="0" w:color="000000"/>
              <w:bottom w:val="single" w:sz="4" w:space="0" w:color="000000"/>
              <w:right w:val="single" w:sz="4" w:space="0" w:color="000000"/>
            </w:tcBorders>
          </w:tcPr>
          <w:p>
            <w:pPr>
              <w:pStyle w:val="TableParagraph"/>
              <w:spacing w:line="249" w:lineRule="auto" w:before="8"/>
              <w:ind w:left="50" w:right="3"/>
              <w:rPr>
                <w:sz w:val="18"/>
              </w:rPr>
            </w:pPr>
            <w:r>
              <w:rPr>
                <w:sz w:val="18"/>
              </w:rPr>
              <w:t>Hospital Huehuetla, municipio de Huehuetla.</w:t>
            </w:r>
          </w:p>
        </w:tc>
        <w:tc>
          <w:tcPr>
            <w:tcW w:w="2636" w:type="dxa"/>
            <w:tcBorders>
              <w:top w:val="single" w:sz="4" w:space="0" w:color="000000"/>
              <w:left w:val="single" w:sz="4" w:space="0" w:color="000000"/>
              <w:bottom w:val="single" w:sz="4" w:space="0" w:color="000000"/>
              <w:right w:val="single" w:sz="4" w:space="0" w:color="000000"/>
            </w:tcBorders>
          </w:tcPr>
          <w:p>
            <w:pPr>
              <w:pStyle w:val="TableParagraph"/>
              <w:spacing w:before="8"/>
              <w:ind w:left="52"/>
              <w:rPr>
                <w:sz w:val="18"/>
              </w:rPr>
            </w:pPr>
            <w:r>
              <w:rPr>
                <w:sz w:val="18"/>
              </w:rPr>
              <w:t>$ 1 500 044.00</w:t>
            </w:r>
          </w:p>
          <w:p>
            <w:pPr>
              <w:pStyle w:val="TableParagraph"/>
              <w:spacing w:line="249" w:lineRule="auto"/>
              <w:ind w:left="52"/>
              <w:rPr>
                <w:sz w:val="18"/>
              </w:rPr>
            </w:pPr>
            <w:r>
              <w:rPr>
                <w:sz w:val="18"/>
              </w:rPr>
              <w:t>17.64% de las transferencias federales totales.</w:t>
            </w:r>
          </w:p>
          <w:p>
            <w:pPr>
              <w:pStyle w:val="TableParagraph"/>
              <w:tabs>
                <w:tab w:pos="1404" w:val="left" w:leader="none"/>
                <w:tab w:pos="2405" w:val="left" w:leader="none"/>
              </w:tabs>
              <w:spacing w:before="1"/>
              <w:ind w:left="52"/>
              <w:rPr>
                <w:sz w:val="18"/>
              </w:rPr>
            </w:pPr>
            <w:r>
              <w:rPr>
                <w:sz w:val="18"/>
              </w:rPr>
              <w:t>Aportación</w:t>
              <w:tab/>
              <w:t>estatal</w:t>
              <w:tab/>
              <w:t>de</w:t>
            </w:r>
          </w:p>
          <w:p>
            <w:pPr>
              <w:pStyle w:val="TableParagraph"/>
              <w:spacing w:line="249" w:lineRule="auto"/>
              <w:ind w:left="52"/>
              <w:rPr>
                <w:sz w:val="18"/>
              </w:rPr>
            </w:pPr>
            <w:r>
              <w:rPr>
                <w:sz w:val="18"/>
              </w:rPr>
              <w:t>$ 3 600 000.00, 29.75% del costo total de la obra.</w:t>
            </w:r>
          </w:p>
        </w:tc>
        <w:tc>
          <w:tcPr>
            <w:tcW w:w="2005" w:type="dxa"/>
            <w:tcBorders>
              <w:top w:val="single" w:sz="4" w:space="0" w:color="000000"/>
              <w:left w:val="single" w:sz="4" w:space="0" w:color="000000"/>
              <w:bottom w:val="single" w:sz="4" w:space="0" w:color="000000"/>
            </w:tcBorders>
          </w:tcPr>
          <w:p>
            <w:pPr>
              <w:pStyle w:val="TableParagraph"/>
              <w:spacing w:before="8"/>
              <w:ind w:left="52"/>
              <w:rPr>
                <w:sz w:val="18"/>
              </w:rPr>
            </w:pPr>
            <w:r>
              <w:rPr>
                <w:sz w:val="18"/>
              </w:rPr>
              <w:t>Inició en 2005.</w:t>
            </w:r>
          </w:p>
          <w:p>
            <w:pPr>
              <w:pStyle w:val="TableParagraph"/>
              <w:ind w:left="52"/>
              <w:rPr>
                <w:sz w:val="18"/>
              </w:rPr>
            </w:pPr>
            <w:r>
              <w:rPr>
                <w:sz w:val="18"/>
              </w:rPr>
              <w:t>Concluida en 2008.</w:t>
            </w:r>
          </w:p>
        </w:tc>
      </w:tr>
      <w:tr>
        <w:trPr>
          <w:trHeight w:val="1534" w:hRule="exact"/>
        </w:trPr>
        <w:tc>
          <w:tcPr>
            <w:tcW w:w="2430" w:type="dxa"/>
            <w:tcBorders>
              <w:top w:val="single" w:sz="4" w:space="0" w:color="000000"/>
              <w:right w:val="single" w:sz="4" w:space="0" w:color="000000"/>
            </w:tcBorders>
          </w:tcPr>
          <w:p>
            <w:pPr>
              <w:pStyle w:val="TableParagraph"/>
              <w:spacing w:line="249" w:lineRule="auto" w:before="8"/>
              <w:ind w:left="50" w:right="47"/>
              <w:jc w:val="both"/>
              <w:rPr>
                <w:sz w:val="18"/>
              </w:rPr>
            </w:pPr>
            <w:r>
              <w:rPr>
                <w:sz w:val="18"/>
              </w:rPr>
              <w:t>Construcción y  equipamiento de la unidad de especialidades médicas (UNEME) en su modalidad de síndrome de obesidad, riesgo cardiovascular y diabetes mellitus (SoRID); municipio de Tula de Allende</w:t>
            </w:r>
          </w:p>
        </w:tc>
        <w:tc>
          <w:tcPr>
            <w:tcW w:w="2636" w:type="dxa"/>
            <w:tcBorders>
              <w:top w:val="single" w:sz="4" w:space="0" w:color="000000"/>
              <w:left w:val="single" w:sz="4" w:space="0" w:color="000000"/>
              <w:right w:val="single" w:sz="4" w:space="0" w:color="000000"/>
            </w:tcBorders>
          </w:tcPr>
          <w:p>
            <w:pPr>
              <w:pStyle w:val="TableParagraph"/>
              <w:spacing w:before="8"/>
              <w:ind w:left="52"/>
              <w:rPr>
                <w:sz w:val="18"/>
              </w:rPr>
            </w:pPr>
            <w:r>
              <w:rPr>
                <w:sz w:val="18"/>
              </w:rPr>
              <w:t>$ 2 592 500.00</w:t>
            </w:r>
          </w:p>
          <w:p>
            <w:pPr>
              <w:pStyle w:val="TableParagraph"/>
              <w:ind w:left="52"/>
              <w:rPr>
                <w:sz w:val="18"/>
              </w:rPr>
            </w:pPr>
            <w:r>
              <w:rPr>
                <w:sz w:val="18"/>
              </w:rPr>
              <w:t>100% de la inversión total.</w:t>
            </w:r>
          </w:p>
        </w:tc>
        <w:tc>
          <w:tcPr>
            <w:tcW w:w="2005" w:type="dxa"/>
            <w:tcBorders>
              <w:top w:val="single" w:sz="4" w:space="0" w:color="000000"/>
              <w:left w:val="single" w:sz="4" w:space="0" w:color="000000"/>
            </w:tcBorders>
          </w:tcPr>
          <w:p>
            <w:pPr>
              <w:pStyle w:val="TableParagraph"/>
              <w:spacing w:before="8"/>
              <w:ind w:left="16" w:right="12"/>
              <w:jc w:val="center"/>
              <w:rPr>
                <w:sz w:val="18"/>
              </w:rPr>
            </w:pPr>
            <w:r>
              <w:rPr>
                <w:sz w:val="18"/>
              </w:rPr>
              <w:t>Inició y concluyó en 2010.</w:t>
            </w:r>
          </w:p>
        </w:tc>
      </w:tr>
    </w:tbl>
    <w:p>
      <w:pPr>
        <w:pStyle w:val="BodyText"/>
        <w:spacing w:before="5"/>
        <w:rPr>
          <w:b/>
          <w:sz w:val="12"/>
        </w:rPr>
      </w:pPr>
    </w:p>
    <w:p>
      <w:pPr>
        <w:spacing w:before="78"/>
        <w:ind w:left="117" w:right="0" w:firstLine="0"/>
        <w:jc w:val="left"/>
        <w:rPr>
          <w:sz w:val="17"/>
        </w:rPr>
      </w:pPr>
      <w:r>
        <w:rPr>
          <w:sz w:val="17"/>
        </w:rPr>
        <w:t>Cuadro elaborado por el autor con información proporcionada por la Secretaría de Salud, según solicitud</w:t>
      </w:r>
    </w:p>
    <w:p>
      <w:pPr>
        <w:spacing w:before="4"/>
        <w:ind w:left="117" w:right="0" w:firstLine="0"/>
        <w:jc w:val="left"/>
        <w:rPr>
          <w:sz w:val="17"/>
        </w:rPr>
      </w:pPr>
      <w:r>
        <w:rPr>
          <w:sz w:val="17"/>
        </w:rPr>
        <w:t>al sistema INFOMEX gobierno federal con número de folio 0001200018211, 28 de febrero del 2011.</w:t>
      </w:r>
    </w:p>
    <w:p>
      <w:pPr>
        <w:spacing w:after="0"/>
        <w:jc w:val="left"/>
        <w:rPr>
          <w:sz w:val="17"/>
        </w:rPr>
        <w:sectPr>
          <w:pgSz w:w="9360" w:h="13040"/>
          <w:pgMar w:header="527" w:footer="515" w:top="940" w:bottom="700" w:left="1300" w:right="740"/>
        </w:sectPr>
      </w:pPr>
    </w:p>
    <w:p>
      <w:pPr>
        <w:pStyle w:val="BodyText"/>
        <w:rPr>
          <w:sz w:val="20"/>
        </w:rPr>
      </w:pPr>
    </w:p>
    <w:p>
      <w:pPr>
        <w:pStyle w:val="BodyText"/>
        <w:spacing w:before="9"/>
        <w:rPr>
          <w:sz w:val="28"/>
        </w:rPr>
      </w:pPr>
    </w:p>
    <w:p>
      <w:pPr>
        <w:pStyle w:val="Heading3"/>
        <w:spacing w:line="260" w:lineRule="exact" w:before="77"/>
        <w:ind w:left="110" w:right="111"/>
      </w:pPr>
      <w:r>
        <w:rPr/>
        <w:t>Obras</w:t>
      </w:r>
      <w:r>
        <w:rPr>
          <w:spacing w:val="-22"/>
        </w:rPr>
        <w:t> </w:t>
      </w:r>
      <w:r>
        <w:rPr/>
        <w:t>y</w:t>
      </w:r>
      <w:r>
        <w:rPr>
          <w:spacing w:val="-22"/>
        </w:rPr>
        <w:t> </w:t>
      </w:r>
      <w:r>
        <w:rPr/>
        <w:t>transferencias</w:t>
      </w:r>
      <w:r>
        <w:rPr>
          <w:spacing w:val="-22"/>
        </w:rPr>
        <w:t> </w:t>
      </w:r>
      <w:r>
        <w:rPr/>
        <w:t>derivadas</w:t>
      </w:r>
      <w:r>
        <w:rPr>
          <w:spacing w:val="-21"/>
        </w:rPr>
        <w:t> </w:t>
      </w:r>
      <w:r>
        <w:rPr/>
        <w:t>del</w:t>
      </w:r>
      <w:r>
        <w:rPr>
          <w:spacing w:val="-22"/>
        </w:rPr>
        <w:t> </w:t>
      </w:r>
      <w:r>
        <w:rPr/>
        <w:t>convenio</w:t>
      </w:r>
      <w:r>
        <w:rPr>
          <w:spacing w:val="-22"/>
        </w:rPr>
        <w:t> </w:t>
      </w:r>
      <w:r>
        <w:rPr/>
        <w:t>de</w:t>
      </w:r>
      <w:r>
        <w:rPr>
          <w:spacing w:val="-22"/>
        </w:rPr>
        <w:t> </w:t>
      </w:r>
      <w:r>
        <w:rPr/>
        <w:t>coordinación</w:t>
      </w:r>
      <w:r>
        <w:rPr>
          <w:spacing w:val="-22"/>
        </w:rPr>
        <w:t> </w:t>
      </w:r>
      <w:r>
        <w:rPr/>
        <w:t>en</w:t>
      </w:r>
      <w:r>
        <w:rPr>
          <w:spacing w:val="-22"/>
        </w:rPr>
        <w:t> </w:t>
      </w:r>
      <w:r>
        <w:rPr/>
        <w:t>materia de reasignación de recursos del año 2008, entre el Ejecutivo Federal, por conducto</w:t>
      </w:r>
      <w:r>
        <w:rPr>
          <w:spacing w:val="-19"/>
        </w:rPr>
        <w:t> </w:t>
      </w:r>
      <w:r>
        <w:rPr/>
        <w:t>de</w:t>
      </w:r>
      <w:r>
        <w:rPr>
          <w:spacing w:val="-18"/>
        </w:rPr>
        <w:t> </w:t>
      </w:r>
      <w:r>
        <w:rPr/>
        <w:t>la</w:t>
      </w:r>
      <w:r>
        <w:rPr>
          <w:spacing w:val="-19"/>
        </w:rPr>
        <w:t> </w:t>
      </w:r>
      <w:r>
        <w:rPr/>
        <w:t>Secretaría</w:t>
      </w:r>
      <w:r>
        <w:rPr>
          <w:spacing w:val="-19"/>
        </w:rPr>
        <w:t> </w:t>
      </w:r>
      <w:r>
        <w:rPr/>
        <w:t>de</w:t>
      </w:r>
      <w:r>
        <w:rPr>
          <w:spacing w:val="-23"/>
        </w:rPr>
        <w:t> </w:t>
      </w:r>
      <w:r>
        <w:rPr>
          <w:spacing w:val="-4"/>
        </w:rPr>
        <w:t>Turismo,</w:t>
      </w:r>
      <w:r>
        <w:rPr>
          <w:spacing w:val="-18"/>
        </w:rPr>
        <w:t> </w:t>
      </w:r>
      <w:r>
        <w:rPr/>
        <w:t>y</w:t>
      </w:r>
      <w:r>
        <w:rPr>
          <w:spacing w:val="-19"/>
        </w:rPr>
        <w:t> </w:t>
      </w:r>
      <w:r>
        <w:rPr/>
        <w:t>el</w:t>
      </w:r>
      <w:r>
        <w:rPr>
          <w:spacing w:val="-19"/>
        </w:rPr>
        <w:t> </w:t>
      </w:r>
      <w:r>
        <w:rPr/>
        <w:t>gobierno</w:t>
      </w:r>
      <w:r>
        <w:rPr>
          <w:spacing w:val="-19"/>
        </w:rPr>
        <w:t> </w:t>
      </w:r>
      <w:r>
        <w:rPr/>
        <w:t>del</w:t>
      </w:r>
      <w:r>
        <w:rPr>
          <w:spacing w:val="-19"/>
        </w:rPr>
        <w:t> </w:t>
      </w:r>
      <w:r>
        <w:rPr/>
        <w:t>Estado</w:t>
      </w:r>
      <w:r>
        <w:rPr>
          <w:spacing w:val="-19"/>
        </w:rPr>
        <w:t> </w:t>
      </w:r>
      <w:r>
        <w:rPr/>
        <w:t>de</w:t>
      </w:r>
      <w:r>
        <w:rPr>
          <w:spacing w:val="-18"/>
        </w:rPr>
        <w:t> </w:t>
      </w:r>
      <w:r>
        <w:rPr/>
        <w:t>Hidalgo.</w:t>
      </w:r>
    </w:p>
    <w:p>
      <w:pPr>
        <w:pStyle w:val="BodyText"/>
        <w:rPr>
          <w:b/>
          <w:sz w:val="20"/>
        </w:rPr>
      </w:pPr>
    </w:p>
    <w:p>
      <w:pPr>
        <w:pStyle w:val="BodyText"/>
        <w:spacing w:before="7"/>
        <w:rPr>
          <w:b/>
          <w:sz w:val="27"/>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3"/>
        <w:gridCol w:w="1814"/>
        <w:gridCol w:w="1821"/>
      </w:tblGrid>
      <w:tr>
        <w:trPr>
          <w:trHeight w:val="508" w:hRule="exact"/>
        </w:trPr>
        <w:tc>
          <w:tcPr>
            <w:tcW w:w="3453" w:type="dxa"/>
          </w:tcPr>
          <w:p>
            <w:pPr>
              <w:pStyle w:val="TableParagraph"/>
              <w:spacing w:line="249" w:lineRule="auto" w:before="34"/>
              <w:ind w:left="80"/>
              <w:rPr>
                <w:b/>
                <w:sz w:val="18"/>
              </w:rPr>
            </w:pPr>
            <w:r>
              <w:rPr>
                <w:b/>
                <w:sz w:val="18"/>
              </w:rPr>
              <w:t>Obras y montos transferidos en 2008 desde el sector federal.</w:t>
            </w:r>
          </w:p>
        </w:tc>
        <w:tc>
          <w:tcPr>
            <w:tcW w:w="1814" w:type="dxa"/>
          </w:tcPr>
          <w:p>
            <w:pPr>
              <w:pStyle w:val="TableParagraph"/>
              <w:spacing w:line="249" w:lineRule="auto" w:before="34"/>
              <w:ind w:left="80"/>
              <w:rPr>
                <w:b/>
                <w:sz w:val="18"/>
              </w:rPr>
            </w:pPr>
            <w:r>
              <w:rPr>
                <w:b/>
                <w:sz w:val="18"/>
              </w:rPr>
              <w:t>Avances al 31 de diciembre de 2008.</w:t>
            </w:r>
          </w:p>
        </w:tc>
        <w:tc>
          <w:tcPr>
            <w:tcW w:w="1821" w:type="dxa"/>
          </w:tcPr>
          <w:p>
            <w:pPr>
              <w:pStyle w:val="TableParagraph"/>
              <w:spacing w:line="249" w:lineRule="auto" w:before="34"/>
              <w:ind w:left="80"/>
              <w:rPr>
                <w:b/>
                <w:sz w:val="18"/>
              </w:rPr>
            </w:pPr>
            <w:r>
              <w:rPr>
                <w:b/>
                <w:sz w:val="18"/>
              </w:rPr>
              <w:t>Avances al 31 de diciembre de 2009.</w:t>
            </w:r>
          </w:p>
        </w:tc>
      </w:tr>
      <w:tr>
        <w:trPr>
          <w:trHeight w:val="727" w:hRule="exact"/>
        </w:trPr>
        <w:tc>
          <w:tcPr>
            <w:tcW w:w="3453" w:type="dxa"/>
          </w:tcPr>
          <w:p>
            <w:pPr>
              <w:pStyle w:val="TableParagraph"/>
              <w:spacing w:line="249" w:lineRule="auto" w:before="36"/>
              <w:ind w:left="80"/>
              <w:rPr>
                <w:sz w:val="18"/>
              </w:rPr>
            </w:pPr>
            <w:r>
              <w:rPr>
                <w:sz w:val="18"/>
              </w:rPr>
              <w:t>3ª etapa. Rehabilitación de imagen urbana y equipamiento turístico de Huejutla de Reyes.</w:t>
            </w:r>
          </w:p>
          <w:p>
            <w:pPr>
              <w:pStyle w:val="TableParagraph"/>
              <w:spacing w:before="1"/>
              <w:ind w:left="80"/>
              <w:rPr>
                <w:sz w:val="18"/>
              </w:rPr>
            </w:pPr>
            <w:r>
              <w:rPr>
                <w:sz w:val="18"/>
              </w:rPr>
              <w:t>$ 23 797 935.00</w:t>
            </w:r>
          </w:p>
        </w:tc>
        <w:tc>
          <w:tcPr>
            <w:tcW w:w="1814" w:type="dxa"/>
          </w:tcPr>
          <w:p>
            <w:pPr>
              <w:pStyle w:val="TableParagraph"/>
              <w:spacing w:before="36"/>
              <w:ind w:left="80"/>
              <w:rPr>
                <w:sz w:val="18"/>
              </w:rPr>
            </w:pPr>
            <w:r>
              <w:rPr>
                <w:sz w:val="18"/>
              </w:rPr>
              <w:t>Físico 42%</w:t>
            </w:r>
          </w:p>
          <w:p>
            <w:pPr>
              <w:pStyle w:val="TableParagraph"/>
              <w:ind w:left="80"/>
              <w:rPr>
                <w:sz w:val="18"/>
              </w:rPr>
            </w:pPr>
            <w:r>
              <w:rPr>
                <w:sz w:val="18"/>
              </w:rPr>
              <w:t>Financiero 48%</w:t>
            </w:r>
          </w:p>
        </w:tc>
        <w:tc>
          <w:tcPr>
            <w:tcW w:w="1821" w:type="dxa"/>
          </w:tcPr>
          <w:p>
            <w:pPr>
              <w:pStyle w:val="TableParagraph"/>
              <w:spacing w:before="36"/>
              <w:ind w:left="80"/>
              <w:rPr>
                <w:sz w:val="18"/>
              </w:rPr>
            </w:pPr>
            <w:r>
              <w:rPr>
                <w:sz w:val="18"/>
              </w:rPr>
              <w:t>Físico 71.99%</w:t>
            </w:r>
          </w:p>
          <w:p>
            <w:pPr>
              <w:pStyle w:val="TableParagraph"/>
              <w:ind w:left="80"/>
              <w:rPr>
                <w:sz w:val="18"/>
              </w:rPr>
            </w:pPr>
            <w:r>
              <w:rPr>
                <w:sz w:val="18"/>
              </w:rPr>
              <w:t>Financiero 71.99%</w:t>
            </w:r>
          </w:p>
        </w:tc>
      </w:tr>
      <w:tr>
        <w:trPr>
          <w:trHeight w:val="727" w:hRule="exact"/>
        </w:trPr>
        <w:tc>
          <w:tcPr>
            <w:tcW w:w="3453" w:type="dxa"/>
          </w:tcPr>
          <w:p>
            <w:pPr>
              <w:pStyle w:val="TableParagraph"/>
              <w:spacing w:line="249" w:lineRule="auto" w:before="36"/>
              <w:ind w:left="80"/>
              <w:rPr>
                <w:sz w:val="18"/>
              </w:rPr>
            </w:pPr>
            <w:r>
              <w:rPr>
                <w:sz w:val="18"/>
              </w:rPr>
              <w:t>2ª etapa. Rehabilitación de imagen urbana y equipamiento turístico de Tula de Allende.</w:t>
            </w:r>
          </w:p>
          <w:p>
            <w:pPr>
              <w:pStyle w:val="TableParagraph"/>
              <w:spacing w:before="1"/>
              <w:ind w:left="80"/>
              <w:rPr>
                <w:sz w:val="18"/>
              </w:rPr>
            </w:pPr>
            <w:r>
              <w:rPr>
                <w:sz w:val="18"/>
              </w:rPr>
              <w:t>$ 32 659 043.63</w:t>
            </w:r>
          </w:p>
        </w:tc>
        <w:tc>
          <w:tcPr>
            <w:tcW w:w="1814" w:type="dxa"/>
          </w:tcPr>
          <w:p>
            <w:pPr>
              <w:pStyle w:val="TableParagraph"/>
              <w:spacing w:before="36"/>
              <w:ind w:left="80"/>
              <w:rPr>
                <w:sz w:val="18"/>
              </w:rPr>
            </w:pPr>
            <w:r>
              <w:rPr>
                <w:sz w:val="18"/>
              </w:rPr>
              <w:t>Físico 64.82%</w:t>
            </w:r>
          </w:p>
          <w:p>
            <w:pPr>
              <w:pStyle w:val="TableParagraph"/>
              <w:ind w:left="80"/>
              <w:rPr>
                <w:sz w:val="18"/>
              </w:rPr>
            </w:pPr>
            <w:r>
              <w:rPr>
                <w:sz w:val="18"/>
              </w:rPr>
              <w:t>Financiero 66.64%</w:t>
            </w:r>
          </w:p>
        </w:tc>
        <w:tc>
          <w:tcPr>
            <w:tcW w:w="1821" w:type="dxa"/>
          </w:tcPr>
          <w:p>
            <w:pPr>
              <w:pStyle w:val="TableParagraph"/>
              <w:spacing w:before="36"/>
              <w:ind w:left="80"/>
              <w:rPr>
                <w:sz w:val="18"/>
              </w:rPr>
            </w:pPr>
            <w:r>
              <w:rPr>
                <w:sz w:val="18"/>
              </w:rPr>
              <w:t>Físico 99.74%</w:t>
            </w:r>
          </w:p>
          <w:p>
            <w:pPr>
              <w:pStyle w:val="TableParagraph"/>
              <w:ind w:left="80"/>
              <w:rPr>
                <w:sz w:val="18"/>
              </w:rPr>
            </w:pPr>
            <w:r>
              <w:rPr>
                <w:sz w:val="18"/>
              </w:rPr>
              <w:t>Financiero 99.74%</w:t>
            </w:r>
          </w:p>
        </w:tc>
      </w:tr>
      <w:tr>
        <w:trPr>
          <w:trHeight w:val="727" w:hRule="exact"/>
        </w:trPr>
        <w:tc>
          <w:tcPr>
            <w:tcW w:w="3453" w:type="dxa"/>
          </w:tcPr>
          <w:p>
            <w:pPr>
              <w:pStyle w:val="TableParagraph"/>
              <w:spacing w:line="249" w:lineRule="auto" w:before="36"/>
              <w:ind w:left="80"/>
              <w:rPr>
                <w:sz w:val="18"/>
              </w:rPr>
            </w:pPr>
            <w:r>
              <w:rPr>
                <w:sz w:val="18"/>
              </w:rPr>
              <w:t>2ª etapa. Rehabilitación de imagen urbana y equipamiento turístico de Metztitlan.</w:t>
            </w:r>
          </w:p>
          <w:p>
            <w:pPr>
              <w:pStyle w:val="TableParagraph"/>
              <w:spacing w:before="1"/>
              <w:ind w:left="80"/>
              <w:rPr>
                <w:sz w:val="18"/>
              </w:rPr>
            </w:pPr>
            <w:r>
              <w:rPr>
                <w:sz w:val="18"/>
              </w:rPr>
              <w:t>$ 10 792 000.00</w:t>
            </w:r>
          </w:p>
        </w:tc>
        <w:tc>
          <w:tcPr>
            <w:tcW w:w="1814" w:type="dxa"/>
          </w:tcPr>
          <w:p>
            <w:pPr>
              <w:pStyle w:val="TableParagraph"/>
              <w:spacing w:before="36"/>
              <w:ind w:left="80"/>
              <w:rPr>
                <w:sz w:val="18"/>
              </w:rPr>
            </w:pPr>
            <w:r>
              <w:rPr>
                <w:sz w:val="18"/>
              </w:rPr>
              <w:t>Físico 25%</w:t>
            </w:r>
          </w:p>
          <w:p>
            <w:pPr>
              <w:pStyle w:val="TableParagraph"/>
              <w:ind w:left="80"/>
              <w:rPr>
                <w:sz w:val="18"/>
              </w:rPr>
            </w:pPr>
            <w:r>
              <w:rPr>
                <w:sz w:val="18"/>
              </w:rPr>
              <w:t>Financiero 47.92%</w:t>
            </w:r>
          </w:p>
        </w:tc>
        <w:tc>
          <w:tcPr>
            <w:tcW w:w="1821" w:type="dxa"/>
          </w:tcPr>
          <w:p>
            <w:pPr>
              <w:pStyle w:val="TableParagraph"/>
              <w:spacing w:before="36"/>
              <w:ind w:left="80"/>
              <w:rPr>
                <w:sz w:val="18"/>
              </w:rPr>
            </w:pPr>
            <w:r>
              <w:rPr>
                <w:sz w:val="18"/>
              </w:rPr>
              <w:t>Físico 100%</w:t>
            </w:r>
          </w:p>
          <w:p>
            <w:pPr>
              <w:pStyle w:val="TableParagraph"/>
              <w:ind w:left="80"/>
              <w:rPr>
                <w:sz w:val="18"/>
              </w:rPr>
            </w:pPr>
            <w:r>
              <w:rPr>
                <w:sz w:val="18"/>
              </w:rPr>
              <w:t>Financiero 100%</w:t>
            </w:r>
          </w:p>
        </w:tc>
      </w:tr>
      <w:tr>
        <w:trPr>
          <w:trHeight w:val="727" w:hRule="exact"/>
        </w:trPr>
        <w:tc>
          <w:tcPr>
            <w:tcW w:w="3453" w:type="dxa"/>
          </w:tcPr>
          <w:p>
            <w:pPr>
              <w:pStyle w:val="TableParagraph"/>
              <w:spacing w:line="249" w:lineRule="auto" w:before="36"/>
              <w:ind w:left="80"/>
              <w:rPr>
                <w:sz w:val="18"/>
              </w:rPr>
            </w:pPr>
            <w:r>
              <w:rPr>
                <w:sz w:val="18"/>
              </w:rPr>
              <w:t>3º etapa. Rehabilitación de imagen urbana y equipamiento del centro histórico de Pachuca.</w:t>
            </w:r>
          </w:p>
          <w:p>
            <w:pPr>
              <w:pStyle w:val="TableParagraph"/>
              <w:spacing w:before="1"/>
              <w:ind w:left="80"/>
              <w:rPr>
                <w:sz w:val="18"/>
              </w:rPr>
            </w:pPr>
            <w:r>
              <w:rPr>
                <w:sz w:val="18"/>
              </w:rPr>
              <w:t>$ 3 850 000.00</w:t>
            </w:r>
          </w:p>
        </w:tc>
        <w:tc>
          <w:tcPr>
            <w:tcW w:w="1814" w:type="dxa"/>
          </w:tcPr>
          <w:p>
            <w:pPr>
              <w:pStyle w:val="TableParagraph"/>
              <w:spacing w:before="36"/>
              <w:ind w:left="80"/>
              <w:rPr>
                <w:sz w:val="18"/>
              </w:rPr>
            </w:pPr>
            <w:r>
              <w:rPr>
                <w:sz w:val="18"/>
              </w:rPr>
              <w:t>Físico 77%</w:t>
            </w:r>
          </w:p>
          <w:p>
            <w:pPr>
              <w:pStyle w:val="TableParagraph"/>
              <w:ind w:left="80"/>
              <w:rPr>
                <w:sz w:val="18"/>
              </w:rPr>
            </w:pPr>
            <w:r>
              <w:rPr>
                <w:sz w:val="18"/>
              </w:rPr>
              <w:t>Financiero 42.36%</w:t>
            </w:r>
          </w:p>
        </w:tc>
        <w:tc>
          <w:tcPr>
            <w:tcW w:w="1821" w:type="dxa"/>
          </w:tcPr>
          <w:p>
            <w:pPr>
              <w:pStyle w:val="TableParagraph"/>
              <w:spacing w:before="36"/>
              <w:ind w:left="80"/>
              <w:rPr>
                <w:sz w:val="18"/>
              </w:rPr>
            </w:pPr>
            <w:r>
              <w:rPr>
                <w:sz w:val="18"/>
              </w:rPr>
              <w:t>Físico 91.70%</w:t>
            </w:r>
          </w:p>
          <w:p>
            <w:pPr>
              <w:pStyle w:val="TableParagraph"/>
              <w:ind w:left="80"/>
              <w:rPr>
                <w:sz w:val="18"/>
              </w:rPr>
            </w:pPr>
            <w:r>
              <w:rPr>
                <w:sz w:val="18"/>
              </w:rPr>
              <w:t>Financiero 91.59%</w:t>
            </w:r>
          </w:p>
        </w:tc>
      </w:tr>
      <w:tr>
        <w:trPr>
          <w:trHeight w:val="727" w:hRule="exact"/>
        </w:trPr>
        <w:tc>
          <w:tcPr>
            <w:tcW w:w="3453" w:type="dxa"/>
          </w:tcPr>
          <w:p>
            <w:pPr>
              <w:pStyle w:val="TableParagraph"/>
              <w:spacing w:line="249" w:lineRule="auto" w:before="36"/>
              <w:ind w:left="80"/>
              <w:rPr>
                <w:sz w:val="18"/>
              </w:rPr>
            </w:pPr>
            <w:r>
              <w:rPr>
                <w:sz w:val="18"/>
              </w:rPr>
              <w:t>2ª etapa. Rehabilitación de imagen urbana y equipamiento turístico de Huichapan.</w:t>
            </w:r>
          </w:p>
          <w:p>
            <w:pPr>
              <w:pStyle w:val="TableParagraph"/>
              <w:spacing w:before="1"/>
              <w:ind w:left="80"/>
              <w:rPr>
                <w:sz w:val="18"/>
              </w:rPr>
            </w:pPr>
            <w:r>
              <w:rPr>
                <w:sz w:val="18"/>
              </w:rPr>
              <w:t>$ 2 535 055.96</w:t>
            </w:r>
          </w:p>
        </w:tc>
        <w:tc>
          <w:tcPr>
            <w:tcW w:w="1814" w:type="dxa"/>
          </w:tcPr>
          <w:p>
            <w:pPr>
              <w:pStyle w:val="TableParagraph"/>
              <w:spacing w:before="36"/>
              <w:ind w:left="80"/>
              <w:rPr>
                <w:sz w:val="18"/>
              </w:rPr>
            </w:pPr>
            <w:r>
              <w:rPr>
                <w:sz w:val="18"/>
              </w:rPr>
              <w:t>Físico 50%</w:t>
            </w:r>
          </w:p>
          <w:p>
            <w:pPr>
              <w:pStyle w:val="TableParagraph"/>
              <w:ind w:left="80"/>
              <w:rPr>
                <w:sz w:val="18"/>
              </w:rPr>
            </w:pPr>
            <w:r>
              <w:rPr>
                <w:sz w:val="18"/>
              </w:rPr>
              <w:t>Financiero 42.35%</w:t>
            </w:r>
          </w:p>
        </w:tc>
        <w:tc>
          <w:tcPr>
            <w:tcW w:w="1821" w:type="dxa"/>
          </w:tcPr>
          <w:p>
            <w:pPr>
              <w:pStyle w:val="TableParagraph"/>
              <w:spacing w:before="36"/>
              <w:ind w:left="80"/>
              <w:rPr>
                <w:sz w:val="18"/>
              </w:rPr>
            </w:pPr>
            <w:r>
              <w:rPr>
                <w:sz w:val="18"/>
              </w:rPr>
              <w:t>Físico 94.59%</w:t>
            </w:r>
          </w:p>
          <w:p>
            <w:pPr>
              <w:pStyle w:val="TableParagraph"/>
              <w:ind w:left="80"/>
              <w:rPr>
                <w:sz w:val="18"/>
              </w:rPr>
            </w:pPr>
            <w:r>
              <w:rPr>
                <w:sz w:val="18"/>
              </w:rPr>
              <w:t>Financiero 84.32%</w:t>
            </w:r>
          </w:p>
        </w:tc>
      </w:tr>
      <w:tr>
        <w:trPr>
          <w:trHeight w:val="943" w:hRule="exact"/>
        </w:trPr>
        <w:tc>
          <w:tcPr>
            <w:tcW w:w="3453" w:type="dxa"/>
          </w:tcPr>
          <w:p>
            <w:pPr>
              <w:pStyle w:val="TableParagraph"/>
              <w:spacing w:line="249" w:lineRule="auto" w:before="36"/>
              <w:ind w:left="80" w:right="77"/>
              <w:jc w:val="both"/>
              <w:rPr>
                <w:sz w:val="18"/>
              </w:rPr>
            </w:pPr>
            <w:r>
              <w:rPr>
                <w:sz w:val="18"/>
              </w:rPr>
              <w:t>2ª etapa. Rehabilitación de imagen urbana y equipamiento turístico en el centro histórico de Tecozautla.</w:t>
            </w:r>
          </w:p>
          <w:p>
            <w:pPr>
              <w:pStyle w:val="TableParagraph"/>
              <w:spacing w:before="1"/>
              <w:ind w:left="80"/>
              <w:jc w:val="both"/>
              <w:rPr>
                <w:sz w:val="18"/>
              </w:rPr>
            </w:pPr>
            <w:r>
              <w:rPr>
                <w:sz w:val="18"/>
              </w:rPr>
              <w:t>$ 5 802 286.87</w:t>
            </w:r>
          </w:p>
        </w:tc>
        <w:tc>
          <w:tcPr>
            <w:tcW w:w="1814" w:type="dxa"/>
          </w:tcPr>
          <w:p>
            <w:pPr>
              <w:pStyle w:val="TableParagraph"/>
              <w:spacing w:before="36"/>
              <w:ind w:left="80"/>
              <w:rPr>
                <w:sz w:val="18"/>
              </w:rPr>
            </w:pPr>
            <w:r>
              <w:rPr>
                <w:sz w:val="18"/>
              </w:rPr>
              <w:t>Físico 25%</w:t>
            </w:r>
          </w:p>
          <w:p>
            <w:pPr>
              <w:pStyle w:val="TableParagraph"/>
              <w:ind w:left="80"/>
              <w:rPr>
                <w:sz w:val="18"/>
              </w:rPr>
            </w:pPr>
            <w:r>
              <w:rPr>
                <w:sz w:val="18"/>
              </w:rPr>
              <w:t>Financiero 38.12%</w:t>
            </w:r>
          </w:p>
        </w:tc>
        <w:tc>
          <w:tcPr>
            <w:tcW w:w="1821" w:type="dxa"/>
          </w:tcPr>
          <w:p>
            <w:pPr>
              <w:pStyle w:val="TableParagraph"/>
              <w:spacing w:before="36"/>
              <w:ind w:left="80"/>
              <w:rPr>
                <w:sz w:val="18"/>
              </w:rPr>
            </w:pPr>
            <w:r>
              <w:rPr>
                <w:sz w:val="18"/>
              </w:rPr>
              <w:t>Físico 69.47%</w:t>
            </w:r>
          </w:p>
          <w:p>
            <w:pPr>
              <w:pStyle w:val="TableParagraph"/>
              <w:ind w:left="80"/>
              <w:rPr>
                <w:sz w:val="18"/>
              </w:rPr>
            </w:pPr>
            <w:r>
              <w:rPr>
                <w:sz w:val="18"/>
              </w:rPr>
              <w:t>Financiero 69.47%</w:t>
            </w:r>
          </w:p>
        </w:tc>
      </w:tr>
      <w:tr>
        <w:trPr>
          <w:trHeight w:val="943" w:hRule="exact"/>
        </w:trPr>
        <w:tc>
          <w:tcPr>
            <w:tcW w:w="3453" w:type="dxa"/>
          </w:tcPr>
          <w:p>
            <w:pPr>
              <w:pStyle w:val="TableParagraph"/>
              <w:spacing w:line="249" w:lineRule="auto" w:before="36"/>
              <w:ind w:left="80" w:right="78"/>
              <w:jc w:val="both"/>
              <w:rPr>
                <w:sz w:val="18"/>
              </w:rPr>
            </w:pPr>
            <w:r>
              <w:rPr>
                <w:sz w:val="18"/>
              </w:rPr>
              <w:t>1ª etapa.  Rehabilitación  de  imagen  urbana y equipamiento turístico de Nopala de Villagrán.</w:t>
            </w:r>
          </w:p>
          <w:p>
            <w:pPr>
              <w:pStyle w:val="TableParagraph"/>
              <w:spacing w:before="1"/>
              <w:ind w:left="80"/>
              <w:jc w:val="both"/>
              <w:rPr>
                <w:sz w:val="18"/>
              </w:rPr>
            </w:pPr>
            <w:r>
              <w:rPr>
                <w:sz w:val="18"/>
              </w:rPr>
              <w:t>$ 4 277 248.92</w:t>
            </w:r>
          </w:p>
        </w:tc>
        <w:tc>
          <w:tcPr>
            <w:tcW w:w="1814" w:type="dxa"/>
          </w:tcPr>
          <w:p>
            <w:pPr>
              <w:pStyle w:val="TableParagraph"/>
              <w:spacing w:before="36"/>
              <w:ind w:left="80"/>
              <w:rPr>
                <w:sz w:val="18"/>
              </w:rPr>
            </w:pPr>
            <w:r>
              <w:rPr>
                <w:sz w:val="18"/>
              </w:rPr>
              <w:t>Físico 35.45%</w:t>
            </w:r>
          </w:p>
          <w:p>
            <w:pPr>
              <w:pStyle w:val="TableParagraph"/>
              <w:ind w:left="80"/>
              <w:rPr>
                <w:sz w:val="18"/>
              </w:rPr>
            </w:pPr>
            <w:r>
              <w:rPr>
                <w:sz w:val="18"/>
              </w:rPr>
              <w:t>Financiero 41.87%</w:t>
            </w:r>
          </w:p>
        </w:tc>
        <w:tc>
          <w:tcPr>
            <w:tcW w:w="1821" w:type="dxa"/>
          </w:tcPr>
          <w:p>
            <w:pPr>
              <w:pStyle w:val="TableParagraph"/>
              <w:spacing w:before="36"/>
              <w:ind w:left="80"/>
              <w:rPr>
                <w:sz w:val="18"/>
              </w:rPr>
            </w:pPr>
            <w:r>
              <w:rPr>
                <w:sz w:val="18"/>
              </w:rPr>
              <w:t>Físico 95%</w:t>
            </w:r>
          </w:p>
          <w:p>
            <w:pPr>
              <w:pStyle w:val="TableParagraph"/>
              <w:ind w:left="80"/>
              <w:rPr>
                <w:sz w:val="18"/>
              </w:rPr>
            </w:pPr>
            <w:r>
              <w:rPr>
                <w:sz w:val="18"/>
              </w:rPr>
              <w:t>Financiero 96.01%</w:t>
            </w:r>
          </w:p>
        </w:tc>
      </w:tr>
      <w:tr>
        <w:trPr>
          <w:trHeight w:val="943" w:hRule="exact"/>
        </w:trPr>
        <w:tc>
          <w:tcPr>
            <w:tcW w:w="3453" w:type="dxa"/>
          </w:tcPr>
          <w:p>
            <w:pPr>
              <w:pStyle w:val="TableParagraph"/>
              <w:spacing w:line="249" w:lineRule="auto" w:before="36"/>
              <w:ind w:left="80" w:right="77"/>
              <w:jc w:val="both"/>
              <w:rPr>
                <w:sz w:val="18"/>
              </w:rPr>
            </w:pPr>
            <w:r>
              <w:rPr>
                <w:sz w:val="18"/>
              </w:rPr>
              <w:t>5ª etapa. Rehabilitación de imagen urbana y equipamiento turístico en el pueblo mágico Real del Monte.</w:t>
            </w:r>
          </w:p>
          <w:p>
            <w:pPr>
              <w:pStyle w:val="TableParagraph"/>
              <w:spacing w:before="1"/>
              <w:ind w:left="80"/>
              <w:jc w:val="both"/>
              <w:rPr>
                <w:sz w:val="18"/>
              </w:rPr>
            </w:pPr>
            <w:r>
              <w:rPr>
                <w:sz w:val="18"/>
              </w:rPr>
              <w:t>$ 2 723 808.00</w:t>
            </w:r>
          </w:p>
        </w:tc>
        <w:tc>
          <w:tcPr>
            <w:tcW w:w="1814" w:type="dxa"/>
          </w:tcPr>
          <w:p>
            <w:pPr>
              <w:pStyle w:val="TableParagraph"/>
              <w:spacing w:before="36"/>
              <w:ind w:left="80"/>
              <w:rPr>
                <w:sz w:val="18"/>
              </w:rPr>
            </w:pPr>
            <w:r>
              <w:rPr>
                <w:sz w:val="18"/>
              </w:rPr>
              <w:t>Físico 25.42%</w:t>
            </w:r>
          </w:p>
          <w:p>
            <w:pPr>
              <w:pStyle w:val="TableParagraph"/>
              <w:ind w:left="80"/>
              <w:rPr>
                <w:sz w:val="18"/>
              </w:rPr>
            </w:pPr>
            <w:r>
              <w:rPr>
                <w:sz w:val="18"/>
              </w:rPr>
              <w:t>Financiero 45.96%</w:t>
            </w:r>
          </w:p>
        </w:tc>
        <w:tc>
          <w:tcPr>
            <w:tcW w:w="1821" w:type="dxa"/>
          </w:tcPr>
          <w:p>
            <w:pPr>
              <w:pStyle w:val="TableParagraph"/>
              <w:spacing w:before="36"/>
              <w:ind w:left="80"/>
              <w:rPr>
                <w:sz w:val="18"/>
              </w:rPr>
            </w:pPr>
            <w:r>
              <w:rPr>
                <w:sz w:val="18"/>
              </w:rPr>
              <w:t>Físico 90.82%</w:t>
            </w:r>
          </w:p>
          <w:p>
            <w:pPr>
              <w:pStyle w:val="TableParagraph"/>
              <w:ind w:left="80"/>
              <w:rPr>
                <w:sz w:val="18"/>
              </w:rPr>
            </w:pPr>
            <w:r>
              <w:rPr>
                <w:sz w:val="18"/>
              </w:rPr>
              <w:t>Financiero 90.82%</w:t>
            </w:r>
          </w:p>
        </w:tc>
      </w:tr>
      <w:tr>
        <w:trPr>
          <w:trHeight w:val="943" w:hRule="exact"/>
        </w:trPr>
        <w:tc>
          <w:tcPr>
            <w:tcW w:w="3453" w:type="dxa"/>
          </w:tcPr>
          <w:p>
            <w:pPr>
              <w:pStyle w:val="TableParagraph"/>
              <w:spacing w:line="249" w:lineRule="auto" w:before="36"/>
              <w:ind w:left="80" w:right="77"/>
              <w:jc w:val="both"/>
              <w:rPr>
                <w:sz w:val="18"/>
              </w:rPr>
            </w:pPr>
            <w:r>
              <w:rPr>
                <w:sz w:val="18"/>
              </w:rPr>
              <w:t>8ª etapa. Rehabilitación de imagen urbana y equipamiento</w:t>
            </w:r>
            <w:r>
              <w:rPr>
                <w:spacing w:val="-9"/>
                <w:sz w:val="18"/>
              </w:rPr>
              <w:t> </w:t>
            </w:r>
            <w:r>
              <w:rPr>
                <w:sz w:val="18"/>
              </w:rPr>
              <w:t>turístico</w:t>
            </w:r>
            <w:r>
              <w:rPr>
                <w:spacing w:val="-9"/>
                <w:sz w:val="18"/>
              </w:rPr>
              <w:t> </w:t>
            </w:r>
            <w:r>
              <w:rPr>
                <w:sz w:val="18"/>
              </w:rPr>
              <w:t>en</w:t>
            </w:r>
            <w:r>
              <w:rPr>
                <w:spacing w:val="-8"/>
                <w:sz w:val="18"/>
              </w:rPr>
              <w:t> </w:t>
            </w:r>
            <w:r>
              <w:rPr>
                <w:sz w:val="18"/>
              </w:rPr>
              <w:t>el</w:t>
            </w:r>
            <w:r>
              <w:rPr>
                <w:spacing w:val="-8"/>
                <w:sz w:val="18"/>
              </w:rPr>
              <w:t> </w:t>
            </w:r>
            <w:r>
              <w:rPr>
                <w:sz w:val="18"/>
              </w:rPr>
              <w:t>pueblo</w:t>
            </w:r>
            <w:r>
              <w:rPr>
                <w:spacing w:val="-8"/>
                <w:sz w:val="18"/>
              </w:rPr>
              <w:t> </w:t>
            </w:r>
            <w:r>
              <w:rPr>
                <w:sz w:val="18"/>
              </w:rPr>
              <w:t>mágico</w:t>
            </w:r>
            <w:r>
              <w:rPr>
                <w:spacing w:val="-8"/>
                <w:sz w:val="18"/>
              </w:rPr>
              <w:t> </w:t>
            </w:r>
            <w:r>
              <w:rPr>
                <w:sz w:val="18"/>
              </w:rPr>
              <w:t>de Huasca de</w:t>
            </w:r>
            <w:r>
              <w:rPr>
                <w:spacing w:val="-12"/>
                <w:sz w:val="18"/>
              </w:rPr>
              <w:t> </w:t>
            </w:r>
            <w:r>
              <w:rPr>
                <w:sz w:val="18"/>
              </w:rPr>
              <w:t>Ocampo.</w:t>
            </w:r>
          </w:p>
          <w:p>
            <w:pPr>
              <w:pStyle w:val="TableParagraph"/>
              <w:spacing w:before="1"/>
              <w:ind w:left="80"/>
              <w:jc w:val="both"/>
              <w:rPr>
                <w:sz w:val="18"/>
              </w:rPr>
            </w:pPr>
            <w:r>
              <w:rPr>
                <w:sz w:val="18"/>
              </w:rPr>
              <w:t>$ 6 304 621.38</w:t>
            </w:r>
          </w:p>
        </w:tc>
        <w:tc>
          <w:tcPr>
            <w:tcW w:w="1814" w:type="dxa"/>
          </w:tcPr>
          <w:p>
            <w:pPr>
              <w:pStyle w:val="TableParagraph"/>
              <w:spacing w:before="36"/>
              <w:ind w:left="80"/>
              <w:rPr>
                <w:sz w:val="18"/>
              </w:rPr>
            </w:pPr>
            <w:r>
              <w:rPr>
                <w:sz w:val="18"/>
              </w:rPr>
              <w:t>Físico 25.56%</w:t>
            </w:r>
          </w:p>
          <w:p>
            <w:pPr>
              <w:pStyle w:val="TableParagraph"/>
              <w:ind w:left="80"/>
              <w:rPr>
                <w:sz w:val="18"/>
              </w:rPr>
            </w:pPr>
            <w:r>
              <w:rPr>
                <w:sz w:val="18"/>
              </w:rPr>
              <w:t>Financiero 49.23%</w:t>
            </w:r>
          </w:p>
        </w:tc>
        <w:tc>
          <w:tcPr>
            <w:tcW w:w="1821" w:type="dxa"/>
          </w:tcPr>
          <w:p>
            <w:pPr>
              <w:pStyle w:val="TableParagraph"/>
              <w:spacing w:before="36"/>
              <w:ind w:left="80"/>
              <w:rPr>
                <w:sz w:val="18"/>
              </w:rPr>
            </w:pPr>
            <w:r>
              <w:rPr>
                <w:sz w:val="18"/>
              </w:rPr>
              <w:t>Físico 96.60%</w:t>
            </w:r>
          </w:p>
          <w:p>
            <w:pPr>
              <w:pStyle w:val="TableParagraph"/>
              <w:ind w:left="80"/>
              <w:rPr>
                <w:sz w:val="18"/>
              </w:rPr>
            </w:pPr>
            <w:r>
              <w:rPr>
                <w:sz w:val="18"/>
              </w:rPr>
              <w:t>Financiero 98.60%</w:t>
            </w:r>
          </w:p>
        </w:tc>
      </w:tr>
      <w:tr>
        <w:trPr>
          <w:trHeight w:val="727" w:hRule="exact"/>
        </w:trPr>
        <w:tc>
          <w:tcPr>
            <w:tcW w:w="3453" w:type="dxa"/>
          </w:tcPr>
          <w:p>
            <w:pPr>
              <w:pStyle w:val="TableParagraph"/>
              <w:spacing w:line="249" w:lineRule="auto" w:before="36"/>
              <w:ind w:left="80"/>
              <w:rPr>
                <w:sz w:val="18"/>
              </w:rPr>
            </w:pPr>
            <w:r>
              <w:rPr>
                <w:sz w:val="18"/>
              </w:rPr>
              <w:t>1ª etapa. Rehabilitación de imagen urbana y equipamiento turístico de Cuautepec.</w:t>
            </w:r>
          </w:p>
          <w:p>
            <w:pPr>
              <w:pStyle w:val="TableParagraph"/>
              <w:spacing w:before="1"/>
              <w:ind w:left="80"/>
              <w:rPr>
                <w:sz w:val="18"/>
              </w:rPr>
            </w:pPr>
            <w:r>
              <w:rPr>
                <w:sz w:val="18"/>
              </w:rPr>
              <w:t>$ 6 000 000.00</w:t>
            </w:r>
          </w:p>
        </w:tc>
        <w:tc>
          <w:tcPr>
            <w:tcW w:w="1814" w:type="dxa"/>
          </w:tcPr>
          <w:p>
            <w:pPr>
              <w:pStyle w:val="TableParagraph"/>
              <w:spacing w:before="36"/>
              <w:ind w:left="80"/>
              <w:rPr>
                <w:sz w:val="18"/>
              </w:rPr>
            </w:pPr>
            <w:r>
              <w:rPr>
                <w:sz w:val="18"/>
              </w:rPr>
              <w:t>Físico 56.26%</w:t>
            </w:r>
          </w:p>
          <w:p>
            <w:pPr>
              <w:pStyle w:val="TableParagraph"/>
              <w:ind w:left="80"/>
              <w:rPr>
                <w:sz w:val="18"/>
              </w:rPr>
            </w:pPr>
            <w:r>
              <w:rPr>
                <w:sz w:val="18"/>
              </w:rPr>
              <w:t>Financiero 65.59%</w:t>
            </w:r>
          </w:p>
        </w:tc>
        <w:tc>
          <w:tcPr>
            <w:tcW w:w="1821" w:type="dxa"/>
          </w:tcPr>
          <w:p>
            <w:pPr>
              <w:pStyle w:val="TableParagraph"/>
              <w:spacing w:before="36"/>
              <w:ind w:left="80"/>
              <w:rPr>
                <w:sz w:val="18"/>
              </w:rPr>
            </w:pPr>
            <w:r>
              <w:rPr>
                <w:sz w:val="18"/>
              </w:rPr>
              <w:t>Físico 79.63%</w:t>
            </w:r>
          </w:p>
          <w:p>
            <w:pPr>
              <w:pStyle w:val="TableParagraph"/>
              <w:ind w:left="80"/>
              <w:rPr>
                <w:sz w:val="18"/>
              </w:rPr>
            </w:pPr>
            <w:r>
              <w:rPr>
                <w:sz w:val="18"/>
              </w:rPr>
              <w:t>Financiero 79.58%</w:t>
            </w:r>
          </w:p>
        </w:tc>
      </w:tr>
    </w:tbl>
    <w:p>
      <w:pPr>
        <w:spacing w:after="0"/>
        <w:rPr>
          <w:sz w:val="18"/>
        </w:rPr>
        <w:sectPr>
          <w:footerReference w:type="even" r:id="rId178"/>
          <w:footerReference w:type="default" r:id="rId179"/>
          <w:pgSz w:w="9360" w:h="13040"/>
          <w:pgMar w:footer="515" w:header="547" w:top="720" w:bottom="700" w:left="740" w:right="1300"/>
          <w:pgNumType w:start="110"/>
        </w:sectPr>
      </w:pPr>
    </w:p>
    <w:p>
      <w:pPr>
        <w:pStyle w:val="BodyText"/>
        <w:rPr>
          <w:b/>
          <w:sz w:val="20"/>
        </w:rPr>
      </w:pPr>
    </w:p>
    <w:p>
      <w:pPr>
        <w:pStyle w:val="BodyText"/>
        <w:spacing w:before="10"/>
        <w:rPr>
          <w:b/>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3"/>
        <w:gridCol w:w="1814"/>
        <w:gridCol w:w="1821"/>
      </w:tblGrid>
      <w:tr>
        <w:trPr>
          <w:trHeight w:val="727" w:hRule="exact"/>
        </w:trPr>
        <w:tc>
          <w:tcPr>
            <w:tcW w:w="3453" w:type="dxa"/>
          </w:tcPr>
          <w:p>
            <w:pPr>
              <w:pStyle w:val="TableParagraph"/>
              <w:spacing w:before="36"/>
              <w:ind w:left="80"/>
              <w:rPr>
                <w:sz w:val="18"/>
              </w:rPr>
            </w:pPr>
            <w:r>
              <w:rPr>
                <w:sz w:val="18"/>
              </w:rPr>
              <w:t>Apoyo  mercadológico  al  programa regional</w:t>
            </w:r>
          </w:p>
          <w:p>
            <w:pPr>
              <w:pStyle w:val="TableParagraph"/>
              <w:ind w:left="80"/>
              <w:rPr>
                <w:sz w:val="18"/>
              </w:rPr>
            </w:pPr>
            <w:r>
              <w:rPr>
                <w:i/>
                <w:sz w:val="18"/>
              </w:rPr>
              <w:t>“en el corazón de México”</w:t>
            </w:r>
            <w:r>
              <w:rPr>
                <w:sz w:val="18"/>
              </w:rPr>
              <w:t>.</w:t>
            </w:r>
          </w:p>
          <w:p>
            <w:pPr>
              <w:pStyle w:val="TableParagraph"/>
              <w:ind w:left="80"/>
              <w:rPr>
                <w:sz w:val="18"/>
              </w:rPr>
            </w:pPr>
            <w:r>
              <w:rPr>
                <w:sz w:val="18"/>
              </w:rPr>
              <w:t>$ 500 000.00</w:t>
            </w:r>
          </w:p>
        </w:tc>
        <w:tc>
          <w:tcPr>
            <w:tcW w:w="1814" w:type="dxa"/>
          </w:tcPr>
          <w:p>
            <w:pPr>
              <w:pStyle w:val="TableParagraph"/>
              <w:spacing w:before="36"/>
              <w:ind w:left="80"/>
              <w:rPr>
                <w:sz w:val="18"/>
              </w:rPr>
            </w:pPr>
            <w:r>
              <w:rPr>
                <w:sz w:val="18"/>
              </w:rPr>
              <w:t>Físico 100%</w:t>
            </w:r>
          </w:p>
          <w:p>
            <w:pPr>
              <w:pStyle w:val="TableParagraph"/>
              <w:ind w:left="80"/>
              <w:rPr>
                <w:sz w:val="18"/>
              </w:rPr>
            </w:pPr>
            <w:r>
              <w:rPr>
                <w:sz w:val="18"/>
              </w:rPr>
              <w:t>Financiero 70%</w:t>
            </w:r>
          </w:p>
        </w:tc>
        <w:tc>
          <w:tcPr>
            <w:tcW w:w="1821" w:type="dxa"/>
          </w:tcPr>
          <w:p>
            <w:pPr>
              <w:pStyle w:val="TableParagraph"/>
              <w:spacing w:before="36"/>
              <w:ind w:left="80"/>
              <w:rPr>
                <w:sz w:val="18"/>
              </w:rPr>
            </w:pPr>
            <w:r>
              <w:rPr>
                <w:sz w:val="18"/>
              </w:rPr>
              <w:t>Físico 100%</w:t>
            </w:r>
          </w:p>
          <w:p>
            <w:pPr>
              <w:pStyle w:val="TableParagraph"/>
              <w:ind w:left="80"/>
              <w:rPr>
                <w:sz w:val="18"/>
              </w:rPr>
            </w:pPr>
            <w:r>
              <w:rPr>
                <w:sz w:val="18"/>
              </w:rPr>
              <w:t>Financiero 70%</w:t>
            </w:r>
          </w:p>
        </w:tc>
      </w:tr>
    </w:tbl>
    <w:p>
      <w:pPr>
        <w:pStyle w:val="BodyText"/>
        <w:spacing w:before="5"/>
        <w:rPr>
          <w:b/>
          <w:sz w:val="12"/>
        </w:rPr>
      </w:pPr>
    </w:p>
    <w:p>
      <w:pPr>
        <w:spacing w:line="244" w:lineRule="auto" w:before="78"/>
        <w:ind w:left="117" w:right="128" w:firstLine="0"/>
        <w:jc w:val="both"/>
        <w:rPr>
          <w:sz w:val="17"/>
        </w:rPr>
      </w:pPr>
      <w:r>
        <w:rPr/>
        <w:drawing>
          <wp:anchor distT="0" distB="0" distL="0" distR="0" allowOverlap="1" layoutInCell="1" locked="0" behindDoc="0" simplePos="0" relativeHeight="2776">
            <wp:simplePos x="0" y="0"/>
            <wp:positionH relativeFrom="page">
              <wp:posOffset>1186256</wp:posOffset>
            </wp:positionH>
            <wp:positionV relativeFrom="paragraph">
              <wp:posOffset>503094</wp:posOffset>
            </wp:positionV>
            <wp:extent cx="3940697" cy="2554224"/>
            <wp:effectExtent l="0" t="0" r="0" b="0"/>
            <wp:wrapTopAndBottom/>
            <wp:docPr id="81" name="image92.png" descr=""/>
            <wp:cNvGraphicFramePr>
              <a:graphicFrameLocks noChangeAspect="1"/>
            </wp:cNvGraphicFramePr>
            <a:graphic>
              <a:graphicData uri="http://schemas.openxmlformats.org/drawingml/2006/picture">
                <pic:pic>
                  <pic:nvPicPr>
                    <pic:cNvPr id="82" name="image92.png"/>
                    <pic:cNvPicPr/>
                  </pic:nvPicPr>
                  <pic:blipFill>
                    <a:blip r:embed="rId180" cstate="print"/>
                    <a:stretch>
                      <a:fillRect/>
                    </a:stretch>
                  </pic:blipFill>
                  <pic:spPr>
                    <a:xfrm>
                      <a:off x="0" y="0"/>
                      <a:ext cx="3940697" cy="2554224"/>
                    </a:xfrm>
                    <a:prstGeom prst="rect">
                      <a:avLst/>
                    </a:prstGeom>
                  </pic:spPr>
                </pic:pic>
              </a:graphicData>
            </a:graphic>
          </wp:anchor>
        </w:drawing>
      </w:r>
      <w:r>
        <w:rPr/>
        <w:drawing>
          <wp:anchor distT="0" distB="0" distL="0" distR="0" allowOverlap="1" layoutInCell="1" locked="0" behindDoc="0" simplePos="0" relativeHeight="2800">
            <wp:simplePos x="0" y="0"/>
            <wp:positionH relativeFrom="page">
              <wp:posOffset>1186252</wp:posOffset>
            </wp:positionH>
            <wp:positionV relativeFrom="paragraph">
              <wp:posOffset>3149090</wp:posOffset>
            </wp:positionV>
            <wp:extent cx="3935276" cy="2468880"/>
            <wp:effectExtent l="0" t="0" r="0" b="0"/>
            <wp:wrapTopAndBottom/>
            <wp:docPr id="83" name="image93.png" descr=""/>
            <wp:cNvGraphicFramePr>
              <a:graphicFrameLocks noChangeAspect="1"/>
            </wp:cNvGraphicFramePr>
            <a:graphic>
              <a:graphicData uri="http://schemas.openxmlformats.org/drawingml/2006/picture">
                <pic:pic>
                  <pic:nvPicPr>
                    <pic:cNvPr id="84" name="image93.png"/>
                    <pic:cNvPicPr/>
                  </pic:nvPicPr>
                  <pic:blipFill>
                    <a:blip r:embed="rId181" cstate="print"/>
                    <a:stretch>
                      <a:fillRect/>
                    </a:stretch>
                  </pic:blipFill>
                  <pic:spPr>
                    <a:xfrm>
                      <a:off x="0" y="0"/>
                      <a:ext cx="3935276" cy="2468880"/>
                    </a:xfrm>
                    <a:prstGeom prst="rect">
                      <a:avLst/>
                    </a:prstGeom>
                  </pic:spPr>
                </pic:pic>
              </a:graphicData>
            </a:graphic>
          </wp:anchor>
        </w:drawing>
      </w:r>
      <w:r>
        <w:rPr>
          <w:sz w:val="17"/>
        </w:rPr>
        <w:t>Cuadro elaborado por el autor con información proporcionada por la Secretaría de Turismo, según solicitud al sistema INFOMEX gobierno federal con número de folio 0002100001511, 31 de enero del 2011.</w:t>
      </w:r>
    </w:p>
    <w:p>
      <w:pPr>
        <w:pStyle w:val="BodyText"/>
        <w:spacing w:before="7"/>
        <w:rPr>
          <w:sz w:val="6"/>
        </w:rPr>
      </w:pPr>
    </w:p>
    <w:p>
      <w:pPr>
        <w:spacing w:before="61"/>
        <w:ind w:left="2066" w:right="1148" w:firstLine="0"/>
        <w:jc w:val="left"/>
        <w:rPr>
          <w:sz w:val="17"/>
        </w:rPr>
      </w:pPr>
      <w:r>
        <w:rPr>
          <w:sz w:val="17"/>
        </w:rPr>
        <w:t>Terreno de la nueva refinería petrolera de Tula.</w:t>
      </w:r>
    </w:p>
    <w:p>
      <w:pPr>
        <w:spacing w:after="0"/>
        <w:jc w:val="left"/>
        <w:rPr>
          <w:sz w:val="17"/>
        </w:rPr>
        <w:sectPr>
          <w:pgSz w:w="9360" w:h="13040"/>
          <w:pgMar w:header="527" w:footer="515" w:top="940" w:bottom="700" w:left="1300" w:right="7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1"/>
        </w:rPr>
      </w:pPr>
    </w:p>
    <w:p>
      <w:pPr>
        <w:pStyle w:val="BodyText"/>
        <w:ind w:left="112"/>
        <w:rPr>
          <w:sz w:val="20"/>
        </w:rPr>
      </w:pPr>
      <w:r>
        <w:rPr>
          <w:sz w:val="20"/>
        </w:rPr>
        <w:drawing>
          <wp:inline distT="0" distB="0" distL="0" distR="0">
            <wp:extent cx="4501340" cy="5504688"/>
            <wp:effectExtent l="0" t="0" r="0" b="0"/>
            <wp:docPr id="85" name="image94.png" descr=""/>
            <wp:cNvGraphicFramePr>
              <a:graphicFrameLocks noChangeAspect="1"/>
            </wp:cNvGraphicFramePr>
            <a:graphic>
              <a:graphicData uri="http://schemas.openxmlformats.org/drawingml/2006/picture">
                <pic:pic>
                  <pic:nvPicPr>
                    <pic:cNvPr id="86" name="image94.png"/>
                    <pic:cNvPicPr/>
                  </pic:nvPicPr>
                  <pic:blipFill>
                    <a:blip r:embed="rId182" cstate="print"/>
                    <a:stretch>
                      <a:fillRect/>
                    </a:stretch>
                  </pic:blipFill>
                  <pic:spPr>
                    <a:xfrm>
                      <a:off x="0" y="0"/>
                      <a:ext cx="4501340" cy="5504688"/>
                    </a:xfrm>
                    <a:prstGeom prst="rect">
                      <a:avLst/>
                    </a:prstGeom>
                  </pic:spPr>
                </pic:pic>
              </a:graphicData>
            </a:graphic>
          </wp:inline>
        </w:drawing>
      </w:r>
      <w:r>
        <w:rPr>
          <w:sz w:val="20"/>
        </w:rPr>
      </w:r>
    </w:p>
    <w:p>
      <w:pPr>
        <w:pStyle w:val="BodyText"/>
        <w:spacing w:before="9"/>
        <w:rPr>
          <w:sz w:val="18"/>
        </w:rPr>
      </w:pPr>
    </w:p>
    <w:p>
      <w:pPr>
        <w:spacing w:before="79"/>
        <w:ind w:left="1400" w:right="0" w:firstLine="0"/>
        <w:jc w:val="left"/>
        <w:rPr>
          <w:sz w:val="17"/>
        </w:rPr>
      </w:pPr>
      <w:r>
        <w:rPr>
          <w:sz w:val="17"/>
        </w:rPr>
        <w:t>Terreno del proyecto plataforma logística de Tizayuca (PLATAH).</w:t>
      </w:r>
    </w:p>
    <w:p>
      <w:pPr>
        <w:spacing w:after="0"/>
        <w:jc w:val="left"/>
        <w:rPr>
          <w:sz w:val="17"/>
        </w:rPr>
        <w:sectPr>
          <w:pgSz w:w="9360" w:h="13040"/>
          <w:pgMar w:header="547" w:footer="515" w:top="720" w:bottom="700" w:left="740" w:right="1300"/>
        </w:sectPr>
      </w:pPr>
    </w:p>
    <w:p>
      <w:pPr>
        <w:pStyle w:val="BodyText"/>
        <w:rPr>
          <w:sz w:val="20"/>
        </w:rPr>
      </w:pPr>
    </w:p>
    <w:p>
      <w:pPr>
        <w:pStyle w:val="BodyText"/>
        <w:spacing w:before="10"/>
        <w:rPr>
          <w:sz w:val="20"/>
        </w:rPr>
      </w:pPr>
    </w:p>
    <w:p>
      <w:pPr>
        <w:pStyle w:val="BodyText"/>
        <w:ind w:left="118"/>
        <w:rPr>
          <w:sz w:val="20"/>
        </w:rPr>
      </w:pPr>
      <w:r>
        <w:rPr>
          <w:sz w:val="20"/>
        </w:rPr>
        <w:drawing>
          <wp:inline distT="0" distB="0" distL="0" distR="0">
            <wp:extent cx="4519357" cy="2676144"/>
            <wp:effectExtent l="0" t="0" r="0" b="0"/>
            <wp:docPr id="87" name="image95.png" descr=""/>
            <wp:cNvGraphicFramePr>
              <a:graphicFrameLocks noChangeAspect="1"/>
            </wp:cNvGraphicFramePr>
            <a:graphic>
              <a:graphicData uri="http://schemas.openxmlformats.org/drawingml/2006/picture">
                <pic:pic>
                  <pic:nvPicPr>
                    <pic:cNvPr id="88" name="image95.png"/>
                    <pic:cNvPicPr/>
                  </pic:nvPicPr>
                  <pic:blipFill>
                    <a:blip r:embed="rId183" cstate="print"/>
                    <a:stretch>
                      <a:fillRect/>
                    </a:stretch>
                  </pic:blipFill>
                  <pic:spPr>
                    <a:xfrm>
                      <a:off x="0" y="0"/>
                      <a:ext cx="4519357" cy="2676144"/>
                    </a:xfrm>
                    <a:prstGeom prst="rect">
                      <a:avLst/>
                    </a:prstGeom>
                  </pic:spPr>
                </pic:pic>
              </a:graphicData>
            </a:graphic>
          </wp:inline>
        </w:drawing>
      </w:r>
      <w:r>
        <w:rPr>
          <w:sz w:val="20"/>
        </w:rPr>
      </w:r>
    </w:p>
    <w:p>
      <w:pPr>
        <w:pStyle w:val="BodyText"/>
        <w:spacing w:before="6"/>
        <w:rPr>
          <w:sz w:val="12"/>
        </w:rPr>
      </w:pPr>
    </w:p>
    <w:p>
      <w:pPr>
        <w:spacing w:before="0"/>
        <w:ind w:left="1369" w:right="0" w:firstLine="37"/>
        <w:jc w:val="left"/>
        <w:rPr>
          <w:sz w:val="17"/>
        </w:rPr>
      </w:pPr>
      <w:r>
        <w:rPr>
          <w:sz w:val="17"/>
        </w:rPr>
        <w:t>Terreno del proyecto plataforma logística de Tizayuca (PLATAH).</w:t>
      </w:r>
    </w:p>
    <w:p>
      <w:pPr>
        <w:pStyle w:val="BodyText"/>
        <w:spacing w:before="7"/>
        <w:rPr>
          <w:sz w:val="14"/>
        </w:rPr>
      </w:pPr>
      <w:r>
        <w:rPr/>
        <w:drawing>
          <wp:anchor distT="0" distB="0" distL="0" distR="0" allowOverlap="1" layoutInCell="1" locked="0" behindDoc="0" simplePos="0" relativeHeight="2824">
            <wp:simplePos x="0" y="0"/>
            <wp:positionH relativeFrom="page">
              <wp:posOffset>1399209</wp:posOffset>
            </wp:positionH>
            <wp:positionV relativeFrom="paragraph">
              <wp:posOffset>131802</wp:posOffset>
            </wp:positionV>
            <wp:extent cx="3503639" cy="3133344"/>
            <wp:effectExtent l="0" t="0" r="0" b="0"/>
            <wp:wrapTopAndBottom/>
            <wp:docPr id="89" name="image96.png" descr=""/>
            <wp:cNvGraphicFramePr>
              <a:graphicFrameLocks noChangeAspect="1"/>
            </wp:cNvGraphicFramePr>
            <a:graphic>
              <a:graphicData uri="http://schemas.openxmlformats.org/drawingml/2006/picture">
                <pic:pic>
                  <pic:nvPicPr>
                    <pic:cNvPr id="90" name="image96.png"/>
                    <pic:cNvPicPr/>
                  </pic:nvPicPr>
                  <pic:blipFill>
                    <a:blip r:embed="rId184" cstate="print"/>
                    <a:stretch>
                      <a:fillRect/>
                    </a:stretch>
                  </pic:blipFill>
                  <pic:spPr>
                    <a:xfrm>
                      <a:off x="0" y="0"/>
                      <a:ext cx="3503639" cy="3133344"/>
                    </a:xfrm>
                    <a:prstGeom prst="rect">
                      <a:avLst/>
                    </a:prstGeom>
                  </pic:spPr>
                </pic:pic>
              </a:graphicData>
            </a:graphic>
          </wp:anchor>
        </w:drawing>
      </w:r>
    </w:p>
    <w:p>
      <w:pPr>
        <w:pStyle w:val="BodyText"/>
        <w:spacing w:before="4"/>
        <w:rPr>
          <w:sz w:val="13"/>
        </w:rPr>
      </w:pPr>
    </w:p>
    <w:p>
      <w:pPr>
        <w:spacing w:before="0"/>
        <w:ind w:left="1369" w:right="0" w:firstLine="0"/>
        <w:jc w:val="left"/>
        <w:rPr>
          <w:sz w:val="17"/>
        </w:rPr>
      </w:pPr>
      <w:r>
        <w:rPr>
          <w:sz w:val="17"/>
        </w:rPr>
        <w:t>Terreno del proyecto puerto interior de carga Tepeji del Río (HPH).</w:t>
      </w:r>
    </w:p>
    <w:p>
      <w:pPr>
        <w:spacing w:after="0"/>
        <w:jc w:val="left"/>
        <w:rPr>
          <w:sz w:val="17"/>
        </w:rPr>
        <w:sectPr>
          <w:pgSz w:w="9360" w:h="13040"/>
          <w:pgMar w:header="527" w:footer="515" w:top="940" w:bottom="700" w:left="1300" w:right="740"/>
        </w:sectPr>
      </w:pPr>
    </w:p>
    <w:p>
      <w:pPr>
        <w:pStyle w:val="BodyText"/>
        <w:rPr>
          <w:sz w:val="20"/>
        </w:rPr>
      </w:pPr>
    </w:p>
    <w:p>
      <w:pPr>
        <w:pStyle w:val="BodyText"/>
        <w:rPr>
          <w:sz w:val="20"/>
        </w:rPr>
      </w:pPr>
    </w:p>
    <w:p>
      <w:pPr>
        <w:pStyle w:val="BodyText"/>
        <w:rPr>
          <w:sz w:val="20"/>
        </w:rPr>
      </w:pPr>
    </w:p>
    <w:p>
      <w:pPr>
        <w:pStyle w:val="BodyText"/>
        <w:ind w:left="110"/>
        <w:rPr>
          <w:sz w:val="20"/>
        </w:rPr>
      </w:pPr>
      <w:r>
        <w:rPr>
          <w:sz w:val="20"/>
        </w:rPr>
        <w:drawing>
          <wp:inline distT="0" distB="0" distL="0" distR="0">
            <wp:extent cx="4495591" cy="2913888"/>
            <wp:effectExtent l="0" t="0" r="0" b="0"/>
            <wp:docPr id="91" name="image97.png" descr=""/>
            <wp:cNvGraphicFramePr>
              <a:graphicFrameLocks noChangeAspect="1"/>
            </wp:cNvGraphicFramePr>
            <a:graphic>
              <a:graphicData uri="http://schemas.openxmlformats.org/drawingml/2006/picture">
                <pic:pic>
                  <pic:nvPicPr>
                    <pic:cNvPr id="92" name="image97.png"/>
                    <pic:cNvPicPr/>
                  </pic:nvPicPr>
                  <pic:blipFill>
                    <a:blip r:embed="rId185" cstate="print"/>
                    <a:stretch>
                      <a:fillRect/>
                    </a:stretch>
                  </pic:blipFill>
                  <pic:spPr>
                    <a:xfrm>
                      <a:off x="0" y="0"/>
                      <a:ext cx="4495591" cy="2913888"/>
                    </a:xfrm>
                    <a:prstGeom prst="rect">
                      <a:avLst/>
                    </a:prstGeom>
                  </pic:spPr>
                </pic:pic>
              </a:graphicData>
            </a:graphic>
          </wp:inline>
        </w:drawing>
      </w:r>
      <w:r>
        <w:rPr>
          <w:sz w:val="20"/>
        </w:rPr>
      </w:r>
    </w:p>
    <w:p>
      <w:pPr>
        <w:pStyle w:val="BodyText"/>
        <w:spacing w:before="5"/>
        <w:rPr>
          <w:sz w:val="18"/>
        </w:rPr>
      </w:pPr>
    </w:p>
    <w:p>
      <w:pPr>
        <w:spacing w:before="78"/>
        <w:ind w:left="728" w:right="732" w:firstLine="0"/>
        <w:jc w:val="center"/>
        <w:rPr>
          <w:sz w:val="17"/>
        </w:rPr>
      </w:pPr>
      <w:r>
        <w:rPr>
          <w:sz w:val="17"/>
        </w:rPr>
        <w:t>Terreno del proyecto puerto interior de carga Tepeji del Río (HPH).</w:t>
      </w:r>
    </w:p>
    <w:p>
      <w:pPr>
        <w:pStyle w:val="BodyText"/>
        <w:spacing w:before="4"/>
        <w:rPr>
          <w:sz w:val="9"/>
        </w:rPr>
      </w:pPr>
      <w:r>
        <w:rPr/>
        <w:drawing>
          <wp:anchor distT="0" distB="0" distL="0" distR="0" allowOverlap="1" layoutInCell="1" locked="0" behindDoc="0" simplePos="0" relativeHeight="2848">
            <wp:simplePos x="0" y="0"/>
            <wp:positionH relativeFrom="page">
              <wp:posOffset>541159</wp:posOffset>
            </wp:positionH>
            <wp:positionV relativeFrom="paragraph">
              <wp:posOffset>93245</wp:posOffset>
            </wp:positionV>
            <wp:extent cx="4514381" cy="2926079"/>
            <wp:effectExtent l="0" t="0" r="0" b="0"/>
            <wp:wrapTopAndBottom/>
            <wp:docPr id="93" name="image98.png" descr=""/>
            <wp:cNvGraphicFramePr>
              <a:graphicFrameLocks noChangeAspect="1"/>
            </wp:cNvGraphicFramePr>
            <a:graphic>
              <a:graphicData uri="http://schemas.openxmlformats.org/drawingml/2006/picture">
                <pic:pic>
                  <pic:nvPicPr>
                    <pic:cNvPr id="94" name="image98.png"/>
                    <pic:cNvPicPr/>
                  </pic:nvPicPr>
                  <pic:blipFill>
                    <a:blip r:embed="rId186" cstate="print"/>
                    <a:stretch>
                      <a:fillRect/>
                    </a:stretch>
                  </pic:blipFill>
                  <pic:spPr>
                    <a:xfrm>
                      <a:off x="0" y="0"/>
                      <a:ext cx="4514381" cy="2926079"/>
                    </a:xfrm>
                    <a:prstGeom prst="rect">
                      <a:avLst/>
                    </a:prstGeom>
                  </pic:spPr>
                </pic:pic>
              </a:graphicData>
            </a:graphic>
          </wp:anchor>
        </w:drawing>
      </w:r>
    </w:p>
    <w:p>
      <w:pPr>
        <w:spacing w:before="20"/>
        <w:ind w:left="728" w:right="732" w:firstLine="0"/>
        <w:jc w:val="center"/>
        <w:rPr>
          <w:sz w:val="17"/>
        </w:rPr>
      </w:pPr>
      <w:r>
        <w:rPr>
          <w:sz w:val="17"/>
        </w:rPr>
        <w:t>Construcción del tren suburbano Buenavista-Cuautitlán.</w:t>
      </w:r>
    </w:p>
    <w:p>
      <w:pPr>
        <w:spacing w:after="0"/>
        <w:jc w:val="center"/>
        <w:rPr>
          <w:sz w:val="17"/>
        </w:rPr>
        <w:sectPr>
          <w:pgSz w:w="9360" w:h="13040"/>
          <w:pgMar w:header="547" w:footer="515" w:top="72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after="1"/>
        <w:rPr>
          <w:sz w:val="14"/>
        </w:rPr>
      </w:pPr>
    </w:p>
    <w:p>
      <w:pPr>
        <w:pStyle w:val="BodyText"/>
        <w:ind w:left="706"/>
        <w:rPr>
          <w:sz w:val="20"/>
        </w:rPr>
      </w:pPr>
      <w:r>
        <w:rPr>
          <w:sz w:val="20"/>
        </w:rPr>
        <w:drawing>
          <wp:inline distT="0" distB="0" distL="0" distR="0">
            <wp:extent cx="3752088" cy="5401056"/>
            <wp:effectExtent l="0" t="0" r="0" b="0"/>
            <wp:docPr id="95" name="image99.png" descr=""/>
            <wp:cNvGraphicFramePr>
              <a:graphicFrameLocks noChangeAspect="1"/>
            </wp:cNvGraphicFramePr>
            <a:graphic>
              <a:graphicData uri="http://schemas.openxmlformats.org/drawingml/2006/picture">
                <pic:pic>
                  <pic:nvPicPr>
                    <pic:cNvPr id="96" name="image99.png"/>
                    <pic:cNvPicPr/>
                  </pic:nvPicPr>
                  <pic:blipFill>
                    <a:blip r:embed="rId187" cstate="print"/>
                    <a:stretch>
                      <a:fillRect/>
                    </a:stretch>
                  </pic:blipFill>
                  <pic:spPr>
                    <a:xfrm>
                      <a:off x="0" y="0"/>
                      <a:ext cx="3752088" cy="5401056"/>
                    </a:xfrm>
                    <a:prstGeom prst="rect">
                      <a:avLst/>
                    </a:prstGeom>
                  </pic:spPr>
                </pic:pic>
              </a:graphicData>
            </a:graphic>
          </wp:inline>
        </w:drawing>
      </w:r>
      <w:r>
        <w:rPr>
          <w:sz w:val="20"/>
        </w:rPr>
      </w:r>
    </w:p>
    <w:p>
      <w:pPr>
        <w:pStyle w:val="BodyText"/>
        <w:spacing w:before="10"/>
        <w:rPr>
          <w:sz w:val="10"/>
        </w:rPr>
      </w:pPr>
    </w:p>
    <w:p>
      <w:pPr>
        <w:spacing w:before="78"/>
        <w:ind w:left="1317" w:right="0" w:firstLine="0"/>
        <w:jc w:val="left"/>
        <w:rPr>
          <w:sz w:val="17"/>
        </w:rPr>
      </w:pPr>
      <w:r>
        <w:rPr>
          <w:sz w:val="17"/>
        </w:rPr>
        <w:t>Vía para desarrollar el proyecto del tren suburbano México-Pachuca.</w:t>
      </w:r>
    </w:p>
    <w:p>
      <w:pPr>
        <w:spacing w:after="0"/>
        <w:jc w:val="left"/>
        <w:rPr>
          <w:sz w:val="17"/>
        </w:rPr>
        <w:sectPr>
          <w:pgSz w:w="9360" w:h="13040"/>
          <w:pgMar w:header="527" w:footer="515" w:top="940" w:bottom="700" w:left="1300" w:right="740"/>
        </w:sectPr>
      </w:pPr>
    </w:p>
    <w:p>
      <w:pPr>
        <w:pStyle w:val="BodyText"/>
        <w:spacing w:before="4"/>
        <w:rPr>
          <w:sz w:val="17"/>
        </w:rPr>
      </w:pPr>
    </w:p>
    <w:p>
      <w:pPr>
        <w:spacing w:after="0"/>
        <w:rPr>
          <w:sz w:val="17"/>
        </w:rPr>
        <w:sectPr>
          <w:headerReference w:type="default" r:id="rId188"/>
          <w:footerReference w:type="default" r:id="rId189"/>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08"/>
        <w:rPr>
          <w:sz w:val="20"/>
        </w:rPr>
      </w:pPr>
      <w:r>
        <w:rPr>
          <w:sz w:val="20"/>
        </w:rPr>
        <w:drawing>
          <wp:inline distT="0" distB="0" distL="0" distR="0">
            <wp:extent cx="3749040" cy="5401056"/>
            <wp:effectExtent l="0" t="0" r="0" b="0"/>
            <wp:docPr id="97" name="image100.png" descr=""/>
            <wp:cNvGraphicFramePr>
              <a:graphicFrameLocks noChangeAspect="1"/>
            </wp:cNvGraphicFramePr>
            <a:graphic>
              <a:graphicData uri="http://schemas.openxmlformats.org/drawingml/2006/picture">
                <pic:pic>
                  <pic:nvPicPr>
                    <pic:cNvPr id="98" name="image100.png"/>
                    <pic:cNvPicPr/>
                  </pic:nvPicPr>
                  <pic:blipFill>
                    <a:blip r:embed="rId192" cstate="print"/>
                    <a:stretch>
                      <a:fillRect/>
                    </a:stretch>
                  </pic:blipFill>
                  <pic:spPr>
                    <a:xfrm>
                      <a:off x="0" y="0"/>
                      <a:ext cx="3749040" cy="5401056"/>
                    </a:xfrm>
                    <a:prstGeom prst="rect">
                      <a:avLst/>
                    </a:prstGeom>
                  </pic:spPr>
                </pic:pic>
              </a:graphicData>
            </a:graphic>
          </wp:inline>
        </w:drawing>
      </w:r>
      <w:r>
        <w:rPr>
          <w:sz w:val="20"/>
        </w:rPr>
      </w:r>
    </w:p>
    <w:p>
      <w:pPr>
        <w:pStyle w:val="BodyText"/>
        <w:rPr>
          <w:sz w:val="12"/>
        </w:rPr>
      </w:pPr>
    </w:p>
    <w:p>
      <w:pPr>
        <w:pStyle w:val="BodyText"/>
        <w:spacing w:before="71"/>
        <w:ind w:left="738" w:right="732"/>
        <w:jc w:val="center"/>
      </w:pPr>
      <w:r>
        <w:rPr/>
        <w:t>Pachuca de Soto.</w:t>
      </w:r>
    </w:p>
    <w:p>
      <w:pPr>
        <w:spacing w:after="0"/>
        <w:jc w:val="center"/>
        <w:sectPr>
          <w:headerReference w:type="default" r:id="rId190"/>
          <w:footerReference w:type="default" r:id="rId191"/>
          <w:pgSz w:w="9360" w:h="13040"/>
          <w:pgMar w:header="0" w:footer="515" w:top="1200" w:bottom="700" w:left="1300" w:right="740"/>
          <w:pgNumType w:start="117"/>
        </w:sectPr>
      </w:pPr>
    </w:p>
    <w:p>
      <w:pPr>
        <w:pStyle w:val="BodyText"/>
        <w:spacing w:before="4"/>
        <w:rPr>
          <w:sz w:val="17"/>
        </w:rPr>
      </w:pPr>
    </w:p>
    <w:p>
      <w:pPr>
        <w:spacing w:after="0"/>
        <w:rPr>
          <w:sz w:val="17"/>
        </w:rPr>
        <w:sectPr>
          <w:headerReference w:type="default" r:id="rId193"/>
          <w:footerReference w:type="default" r:id="rId194"/>
          <w:pgSz w:w="9360" w:h="13040"/>
          <w:pgMar w:header="0" w:footer="0" w:top="1200" w:bottom="280" w:left="1300" w:right="1300"/>
        </w:sectPr>
      </w:pPr>
    </w:p>
    <w:p>
      <w:pPr>
        <w:pStyle w:val="Heading2"/>
        <w:spacing w:line="273" w:lineRule="exact"/>
        <w:ind w:left="738"/>
      </w:pPr>
      <w:bookmarkStart w:name="_TOC_250017" w:id="26"/>
      <w:bookmarkEnd w:id="26"/>
      <w:r>
        <w:rPr/>
        <w:t>Capítulo V.</w:t>
      </w:r>
    </w:p>
    <w:p>
      <w:pPr>
        <w:spacing w:line="270" w:lineRule="exact" w:before="5"/>
        <w:ind w:left="117" w:right="107" w:firstLine="0"/>
        <w:jc w:val="center"/>
        <w:rPr>
          <w:b/>
          <w:sz w:val="24"/>
        </w:rPr>
      </w:pPr>
      <w:r>
        <w:rPr>
          <w:b/>
          <w:sz w:val="24"/>
        </w:rPr>
        <w:t>El ejercicio descentralizado de la política compensatoria según el gobierno del Estado de Hidalgo.</w:t>
      </w:r>
    </w:p>
    <w:p>
      <w:pPr>
        <w:pStyle w:val="BodyText"/>
        <w:rPr>
          <w:b/>
          <w:sz w:val="24"/>
        </w:rPr>
      </w:pPr>
    </w:p>
    <w:p>
      <w:pPr>
        <w:pStyle w:val="BodyText"/>
        <w:rPr>
          <w:b/>
        </w:rPr>
      </w:pPr>
    </w:p>
    <w:p>
      <w:pPr>
        <w:pStyle w:val="Heading3"/>
        <w:spacing w:before="1"/>
      </w:pPr>
      <w:bookmarkStart w:name="_TOC_250016" w:id="27"/>
      <w:bookmarkEnd w:id="27"/>
      <w:r>
        <w:rPr/>
        <w:t>La multitud de acciones sin una estrategia estatal precisa.</w:t>
      </w:r>
    </w:p>
    <w:p>
      <w:pPr>
        <w:pStyle w:val="BodyText"/>
        <w:spacing w:before="11"/>
        <w:rPr>
          <w:b/>
        </w:rPr>
      </w:pPr>
    </w:p>
    <w:p>
      <w:pPr>
        <w:pStyle w:val="BodyText"/>
        <w:spacing w:line="244" w:lineRule="auto"/>
        <w:ind w:left="117" w:right="107"/>
        <w:jc w:val="both"/>
      </w:pPr>
      <w:r>
        <w:rPr/>
        <w:t>La desigualdad en la distribución individual del bienestar material históricamente ha generado la acción subsidiaria de un Estado benefactor. En los sistemas federales las funciones compensatorias deben distribuirse entre los órdenes o niveles constitutivos, esto es, entre la federación y los estados, niveles gubernamentales que han coordinado acciones en políticas de bienestar social. La secuencia histórica del México posrevolucionario inició</w:t>
      </w:r>
      <w:r>
        <w:rPr>
          <w:spacing w:val="-6"/>
        </w:rPr>
        <w:t> </w:t>
      </w:r>
      <w:r>
        <w:rPr/>
        <w:t>con</w:t>
      </w:r>
      <w:r>
        <w:rPr>
          <w:spacing w:val="-5"/>
        </w:rPr>
        <w:t> </w:t>
      </w:r>
      <w:r>
        <w:rPr/>
        <w:t>la</w:t>
      </w:r>
      <w:r>
        <w:rPr>
          <w:spacing w:val="-5"/>
        </w:rPr>
        <w:t> </w:t>
      </w:r>
      <w:r>
        <w:rPr/>
        <w:t>acción</w:t>
      </w:r>
      <w:r>
        <w:rPr>
          <w:spacing w:val="-6"/>
        </w:rPr>
        <w:t> </w:t>
      </w:r>
      <w:r>
        <w:rPr/>
        <w:t>múltiple</w:t>
      </w:r>
      <w:r>
        <w:rPr>
          <w:spacing w:val="-5"/>
        </w:rPr>
        <w:t> </w:t>
      </w:r>
      <w:r>
        <w:rPr/>
        <w:t>de</w:t>
      </w:r>
      <w:r>
        <w:rPr>
          <w:spacing w:val="-5"/>
        </w:rPr>
        <w:t> </w:t>
      </w:r>
      <w:r>
        <w:rPr/>
        <w:t>dependencias</w:t>
      </w:r>
      <w:r>
        <w:rPr>
          <w:spacing w:val="-5"/>
        </w:rPr>
        <w:t> </w:t>
      </w:r>
      <w:r>
        <w:rPr/>
        <w:t>y</w:t>
      </w:r>
      <w:r>
        <w:rPr>
          <w:spacing w:val="-5"/>
        </w:rPr>
        <w:t> </w:t>
      </w:r>
      <w:r>
        <w:rPr/>
        <w:t>organismos</w:t>
      </w:r>
      <w:r>
        <w:rPr>
          <w:spacing w:val="-5"/>
        </w:rPr>
        <w:t> </w:t>
      </w:r>
      <w:r>
        <w:rPr/>
        <w:t>federales</w:t>
      </w:r>
      <w:r>
        <w:rPr>
          <w:spacing w:val="-5"/>
        </w:rPr>
        <w:t> </w:t>
      </w:r>
      <w:r>
        <w:rPr/>
        <w:t>creados para la distribución universal de apoyos diversos. Lo anterior causó la indefinición de límites y funciones asistenciales entre los departamentos de la administración pública federal, mientras que en la población beneficiada constituyó incentivos negativos: aquellos que generan la conducta de reducir esfuerzos para mantener los</w:t>
      </w:r>
      <w:r>
        <w:rPr>
          <w:spacing w:val="-13"/>
        </w:rPr>
        <w:t> </w:t>
      </w:r>
      <w:r>
        <w:rPr/>
        <w:t>beneficios.</w:t>
      </w:r>
    </w:p>
    <w:p>
      <w:pPr>
        <w:pStyle w:val="BodyText"/>
        <w:spacing w:before="6"/>
      </w:pPr>
    </w:p>
    <w:p>
      <w:pPr>
        <w:pStyle w:val="BodyText"/>
        <w:spacing w:line="244" w:lineRule="auto"/>
        <w:ind w:left="117" w:right="107"/>
        <w:jc w:val="both"/>
      </w:pPr>
      <w:r>
        <w:rPr/>
        <w:t>Sin omitir los rasgos anteriores, en el México neoliberal se sumó: a) la estandarización de los problemas de la desigualdad; b) la focalización de las soluciones</w:t>
      </w:r>
      <w:r>
        <w:rPr>
          <w:spacing w:val="-34"/>
        </w:rPr>
        <w:t> </w:t>
      </w:r>
      <w:r>
        <w:rPr/>
        <w:t>utilizando</w:t>
      </w:r>
      <w:r>
        <w:rPr>
          <w:spacing w:val="-34"/>
        </w:rPr>
        <w:t> </w:t>
      </w:r>
      <w:r>
        <w:rPr/>
        <w:t>interpretaciones</w:t>
      </w:r>
      <w:r>
        <w:rPr>
          <w:spacing w:val="-34"/>
        </w:rPr>
        <w:t> </w:t>
      </w:r>
      <w:r>
        <w:rPr/>
        <w:t>de</w:t>
      </w:r>
      <w:r>
        <w:rPr>
          <w:spacing w:val="-34"/>
        </w:rPr>
        <w:t> </w:t>
      </w:r>
      <w:r>
        <w:rPr/>
        <w:t>la</w:t>
      </w:r>
      <w:r>
        <w:rPr>
          <w:spacing w:val="-34"/>
        </w:rPr>
        <w:t> </w:t>
      </w:r>
      <w:r>
        <w:rPr/>
        <w:t>justicia</w:t>
      </w:r>
      <w:r>
        <w:rPr>
          <w:spacing w:val="-34"/>
        </w:rPr>
        <w:t> </w:t>
      </w:r>
      <w:r>
        <w:rPr/>
        <w:t>distributiva;</w:t>
      </w:r>
      <w:r>
        <w:rPr>
          <w:spacing w:val="-34"/>
        </w:rPr>
        <w:t> </w:t>
      </w:r>
      <w:r>
        <w:rPr/>
        <w:t>c)</w:t>
      </w:r>
      <w:r>
        <w:rPr>
          <w:spacing w:val="-34"/>
        </w:rPr>
        <w:t> </w:t>
      </w:r>
      <w:r>
        <w:rPr/>
        <w:t>la</w:t>
      </w:r>
      <w:r>
        <w:rPr>
          <w:spacing w:val="-34"/>
        </w:rPr>
        <w:t> </w:t>
      </w:r>
      <w:r>
        <w:rPr/>
        <w:t>separación de</w:t>
      </w:r>
      <w:r>
        <w:rPr>
          <w:spacing w:val="-4"/>
        </w:rPr>
        <w:t> </w:t>
      </w:r>
      <w:r>
        <w:rPr/>
        <w:t>las</w:t>
      </w:r>
      <w:r>
        <w:rPr>
          <w:spacing w:val="-5"/>
        </w:rPr>
        <w:t> </w:t>
      </w:r>
      <w:r>
        <w:rPr/>
        <w:t>políticas</w:t>
      </w:r>
      <w:r>
        <w:rPr>
          <w:spacing w:val="-4"/>
        </w:rPr>
        <w:t> </w:t>
      </w:r>
      <w:r>
        <w:rPr/>
        <w:t>social</w:t>
      </w:r>
      <w:r>
        <w:rPr>
          <w:spacing w:val="-4"/>
        </w:rPr>
        <w:t> </w:t>
      </w:r>
      <w:r>
        <w:rPr/>
        <w:t>y</w:t>
      </w:r>
      <w:r>
        <w:rPr>
          <w:spacing w:val="-4"/>
        </w:rPr>
        <w:t> </w:t>
      </w:r>
      <w:r>
        <w:rPr/>
        <w:t>económica,</w:t>
      </w:r>
      <w:r>
        <w:rPr>
          <w:spacing w:val="-5"/>
        </w:rPr>
        <w:t> </w:t>
      </w:r>
      <w:r>
        <w:rPr/>
        <w:t>cuya</w:t>
      </w:r>
      <w:r>
        <w:rPr>
          <w:spacing w:val="-5"/>
        </w:rPr>
        <w:t> </w:t>
      </w:r>
      <w:r>
        <w:rPr/>
        <w:t>consecuencia</w:t>
      </w:r>
      <w:r>
        <w:rPr>
          <w:spacing w:val="-5"/>
        </w:rPr>
        <w:t> </w:t>
      </w:r>
      <w:r>
        <w:rPr/>
        <w:t>principal</w:t>
      </w:r>
      <w:r>
        <w:rPr>
          <w:spacing w:val="-4"/>
        </w:rPr>
        <w:t> </w:t>
      </w:r>
      <w:r>
        <w:rPr/>
        <w:t>ha</w:t>
      </w:r>
      <w:r>
        <w:rPr>
          <w:spacing w:val="-4"/>
        </w:rPr>
        <w:t> </w:t>
      </w:r>
      <w:r>
        <w:rPr/>
        <w:t>sido</w:t>
      </w:r>
      <w:r>
        <w:rPr>
          <w:spacing w:val="-4"/>
        </w:rPr>
        <w:t> </w:t>
      </w:r>
      <w:r>
        <w:rPr/>
        <w:t>el</w:t>
      </w:r>
      <w:r>
        <w:rPr>
          <w:spacing w:val="-4"/>
        </w:rPr>
        <w:t> </w:t>
      </w:r>
      <w:r>
        <w:rPr/>
        <w:t>no trabajar en el ámbito productivo de los pobres; y d) la descentralización de fondos y programas, con todas sus inercias, hacia los gobiernos estatales, los cuales han operado en la ausencia de una estrategia de diseño propiamente local.</w:t>
      </w:r>
      <w:r>
        <w:rPr>
          <w:spacing w:val="-13"/>
        </w:rPr>
        <w:t> </w:t>
      </w:r>
      <w:r>
        <w:rPr/>
        <w:t>Los</w:t>
      </w:r>
      <w:r>
        <w:rPr>
          <w:spacing w:val="-12"/>
        </w:rPr>
        <w:t> </w:t>
      </w:r>
      <w:r>
        <w:rPr/>
        <w:t>distintos</w:t>
      </w:r>
      <w:r>
        <w:rPr>
          <w:spacing w:val="-12"/>
        </w:rPr>
        <w:t> </w:t>
      </w:r>
      <w:r>
        <w:rPr/>
        <w:t>grados</w:t>
      </w:r>
      <w:r>
        <w:rPr>
          <w:spacing w:val="-12"/>
        </w:rPr>
        <w:t> </w:t>
      </w:r>
      <w:r>
        <w:rPr/>
        <w:t>de</w:t>
      </w:r>
      <w:r>
        <w:rPr>
          <w:spacing w:val="-12"/>
        </w:rPr>
        <w:t> </w:t>
      </w:r>
      <w:r>
        <w:rPr/>
        <w:t>apego</w:t>
      </w:r>
      <w:r>
        <w:rPr>
          <w:spacing w:val="-13"/>
        </w:rPr>
        <w:t> </w:t>
      </w:r>
      <w:r>
        <w:rPr/>
        <w:t>subsidiario</w:t>
      </w:r>
      <w:r>
        <w:rPr>
          <w:spacing w:val="-11"/>
        </w:rPr>
        <w:t> </w:t>
      </w:r>
      <w:r>
        <w:rPr/>
        <w:t>encontrados</w:t>
      </w:r>
      <w:r>
        <w:rPr>
          <w:spacing w:val="-13"/>
        </w:rPr>
        <w:t> </w:t>
      </w:r>
      <w:r>
        <w:rPr/>
        <w:t>en</w:t>
      </w:r>
      <w:r>
        <w:rPr>
          <w:spacing w:val="-12"/>
        </w:rPr>
        <w:t> </w:t>
      </w:r>
      <w:r>
        <w:rPr/>
        <w:t>un</w:t>
      </w:r>
      <w:r>
        <w:rPr>
          <w:spacing w:val="-12"/>
        </w:rPr>
        <w:t> </w:t>
      </w:r>
      <w:r>
        <w:rPr/>
        <w:t>estudio</w:t>
      </w:r>
      <w:r>
        <w:rPr>
          <w:spacing w:val="-13"/>
        </w:rPr>
        <w:t> </w:t>
      </w:r>
      <w:r>
        <w:rPr/>
        <w:t>que evalúa el desempeño de seis entidades federativas, y otros niveles</w:t>
      </w:r>
      <w:r>
        <w:rPr>
          <w:spacing w:val="-33"/>
        </w:rPr>
        <w:t> </w:t>
      </w:r>
      <w:r>
        <w:rPr/>
        <w:t>hipotéticos que representan una mejor proyección subsidiaria, fueron ponderados para conformar la escala de evaluación que a continuación se</w:t>
      </w:r>
      <w:r>
        <w:rPr>
          <w:spacing w:val="-5"/>
        </w:rPr>
        <w:t> </w:t>
      </w:r>
      <w:r>
        <w:rPr/>
        <w:t>presenta.</w:t>
      </w:r>
    </w:p>
    <w:p>
      <w:pPr>
        <w:spacing w:after="0" w:line="244" w:lineRule="auto"/>
        <w:jc w:val="both"/>
        <w:sectPr>
          <w:headerReference w:type="default" r:id="rId195"/>
          <w:footerReference w:type="default" r:id="rId196"/>
          <w:footerReference w:type="even" r:id="rId197"/>
          <w:pgSz w:w="9360" w:h="13040"/>
          <w:pgMar w:header="0" w:footer="515" w:top="1200" w:bottom="700" w:left="1300" w:right="740"/>
          <w:pgNumType w:start="119"/>
        </w:sectPr>
      </w:pPr>
    </w:p>
    <w:p>
      <w:pPr>
        <w:pStyle w:val="BodyText"/>
        <w:rPr>
          <w:sz w:val="20"/>
        </w:rPr>
      </w:pPr>
    </w:p>
    <w:p>
      <w:pPr>
        <w:pStyle w:val="BodyText"/>
        <w:spacing w:before="9"/>
        <w:rPr>
          <w:sz w:val="28"/>
        </w:rPr>
      </w:pPr>
    </w:p>
    <w:p>
      <w:pPr>
        <w:spacing w:line="260" w:lineRule="exact" w:before="77"/>
        <w:ind w:left="2222" w:right="1378" w:hanging="837"/>
        <w:jc w:val="left"/>
        <w:rPr>
          <w:b/>
          <w:i/>
          <w:sz w:val="23"/>
        </w:rPr>
      </w:pPr>
      <w:r>
        <w:rPr>
          <w:b/>
          <w:sz w:val="23"/>
        </w:rPr>
        <w:t>Escala de evaluación de la </w:t>
      </w:r>
      <w:r>
        <w:rPr>
          <w:b/>
          <w:i/>
          <w:sz w:val="23"/>
        </w:rPr>
        <w:t>coordinación estatal </w:t>
      </w:r>
      <w:r>
        <w:rPr>
          <w:b/>
          <w:i/>
          <w:sz w:val="23"/>
        </w:rPr>
        <w:t>de las políticas redistributivas.</w:t>
      </w:r>
    </w:p>
    <w:p>
      <w:pPr>
        <w:pStyle w:val="BodyText"/>
        <w:rPr>
          <w:b/>
          <w:i/>
          <w:sz w:val="25"/>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1826"/>
        <w:gridCol w:w="1576"/>
        <w:gridCol w:w="1633"/>
        <w:gridCol w:w="1610"/>
      </w:tblGrid>
      <w:tr>
        <w:trPr>
          <w:trHeight w:val="465" w:hRule="exact"/>
        </w:trPr>
        <w:tc>
          <w:tcPr>
            <w:tcW w:w="442" w:type="dxa"/>
            <w:shd w:val="clear" w:color="auto" w:fill="D1D3D4"/>
          </w:tcPr>
          <w:p>
            <w:pPr/>
          </w:p>
        </w:tc>
        <w:tc>
          <w:tcPr>
            <w:tcW w:w="1826" w:type="dxa"/>
            <w:shd w:val="clear" w:color="auto" w:fill="D1D3D4"/>
          </w:tcPr>
          <w:p>
            <w:pPr>
              <w:pStyle w:val="TableParagraph"/>
              <w:spacing w:line="266" w:lineRule="auto" w:before="5"/>
              <w:ind w:left="499" w:hanging="110"/>
              <w:rPr>
                <w:b/>
                <w:sz w:val="18"/>
              </w:rPr>
            </w:pPr>
            <w:r>
              <w:rPr>
                <w:b/>
                <w:sz w:val="18"/>
              </w:rPr>
              <w:t>Capacidad de asociación.</w:t>
            </w:r>
          </w:p>
        </w:tc>
        <w:tc>
          <w:tcPr>
            <w:tcW w:w="1576" w:type="dxa"/>
            <w:shd w:val="clear" w:color="auto" w:fill="D1D3D4"/>
          </w:tcPr>
          <w:p>
            <w:pPr>
              <w:pStyle w:val="TableParagraph"/>
              <w:spacing w:line="266" w:lineRule="auto" w:before="5"/>
              <w:ind w:left="266" w:firstLine="90"/>
              <w:rPr>
                <w:b/>
                <w:sz w:val="18"/>
              </w:rPr>
            </w:pPr>
            <w:r>
              <w:rPr>
                <w:b/>
                <w:sz w:val="18"/>
              </w:rPr>
              <w:t>Restricción competencial.</w:t>
            </w:r>
          </w:p>
        </w:tc>
        <w:tc>
          <w:tcPr>
            <w:tcW w:w="1633" w:type="dxa"/>
            <w:shd w:val="clear" w:color="auto" w:fill="D1D3D4"/>
          </w:tcPr>
          <w:p>
            <w:pPr>
              <w:pStyle w:val="TableParagraph"/>
              <w:spacing w:line="266" w:lineRule="auto" w:before="5"/>
              <w:ind w:left="373" w:firstLine="15"/>
              <w:rPr>
                <w:b/>
                <w:sz w:val="18"/>
              </w:rPr>
            </w:pPr>
            <w:r>
              <w:rPr>
                <w:b/>
                <w:sz w:val="18"/>
              </w:rPr>
              <w:t>Evaluación subsidiaria.</w:t>
            </w:r>
          </w:p>
        </w:tc>
        <w:tc>
          <w:tcPr>
            <w:tcW w:w="1610" w:type="dxa"/>
            <w:shd w:val="clear" w:color="auto" w:fill="D1D3D4"/>
          </w:tcPr>
          <w:p>
            <w:pPr>
              <w:pStyle w:val="TableParagraph"/>
              <w:spacing w:line="266" w:lineRule="auto" w:before="5"/>
              <w:ind w:left="283" w:firstLine="242"/>
              <w:rPr>
                <w:b/>
                <w:sz w:val="18"/>
              </w:rPr>
            </w:pPr>
            <w:r>
              <w:rPr>
                <w:b/>
                <w:sz w:val="18"/>
              </w:rPr>
              <w:t>Avance competencial.</w:t>
            </w:r>
          </w:p>
        </w:tc>
      </w:tr>
      <w:tr>
        <w:trPr>
          <w:trHeight w:val="1848" w:hRule="exact"/>
        </w:trPr>
        <w:tc>
          <w:tcPr>
            <w:tcW w:w="442" w:type="dxa"/>
          </w:tcPr>
          <w:p>
            <w:pPr>
              <w:pStyle w:val="TableParagraph"/>
              <w:spacing w:before="5"/>
              <w:jc w:val="center"/>
              <w:rPr>
                <w:b/>
                <w:sz w:val="18"/>
              </w:rPr>
            </w:pPr>
            <w:r>
              <w:rPr>
                <w:b/>
                <w:sz w:val="18"/>
              </w:rPr>
              <w:t>8</w:t>
            </w:r>
          </w:p>
        </w:tc>
        <w:tc>
          <w:tcPr>
            <w:tcW w:w="1826" w:type="dxa"/>
          </w:tcPr>
          <w:p>
            <w:pPr>
              <w:pStyle w:val="TableParagraph"/>
              <w:spacing w:line="266" w:lineRule="auto" w:before="8"/>
              <w:ind w:left="51" w:right="49"/>
              <w:jc w:val="both"/>
              <w:rPr>
                <w:sz w:val="18"/>
              </w:rPr>
            </w:pPr>
            <w:r>
              <w:rPr>
                <w:sz w:val="18"/>
              </w:rPr>
              <w:t>La coordinación secto- rial estatal implementa una política redistribu- tiva</w:t>
            </w:r>
            <w:r>
              <w:rPr>
                <w:spacing w:val="-19"/>
                <w:sz w:val="18"/>
              </w:rPr>
              <w:t> </w:t>
            </w:r>
            <w:r>
              <w:rPr>
                <w:sz w:val="18"/>
              </w:rPr>
              <w:t>focalizada</w:t>
            </w:r>
            <w:r>
              <w:rPr>
                <w:spacing w:val="-18"/>
                <w:sz w:val="18"/>
              </w:rPr>
              <w:t> </w:t>
            </w:r>
            <w:r>
              <w:rPr>
                <w:sz w:val="18"/>
              </w:rPr>
              <w:t>y</w:t>
            </w:r>
            <w:r>
              <w:rPr>
                <w:spacing w:val="-18"/>
                <w:sz w:val="18"/>
              </w:rPr>
              <w:t> </w:t>
            </w:r>
            <w:r>
              <w:rPr>
                <w:sz w:val="18"/>
              </w:rPr>
              <w:t>estraté- gicamente</w:t>
            </w:r>
            <w:r>
              <w:rPr>
                <w:spacing w:val="-20"/>
                <w:sz w:val="18"/>
              </w:rPr>
              <w:t> </w:t>
            </w:r>
            <w:r>
              <w:rPr>
                <w:spacing w:val="-2"/>
                <w:sz w:val="18"/>
              </w:rPr>
              <w:t>equilibrada.</w:t>
            </w:r>
          </w:p>
        </w:tc>
        <w:tc>
          <w:tcPr>
            <w:tcW w:w="1576" w:type="dxa"/>
          </w:tcPr>
          <w:p>
            <w:pPr>
              <w:pStyle w:val="TableParagraph"/>
              <w:spacing w:line="266" w:lineRule="auto" w:before="8"/>
              <w:ind w:left="51" w:right="49"/>
              <w:jc w:val="both"/>
              <w:rPr>
                <w:sz w:val="18"/>
              </w:rPr>
            </w:pPr>
            <w:r>
              <w:rPr>
                <w:sz w:val="18"/>
              </w:rPr>
              <w:t>Aplicación puntual de los programas federales por </w:t>
            </w:r>
            <w:r>
              <w:rPr>
                <w:spacing w:val="-2"/>
                <w:sz w:val="18"/>
              </w:rPr>
              <w:t>los </w:t>
            </w:r>
            <w:r>
              <w:rPr>
                <w:sz w:val="18"/>
              </w:rPr>
              <w:t>sectores estatales en virtud del predomi- nio general de </w:t>
            </w:r>
            <w:r>
              <w:rPr>
                <w:spacing w:val="-2"/>
                <w:sz w:val="18"/>
              </w:rPr>
              <w:t>una </w:t>
            </w:r>
            <w:r>
              <w:rPr>
                <w:sz w:val="18"/>
              </w:rPr>
              <w:t>estrategia</w:t>
            </w:r>
            <w:r>
              <w:rPr>
                <w:spacing w:val="-22"/>
                <w:sz w:val="18"/>
              </w:rPr>
              <w:t> </w:t>
            </w:r>
            <w:r>
              <w:rPr>
                <w:sz w:val="18"/>
              </w:rPr>
              <w:t>redistribu- tiva</w:t>
            </w:r>
            <w:r>
              <w:rPr>
                <w:spacing w:val="-26"/>
                <w:sz w:val="18"/>
              </w:rPr>
              <w:t> </w:t>
            </w:r>
            <w:r>
              <w:rPr>
                <w:sz w:val="18"/>
              </w:rPr>
              <w:t>estatal.</w:t>
            </w:r>
          </w:p>
        </w:tc>
        <w:tc>
          <w:tcPr>
            <w:tcW w:w="1633" w:type="dxa"/>
          </w:tcPr>
          <w:p>
            <w:pPr>
              <w:pStyle w:val="TableParagraph"/>
              <w:spacing w:line="266" w:lineRule="auto"/>
              <w:ind w:left="51" w:right="49"/>
              <w:jc w:val="both"/>
              <w:rPr>
                <w:sz w:val="18"/>
              </w:rPr>
            </w:pPr>
            <w:r>
              <w:rPr>
                <w:sz w:val="18"/>
              </w:rPr>
              <w:t>Evaluación continua e integral de la po- lítica redistributiva estatal      focalizada y estratégicamente equilibrada.</w:t>
            </w:r>
          </w:p>
        </w:tc>
        <w:tc>
          <w:tcPr>
            <w:tcW w:w="1610" w:type="dxa"/>
          </w:tcPr>
          <w:p>
            <w:pPr>
              <w:pStyle w:val="TableParagraph"/>
              <w:spacing w:line="266" w:lineRule="auto"/>
              <w:ind w:left="51" w:right="49"/>
              <w:jc w:val="both"/>
              <w:rPr>
                <w:sz w:val="18"/>
              </w:rPr>
            </w:pPr>
            <w:r>
              <w:rPr>
                <w:sz w:val="18"/>
              </w:rPr>
              <w:t>Más de cuatro secto- res estatales imple- mentan programas compensatorios pro- pios.</w:t>
            </w:r>
          </w:p>
        </w:tc>
      </w:tr>
      <w:tr>
        <w:trPr>
          <w:trHeight w:val="1618" w:hRule="exact"/>
        </w:trPr>
        <w:tc>
          <w:tcPr>
            <w:tcW w:w="442" w:type="dxa"/>
            <w:shd w:val="clear" w:color="auto" w:fill="D1D3D4"/>
          </w:tcPr>
          <w:p>
            <w:pPr>
              <w:pStyle w:val="TableParagraph"/>
              <w:spacing w:before="6"/>
              <w:jc w:val="center"/>
              <w:rPr>
                <w:b/>
                <w:sz w:val="18"/>
              </w:rPr>
            </w:pPr>
            <w:r>
              <w:rPr>
                <w:b/>
                <w:sz w:val="18"/>
              </w:rPr>
              <w:t>7</w:t>
            </w:r>
          </w:p>
        </w:tc>
        <w:tc>
          <w:tcPr>
            <w:tcW w:w="1826" w:type="dxa"/>
            <w:shd w:val="clear" w:color="auto" w:fill="D1D3D4"/>
          </w:tcPr>
          <w:p>
            <w:pPr>
              <w:pStyle w:val="TableParagraph"/>
              <w:spacing w:line="266" w:lineRule="auto"/>
              <w:ind w:left="51" w:right="49"/>
              <w:jc w:val="both"/>
              <w:rPr>
                <w:sz w:val="18"/>
              </w:rPr>
            </w:pPr>
            <w:r>
              <w:rPr>
                <w:sz w:val="18"/>
              </w:rPr>
              <w:t>La coordinación secto- rial estatal implementa una política</w:t>
            </w:r>
            <w:r>
              <w:rPr>
                <w:spacing w:val="-29"/>
                <w:sz w:val="18"/>
              </w:rPr>
              <w:t> </w:t>
            </w:r>
            <w:r>
              <w:rPr>
                <w:sz w:val="18"/>
              </w:rPr>
              <w:t>redistributi- va basada en</w:t>
            </w:r>
            <w:r>
              <w:rPr>
                <w:spacing w:val="-16"/>
                <w:sz w:val="18"/>
              </w:rPr>
              <w:t> </w:t>
            </w:r>
            <w:r>
              <w:rPr>
                <w:sz w:val="18"/>
              </w:rPr>
              <w:t>estrategias federales</w:t>
            </w:r>
            <w:r>
              <w:rPr>
                <w:spacing w:val="-13"/>
                <w:sz w:val="18"/>
              </w:rPr>
              <w:t> </w:t>
            </w:r>
            <w:r>
              <w:rPr>
                <w:sz w:val="18"/>
              </w:rPr>
              <w:t>complementa- das con estrategias</w:t>
            </w:r>
            <w:r>
              <w:rPr>
                <w:spacing w:val="-25"/>
                <w:sz w:val="18"/>
              </w:rPr>
              <w:t> </w:t>
            </w:r>
            <w:r>
              <w:rPr>
                <w:sz w:val="18"/>
              </w:rPr>
              <w:t>esta- </w:t>
            </w:r>
            <w:r>
              <w:rPr>
                <w:spacing w:val="-2"/>
                <w:sz w:val="18"/>
              </w:rPr>
              <w:t>tales.</w:t>
            </w:r>
          </w:p>
        </w:tc>
        <w:tc>
          <w:tcPr>
            <w:tcW w:w="1576" w:type="dxa"/>
            <w:shd w:val="clear" w:color="auto" w:fill="D1D3D4"/>
          </w:tcPr>
          <w:p>
            <w:pPr>
              <w:pStyle w:val="TableParagraph"/>
              <w:spacing w:line="266" w:lineRule="auto"/>
              <w:ind w:left="51" w:right="49"/>
              <w:jc w:val="both"/>
              <w:rPr>
                <w:sz w:val="18"/>
              </w:rPr>
            </w:pPr>
            <w:r>
              <w:rPr>
                <w:sz w:val="18"/>
              </w:rPr>
              <w:t>Aplicación prefe- rente de los progra- mas federales en un sector estatal en el marco de una estra- tegia redistributiva propia.</w:t>
            </w:r>
          </w:p>
        </w:tc>
        <w:tc>
          <w:tcPr>
            <w:tcW w:w="1633" w:type="dxa"/>
            <w:shd w:val="clear" w:color="auto" w:fill="D1D3D4"/>
          </w:tcPr>
          <w:p>
            <w:pPr>
              <w:pStyle w:val="TableParagraph"/>
              <w:spacing w:line="266" w:lineRule="auto"/>
              <w:ind w:left="51" w:right="49"/>
              <w:jc w:val="both"/>
              <w:rPr>
                <w:sz w:val="18"/>
              </w:rPr>
            </w:pPr>
            <w:r>
              <w:rPr>
                <w:sz w:val="18"/>
              </w:rPr>
              <w:t>Evaluación conti- nua e integral de la política redistributi- va estatal basada en estrategias federales complementadas con estrategias estatales.</w:t>
            </w:r>
          </w:p>
        </w:tc>
        <w:tc>
          <w:tcPr>
            <w:tcW w:w="1610" w:type="dxa"/>
            <w:shd w:val="clear" w:color="auto" w:fill="D1D3D4"/>
          </w:tcPr>
          <w:p>
            <w:pPr>
              <w:pStyle w:val="TableParagraph"/>
              <w:spacing w:line="266" w:lineRule="auto" w:before="10"/>
              <w:ind w:left="51" w:right="49"/>
              <w:jc w:val="both"/>
              <w:rPr>
                <w:sz w:val="18"/>
              </w:rPr>
            </w:pPr>
            <w:r>
              <w:rPr>
                <w:sz w:val="18"/>
              </w:rPr>
              <w:t>Cuatro sectores es- tatales implementan programas compen- satorios propios, </w:t>
            </w:r>
            <w:r>
              <w:rPr>
                <w:spacing w:val="-2"/>
                <w:sz w:val="18"/>
              </w:rPr>
              <w:t>con </w:t>
            </w:r>
            <w:r>
              <w:rPr>
                <w:sz w:val="18"/>
              </w:rPr>
              <w:t>énfasis en la focali- zación y el</w:t>
            </w:r>
            <w:r>
              <w:rPr>
                <w:spacing w:val="-33"/>
                <w:sz w:val="18"/>
              </w:rPr>
              <w:t> </w:t>
            </w:r>
            <w:r>
              <w:rPr>
                <w:sz w:val="18"/>
              </w:rPr>
              <w:t>equilibrio </w:t>
            </w:r>
            <w:r>
              <w:rPr>
                <w:spacing w:val="-2"/>
                <w:sz w:val="18"/>
              </w:rPr>
              <w:t>estratégico.</w:t>
            </w:r>
          </w:p>
        </w:tc>
      </w:tr>
      <w:tr>
        <w:trPr>
          <w:trHeight w:val="1618" w:hRule="exact"/>
        </w:trPr>
        <w:tc>
          <w:tcPr>
            <w:tcW w:w="442" w:type="dxa"/>
          </w:tcPr>
          <w:p>
            <w:pPr>
              <w:pStyle w:val="TableParagraph"/>
              <w:spacing w:before="7"/>
              <w:jc w:val="center"/>
              <w:rPr>
                <w:b/>
                <w:sz w:val="18"/>
              </w:rPr>
            </w:pPr>
            <w:r>
              <w:rPr>
                <w:b/>
                <w:sz w:val="18"/>
              </w:rPr>
              <w:t>6</w:t>
            </w:r>
          </w:p>
        </w:tc>
        <w:tc>
          <w:tcPr>
            <w:tcW w:w="1826" w:type="dxa"/>
          </w:tcPr>
          <w:p>
            <w:pPr>
              <w:pStyle w:val="TableParagraph"/>
              <w:spacing w:line="266" w:lineRule="auto" w:before="10"/>
              <w:ind w:left="51" w:right="49"/>
              <w:jc w:val="both"/>
              <w:rPr>
                <w:sz w:val="18"/>
              </w:rPr>
            </w:pPr>
            <w:r>
              <w:rPr>
                <w:sz w:val="18"/>
              </w:rPr>
              <w:t>La coordinación secto- rial estatal implementa una política</w:t>
            </w:r>
            <w:r>
              <w:rPr>
                <w:spacing w:val="-29"/>
                <w:sz w:val="18"/>
              </w:rPr>
              <w:t> </w:t>
            </w:r>
            <w:r>
              <w:rPr>
                <w:sz w:val="18"/>
              </w:rPr>
              <w:t>redistributi- va basada en</w:t>
            </w:r>
            <w:r>
              <w:rPr>
                <w:spacing w:val="-16"/>
                <w:sz w:val="18"/>
              </w:rPr>
              <w:t> </w:t>
            </w:r>
            <w:r>
              <w:rPr>
                <w:sz w:val="18"/>
              </w:rPr>
              <w:t>estrategias federales</w:t>
            </w:r>
            <w:r>
              <w:rPr>
                <w:spacing w:val="-13"/>
                <w:sz w:val="18"/>
              </w:rPr>
              <w:t> </w:t>
            </w:r>
            <w:r>
              <w:rPr>
                <w:sz w:val="18"/>
              </w:rPr>
              <w:t>complementa- das con programas</w:t>
            </w:r>
            <w:r>
              <w:rPr>
                <w:spacing w:val="-25"/>
                <w:sz w:val="18"/>
              </w:rPr>
              <w:t> </w:t>
            </w:r>
            <w:r>
              <w:rPr>
                <w:sz w:val="18"/>
              </w:rPr>
              <w:t>esta- </w:t>
            </w:r>
            <w:r>
              <w:rPr>
                <w:spacing w:val="-2"/>
                <w:sz w:val="18"/>
              </w:rPr>
              <w:t>tales.</w:t>
            </w:r>
          </w:p>
        </w:tc>
        <w:tc>
          <w:tcPr>
            <w:tcW w:w="1576" w:type="dxa"/>
          </w:tcPr>
          <w:p>
            <w:pPr>
              <w:pStyle w:val="TableParagraph"/>
              <w:spacing w:line="266" w:lineRule="auto" w:before="10"/>
              <w:ind w:left="51" w:right="49"/>
              <w:jc w:val="both"/>
              <w:rPr>
                <w:sz w:val="18"/>
              </w:rPr>
            </w:pPr>
            <w:r>
              <w:rPr>
                <w:sz w:val="18"/>
              </w:rPr>
              <w:t>Aplicación exclu- siva de los progra- mas federales en un sector estatal por la inexistencia de </w:t>
            </w:r>
            <w:r>
              <w:rPr>
                <w:spacing w:val="-2"/>
                <w:sz w:val="18"/>
              </w:rPr>
              <w:t>una </w:t>
            </w:r>
            <w:r>
              <w:rPr>
                <w:sz w:val="18"/>
              </w:rPr>
              <w:t>estrategia</w:t>
            </w:r>
            <w:r>
              <w:rPr>
                <w:spacing w:val="-22"/>
                <w:sz w:val="18"/>
              </w:rPr>
              <w:t> </w:t>
            </w:r>
            <w:r>
              <w:rPr>
                <w:sz w:val="18"/>
              </w:rPr>
              <w:t>redistribu- tiva</w:t>
            </w:r>
            <w:r>
              <w:rPr>
                <w:spacing w:val="-24"/>
                <w:sz w:val="18"/>
              </w:rPr>
              <w:t> </w:t>
            </w:r>
            <w:r>
              <w:rPr>
                <w:sz w:val="18"/>
              </w:rPr>
              <w:t>propia.</w:t>
            </w:r>
          </w:p>
        </w:tc>
        <w:tc>
          <w:tcPr>
            <w:tcW w:w="1633" w:type="dxa"/>
          </w:tcPr>
          <w:p>
            <w:pPr>
              <w:pStyle w:val="TableParagraph"/>
              <w:spacing w:line="266" w:lineRule="auto" w:before="10"/>
              <w:ind w:left="51" w:right="49"/>
              <w:jc w:val="both"/>
              <w:rPr>
                <w:sz w:val="18"/>
              </w:rPr>
            </w:pPr>
            <w:r>
              <w:rPr>
                <w:sz w:val="18"/>
              </w:rPr>
              <w:t>Evaluación conti- nua e integral de la política redistributi- va estatal basada en estrategias federales complementadas con programas estatales.</w:t>
            </w:r>
          </w:p>
        </w:tc>
        <w:tc>
          <w:tcPr>
            <w:tcW w:w="1610" w:type="dxa"/>
          </w:tcPr>
          <w:p>
            <w:pPr>
              <w:pStyle w:val="TableParagraph"/>
              <w:spacing w:line="266" w:lineRule="auto" w:before="10"/>
              <w:ind w:left="51" w:right="49"/>
              <w:jc w:val="both"/>
              <w:rPr>
                <w:sz w:val="18"/>
              </w:rPr>
            </w:pPr>
            <w:r>
              <w:rPr>
                <w:sz w:val="18"/>
              </w:rPr>
              <w:t>Cuatro sectores es- tatales implementan programas compen- satorios propios, </w:t>
            </w:r>
            <w:r>
              <w:rPr>
                <w:spacing w:val="-2"/>
                <w:sz w:val="18"/>
              </w:rPr>
              <w:t>sin </w:t>
            </w:r>
            <w:r>
              <w:rPr>
                <w:sz w:val="18"/>
              </w:rPr>
              <w:t>que ellos</w:t>
            </w:r>
            <w:r>
              <w:rPr>
                <w:spacing w:val="-26"/>
                <w:sz w:val="18"/>
              </w:rPr>
              <w:t> </w:t>
            </w:r>
            <w:r>
              <w:rPr>
                <w:sz w:val="18"/>
              </w:rPr>
              <w:t>representen </w:t>
            </w:r>
            <w:r>
              <w:rPr>
                <w:spacing w:val="-1"/>
                <w:sz w:val="18"/>
              </w:rPr>
              <w:t>adecuaciones</w:t>
            </w:r>
            <w:r>
              <w:rPr>
                <w:spacing w:val="-26"/>
                <w:sz w:val="18"/>
              </w:rPr>
              <w:t> </w:t>
            </w:r>
            <w:r>
              <w:rPr>
                <w:sz w:val="18"/>
              </w:rPr>
              <w:t>estraté- </w:t>
            </w:r>
            <w:r>
              <w:rPr>
                <w:spacing w:val="-2"/>
                <w:sz w:val="18"/>
              </w:rPr>
              <w:t>gicas.</w:t>
            </w:r>
          </w:p>
        </w:tc>
      </w:tr>
      <w:tr>
        <w:trPr>
          <w:trHeight w:val="1618" w:hRule="exact"/>
        </w:trPr>
        <w:tc>
          <w:tcPr>
            <w:tcW w:w="442" w:type="dxa"/>
            <w:shd w:val="clear" w:color="auto" w:fill="D1D3D4"/>
          </w:tcPr>
          <w:p>
            <w:pPr>
              <w:pStyle w:val="TableParagraph"/>
              <w:spacing w:before="8"/>
              <w:jc w:val="center"/>
              <w:rPr>
                <w:b/>
                <w:sz w:val="18"/>
              </w:rPr>
            </w:pPr>
            <w:r>
              <w:rPr>
                <w:b/>
                <w:sz w:val="18"/>
              </w:rPr>
              <w:t>5</w:t>
            </w:r>
          </w:p>
        </w:tc>
        <w:tc>
          <w:tcPr>
            <w:tcW w:w="1826" w:type="dxa"/>
            <w:shd w:val="clear" w:color="auto" w:fill="D1D3D4"/>
          </w:tcPr>
          <w:p>
            <w:pPr>
              <w:pStyle w:val="TableParagraph"/>
              <w:spacing w:line="266" w:lineRule="auto" w:before="11"/>
              <w:ind w:left="51" w:right="49"/>
              <w:jc w:val="both"/>
              <w:rPr>
                <w:sz w:val="18"/>
              </w:rPr>
            </w:pPr>
            <w:r>
              <w:rPr>
                <w:sz w:val="18"/>
              </w:rPr>
              <w:t>La coordinación secto- rial estatal organiza y cofinancía la asistencia privada y la producción social de vivienda.</w:t>
            </w:r>
          </w:p>
        </w:tc>
        <w:tc>
          <w:tcPr>
            <w:tcW w:w="1576" w:type="dxa"/>
            <w:shd w:val="clear" w:color="auto" w:fill="D1D3D4"/>
          </w:tcPr>
          <w:p>
            <w:pPr>
              <w:pStyle w:val="TableParagraph"/>
              <w:spacing w:line="266" w:lineRule="auto" w:before="11"/>
              <w:ind w:left="51" w:right="49"/>
              <w:jc w:val="both"/>
              <w:rPr>
                <w:sz w:val="18"/>
              </w:rPr>
            </w:pPr>
            <w:r>
              <w:rPr>
                <w:spacing w:val="-1"/>
                <w:sz w:val="18"/>
              </w:rPr>
              <w:t>Aplicación</w:t>
            </w:r>
            <w:r>
              <w:rPr>
                <w:spacing w:val="-22"/>
                <w:sz w:val="18"/>
              </w:rPr>
              <w:t> </w:t>
            </w:r>
            <w:r>
              <w:rPr>
                <w:sz w:val="18"/>
              </w:rPr>
              <w:t>preferen- te de los programas federales</w:t>
            </w:r>
            <w:r>
              <w:rPr>
                <w:spacing w:val="-12"/>
                <w:sz w:val="18"/>
              </w:rPr>
              <w:t> </w:t>
            </w:r>
            <w:r>
              <w:rPr>
                <w:sz w:val="18"/>
              </w:rPr>
              <w:t>en</w:t>
            </w:r>
            <w:r>
              <w:rPr>
                <w:spacing w:val="-12"/>
                <w:sz w:val="18"/>
              </w:rPr>
              <w:t> </w:t>
            </w:r>
            <w:r>
              <w:rPr>
                <w:sz w:val="18"/>
              </w:rPr>
              <w:t>dos</w:t>
            </w:r>
            <w:r>
              <w:rPr>
                <w:spacing w:val="-12"/>
                <w:sz w:val="18"/>
              </w:rPr>
              <w:t> </w:t>
            </w:r>
            <w:r>
              <w:rPr>
                <w:sz w:val="18"/>
              </w:rPr>
              <w:t>sec- tores estatales en el marco de una estra- tegia redistributiva propia.</w:t>
            </w:r>
          </w:p>
        </w:tc>
        <w:tc>
          <w:tcPr>
            <w:tcW w:w="1633" w:type="dxa"/>
            <w:shd w:val="clear" w:color="auto" w:fill="D1D3D4"/>
          </w:tcPr>
          <w:p>
            <w:pPr>
              <w:pStyle w:val="TableParagraph"/>
              <w:spacing w:line="266" w:lineRule="auto" w:before="11"/>
              <w:ind w:left="51" w:right="49"/>
              <w:jc w:val="both"/>
              <w:rPr>
                <w:sz w:val="18"/>
              </w:rPr>
            </w:pPr>
            <w:r>
              <w:rPr>
                <w:sz w:val="18"/>
              </w:rPr>
              <w:t>Evaluación continua e integral de la </w:t>
            </w:r>
            <w:r>
              <w:rPr>
                <w:spacing w:val="-3"/>
                <w:sz w:val="18"/>
              </w:rPr>
              <w:t>orga- </w:t>
            </w:r>
            <w:r>
              <w:rPr>
                <w:sz w:val="18"/>
              </w:rPr>
              <w:t>nización y cofinan- cíamiento de la asis- tencia privada y de</w:t>
            </w:r>
            <w:r>
              <w:rPr>
                <w:spacing w:val="-26"/>
                <w:sz w:val="18"/>
              </w:rPr>
              <w:t> </w:t>
            </w:r>
            <w:r>
              <w:rPr>
                <w:sz w:val="18"/>
              </w:rPr>
              <w:t>la producción social de vivienda.</w:t>
            </w:r>
          </w:p>
        </w:tc>
        <w:tc>
          <w:tcPr>
            <w:tcW w:w="1610" w:type="dxa"/>
            <w:shd w:val="clear" w:color="auto" w:fill="D1D3D4"/>
          </w:tcPr>
          <w:p>
            <w:pPr>
              <w:pStyle w:val="TableParagraph"/>
              <w:spacing w:line="266" w:lineRule="auto" w:before="11"/>
              <w:ind w:left="51" w:right="49"/>
              <w:jc w:val="both"/>
              <w:rPr>
                <w:sz w:val="18"/>
              </w:rPr>
            </w:pPr>
            <w:r>
              <w:rPr>
                <w:spacing w:val="-4"/>
                <w:sz w:val="18"/>
              </w:rPr>
              <w:t>Tres </w:t>
            </w:r>
            <w:r>
              <w:rPr>
                <w:sz w:val="18"/>
              </w:rPr>
              <w:t>sectores esta- tales implementan programas compen- satorios propios, </w:t>
            </w:r>
            <w:r>
              <w:rPr>
                <w:spacing w:val="-2"/>
                <w:sz w:val="18"/>
              </w:rPr>
              <w:t>con </w:t>
            </w:r>
            <w:r>
              <w:rPr>
                <w:sz w:val="18"/>
              </w:rPr>
              <w:t>énfasis en la focali- zación y el</w:t>
            </w:r>
            <w:r>
              <w:rPr>
                <w:spacing w:val="-33"/>
                <w:sz w:val="18"/>
              </w:rPr>
              <w:t> </w:t>
            </w:r>
            <w:r>
              <w:rPr>
                <w:sz w:val="18"/>
              </w:rPr>
              <w:t>equilibrio </w:t>
            </w:r>
            <w:r>
              <w:rPr>
                <w:spacing w:val="-2"/>
                <w:sz w:val="18"/>
              </w:rPr>
              <w:t>estratégico.</w:t>
            </w:r>
          </w:p>
        </w:tc>
      </w:tr>
      <w:tr>
        <w:trPr>
          <w:trHeight w:val="1618" w:hRule="exact"/>
        </w:trPr>
        <w:tc>
          <w:tcPr>
            <w:tcW w:w="442" w:type="dxa"/>
          </w:tcPr>
          <w:p>
            <w:pPr>
              <w:pStyle w:val="TableParagraph"/>
              <w:spacing w:before="8"/>
              <w:jc w:val="center"/>
              <w:rPr>
                <w:b/>
                <w:sz w:val="18"/>
              </w:rPr>
            </w:pPr>
            <w:r>
              <w:rPr>
                <w:b/>
                <w:sz w:val="18"/>
              </w:rPr>
              <w:t>4</w:t>
            </w:r>
          </w:p>
        </w:tc>
        <w:tc>
          <w:tcPr>
            <w:tcW w:w="1826" w:type="dxa"/>
          </w:tcPr>
          <w:p>
            <w:pPr>
              <w:pStyle w:val="TableParagraph"/>
              <w:spacing w:line="266" w:lineRule="auto" w:before="11"/>
              <w:ind w:left="51" w:right="49"/>
              <w:jc w:val="both"/>
              <w:rPr>
                <w:sz w:val="18"/>
              </w:rPr>
            </w:pPr>
            <w:r>
              <w:rPr>
                <w:sz w:val="18"/>
              </w:rPr>
              <w:t>La coordinación secto- rial estatal implementa programas federales inconexos</w:t>
            </w:r>
            <w:r>
              <w:rPr>
                <w:spacing w:val="-15"/>
                <w:sz w:val="18"/>
              </w:rPr>
              <w:t> </w:t>
            </w:r>
            <w:r>
              <w:rPr>
                <w:sz w:val="18"/>
              </w:rPr>
              <w:t>y</w:t>
            </w:r>
            <w:r>
              <w:rPr>
                <w:spacing w:val="-15"/>
                <w:sz w:val="18"/>
              </w:rPr>
              <w:t> </w:t>
            </w:r>
            <w:r>
              <w:rPr>
                <w:sz w:val="18"/>
              </w:rPr>
              <w:t>los</w:t>
            </w:r>
            <w:r>
              <w:rPr>
                <w:spacing w:val="-15"/>
                <w:sz w:val="18"/>
              </w:rPr>
              <w:t> </w:t>
            </w:r>
            <w:r>
              <w:rPr>
                <w:sz w:val="18"/>
              </w:rPr>
              <w:t>comple- menta con programas estatales.</w:t>
            </w:r>
          </w:p>
        </w:tc>
        <w:tc>
          <w:tcPr>
            <w:tcW w:w="1576" w:type="dxa"/>
          </w:tcPr>
          <w:p>
            <w:pPr>
              <w:pStyle w:val="TableParagraph"/>
              <w:spacing w:line="266" w:lineRule="auto" w:before="11"/>
              <w:ind w:left="51" w:right="49"/>
              <w:jc w:val="both"/>
              <w:rPr>
                <w:sz w:val="18"/>
              </w:rPr>
            </w:pPr>
            <w:r>
              <w:rPr>
                <w:sz w:val="18"/>
              </w:rPr>
              <w:t>Aplicación exclusi- va de los programas federales</w:t>
            </w:r>
            <w:r>
              <w:rPr>
                <w:spacing w:val="-12"/>
                <w:sz w:val="18"/>
              </w:rPr>
              <w:t> </w:t>
            </w:r>
            <w:r>
              <w:rPr>
                <w:sz w:val="18"/>
              </w:rPr>
              <w:t>en</w:t>
            </w:r>
            <w:r>
              <w:rPr>
                <w:spacing w:val="-12"/>
                <w:sz w:val="18"/>
              </w:rPr>
              <w:t> </w:t>
            </w:r>
            <w:r>
              <w:rPr>
                <w:sz w:val="18"/>
              </w:rPr>
              <w:t>dos</w:t>
            </w:r>
            <w:r>
              <w:rPr>
                <w:spacing w:val="-12"/>
                <w:sz w:val="18"/>
              </w:rPr>
              <w:t> </w:t>
            </w:r>
            <w:r>
              <w:rPr>
                <w:sz w:val="18"/>
              </w:rPr>
              <w:t>sec- tores estatales por</w:t>
            </w:r>
            <w:r>
              <w:rPr>
                <w:spacing w:val="-7"/>
                <w:sz w:val="18"/>
              </w:rPr>
              <w:t> </w:t>
            </w:r>
            <w:r>
              <w:rPr>
                <w:sz w:val="18"/>
              </w:rPr>
              <w:t>la inexistencia de </w:t>
            </w:r>
            <w:r>
              <w:rPr>
                <w:spacing w:val="-2"/>
                <w:sz w:val="18"/>
              </w:rPr>
              <w:t>una </w:t>
            </w:r>
            <w:r>
              <w:rPr>
                <w:sz w:val="18"/>
              </w:rPr>
              <w:t>estrategia</w:t>
            </w:r>
            <w:r>
              <w:rPr>
                <w:spacing w:val="-22"/>
                <w:sz w:val="18"/>
              </w:rPr>
              <w:t> </w:t>
            </w:r>
            <w:r>
              <w:rPr>
                <w:sz w:val="18"/>
              </w:rPr>
              <w:t>redistribu- tiva</w:t>
            </w:r>
            <w:r>
              <w:rPr>
                <w:spacing w:val="-24"/>
                <w:sz w:val="18"/>
              </w:rPr>
              <w:t> </w:t>
            </w:r>
            <w:r>
              <w:rPr>
                <w:sz w:val="18"/>
              </w:rPr>
              <w:t>propia.</w:t>
            </w:r>
          </w:p>
        </w:tc>
        <w:tc>
          <w:tcPr>
            <w:tcW w:w="1633" w:type="dxa"/>
          </w:tcPr>
          <w:p>
            <w:pPr>
              <w:pStyle w:val="TableParagraph"/>
              <w:spacing w:line="266" w:lineRule="auto" w:before="12"/>
              <w:ind w:left="51" w:right="49"/>
              <w:jc w:val="both"/>
              <w:rPr>
                <w:sz w:val="18"/>
              </w:rPr>
            </w:pPr>
            <w:r>
              <w:rPr>
                <w:sz w:val="18"/>
              </w:rPr>
              <w:t>Evaluación continua de la implementa- ción de programas federales inconexos complementados </w:t>
            </w:r>
            <w:r>
              <w:rPr>
                <w:spacing w:val="-2"/>
                <w:sz w:val="18"/>
              </w:rPr>
              <w:t>con </w:t>
            </w:r>
            <w:r>
              <w:rPr>
                <w:spacing w:val="-1"/>
                <w:sz w:val="18"/>
              </w:rPr>
              <w:t>programas </w:t>
            </w:r>
            <w:r>
              <w:rPr>
                <w:sz w:val="18"/>
              </w:rPr>
              <w:t>estatales.</w:t>
            </w:r>
          </w:p>
        </w:tc>
        <w:tc>
          <w:tcPr>
            <w:tcW w:w="1610" w:type="dxa"/>
          </w:tcPr>
          <w:p>
            <w:pPr>
              <w:pStyle w:val="TableParagraph"/>
              <w:spacing w:line="266" w:lineRule="auto" w:before="12"/>
              <w:ind w:left="51" w:right="49"/>
              <w:jc w:val="both"/>
              <w:rPr>
                <w:sz w:val="18"/>
              </w:rPr>
            </w:pPr>
            <w:r>
              <w:rPr>
                <w:spacing w:val="-4"/>
                <w:sz w:val="18"/>
              </w:rPr>
              <w:t>Tres </w:t>
            </w:r>
            <w:r>
              <w:rPr>
                <w:sz w:val="18"/>
              </w:rPr>
              <w:t>sectores esta- tales implementan programas compen- satorios propios, </w:t>
            </w:r>
            <w:r>
              <w:rPr>
                <w:spacing w:val="-2"/>
                <w:sz w:val="18"/>
              </w:rPr>
              <w:t>sin </w:t>
            </w:r>
            <w:r>
              <w:rPr>
                <w:sz w:val="18"/>
              </w:rPr>
              <w:t>que ellos</w:t>
            </w:r>
            <w:r>
              <w:rPr>
                <w:spacing w:val="-26"/>
                <w:sz w:val="18"/>
              </w:rPr>
              <w:t> </w:t>
            </w:r>
            <w:r>
              <w:rPr>
                <w:sz w:val="18"/>
              </w:rPr>
              <w:t>representen </w:t>
            </w:r>
            <w:r>
              <w:rPr>
                <w:spacing w:val="-1"/>
                <w:sz w:val="18"/>
              </w:rPr>
              <w:t>adecuaciones</w:t>
            </w:r>
            <w:r>
              <w:rPr>
                <w:spacing w:val="-26"/>
                <w:sz w:val="18"/>
              </w:rPr>
              <w:t> </w:t>
            </w:r>
            <w:r>
              <w:rPr>
                <w:sz w:val="18"/>
              </w:rPr>
              <w:t>estraté- </w:t>
            </w:r>
            <w:r>
              <w:rPr>
                <w:spacing w:val="-2"/>
                <w:sz w:val="18"/>
              </w:rPr>
              <w:t>gicas.</w:t>
            </w:r>
          </w:p>
        </w:tc>
      </w:tr>
    </w:tbl>
    <w:p>
      <w:pPr>
        <w:spacing w:after="0" w:line="266" w:lineRule="auto"/>
        <w:jc w:val="both"/>
        <w:rPr>
          <w:sz w:val="18"/>
        </w:rPr>
        <w:sectPr>
          <w:headerReference w:type="default" r:id="rId198"/>
          <w:headerReference w:type="even" r:id="rId199"/>
          <w:pgSz w:w="9360" w:h="13040"/>
          <w:pgMar w:header="531" w:footer="515" w:top="720" w:bottom="700" w:left="740" w:right="1300"/>
        </w:sectPr>
      </w:pPr>
    </w:p>
    <w:p>
      <w:pPr>
        <w:pStyle w:val="BodyText"/>
        <w:rPr>
          <w:b/>
          <w:i/>
          <w:sz w:val="20"/>
        </w:rPr>
      </w:pPr>
    </w:p>
    <w:p>
      <w:pPr>
        <w:pStyle w:val="BodyText"/>
        <w:spacing w:before="10"/>
        <w:rPr>
          <w:b/>
          <w:i/>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2"/>
        <w:gridCol w:w="1826"/>
        <w:gridCol w:w="1576"/>
        <w:gridCol w:w="1633"/>
        <w:gridCol w:w="1610"/>
      </w:tblGrid>
      <w:tr>
        <w:trPr>
          <w:trHeight w:val="1848" w:hRule="exact"/>
        </w:trPr>
        <w:tc>
          <w:tcPr>
            <w:tcW w:w="442" w:type="dxa"/>
            <w:shd w:val="clear" w:color="auto" w:fill="D1D3D4"/>
          </w:tcPr>
          <w:p>
            <w:pPr>
              <w:pStyle w:val="TableParagraph"/>
              <w:spacing w:before="5"/>
              <w:jc w:val="center"/>
              <w:rPr>
                <w:b/>
                <w:sz w:val="18"/>
              </w:rPr>
            </w:pPr>
            <w:r>
              <w:rPr>
                <w:b/>
                <w:sz w:val="18"/>
              </w:rPr>
              <w:t>3</w:t>
            </w:r>
          </w:p>
        </w:tc>
        <w:tc>
          <w:tcPr>
            <w:tcW w:w="1826" w:type="dxa"/>
            <w:shd w:val="clear" w:color="auto" w:fill="D1D3D4"/>
          </w:tcPr>
          <w:p>
            <w:pPr>
              <w:pStyle w:val="TableParagraph"/>
              <w:spacing w:line="266" w:lineRule="auto" w:before="8"/>
              <w:ind w:left="51" w:right="49"/>
              <w:jc w:val="both"/>
              <w:rPr>
                <w:sz w:val="18"/>
              </w:rPr>
            </w:pPr>
            <w:r>
              <w:rPr>
                <w:sz w:val="18"/>
              </w:rPr>
              <w:t>La coordinación sec- torial estatal se basa en que algunas dependen- cias integran al resto en la ejecución de los pro- gramas redistributivos federales.</w:t>
            </w:r>
          </w:p>
        </w:tc>
        <w:tc>
          <w:tcPr>
            <w:tcW w:w="1576" w:type="dxa"/>
            <w:shd w:val="clear" w:color="auto" w:fill="D1D3D4"/>
          </w:tcPr>
          <w:p>
            <w:pPr>
              <w:pStyle w:val="TableParagraph"/>
              <w:spacing w:line="266" w:lineRule="auto" w:before="8"/>
              <w:ind w:left="51" w:right="49"/>
              <w:jc w:val="both"/>
              <w:rPr>
                <w:sz w:val="18"/>
              </w:rPr>
            </w:pPr>
            <w:r>
              <w:rPr>
                <w:spacing w:val="-1"/>
                <w:sz w:val="18"/>
              </w:rPr>
              <w:t>Aplicación</w:t>
            </w:r>
            <w:r>
              <w:rPr>
                <w:spacing w:val="-22"/>
                <w:sz w:val="18"/>
              </w:rPr>
              <w:t> </w:t>
            </w:r>
            <w:r>
              <w:rPr>
                <w:sz w:val="18"/>
              </w:rPr>
              <w:t>preferen- te de los programas federales</w:t>
            </w:r>
            <w:r>
              <w:rPr>
                <w:spacing w:val="-15"/>
                <w:sz w:val="18"/>
              </w:rPr>
              <w:t> </w:t>
            </w:r>
            <w:r>
              <w:rPr>
                <w:sz w:val="18"/>
              </w:rPr>
              <w:t>en</w:t>
            </w:r>
            <w:r>
              <w:rPr>
                <w:spacing w:val="-15"/>
                <w:sz w:val="18"/>
              </w:rPr>
              <w:t> </w:t>
            </w:r>
            <w:r>
              <w:rPr>
                <w:sz w:val="18"/>
              </w:rPr>
              <w:t>tres</w:t>
            </w:r>
            <w:r>
              <w:rPr>
                <w:spacing w:val="-15"/>
                <w:sz w:val="18"/>
              </w:rPr>
              <w:t> </w:t>
            </w:r>
            <w:r>
              <w:rPr>
                <w:sz w:val="18"/>
              </w:rPr>
              <w:t>sec- tores estatales en el marco de una estra- tegia redistributiva propia.</w:t>
            </w:r>
          </w:p>
        </w:tc>
        <w:tc>
          <w:tcPr>
            <w:tcW w:w="1633" w:type="dxa"/>
            <w:shd w:val="clear" w:color="auto" w:fill="D1D3D4"/>
          </w:tcPr>
          <w:p>
            <w:pPr>
              <w:pStyle w:val="TableParagraph"/>
              <w:spacing w:line="266" w:lineRule="auto" w:before="8"/>
              <w:ind w:left="51" w:right="49"/>
              <w:jc w:val="both"/>
              <w:rPr>
                <w:sz w:val="18"/>
              </w:rPr>
            </w:pPr>
            <w:r>
              <w:rPr>
                <w:sz w:val="18"/>
              </w:rPr>
              <w:t>Evaluación continua de la </w:t>
            </w:r>
            <w:r>
              <w:rPr>
                <w:spacing w:val="-2"/>
                <w:sz w:val="18"/>
              </w:rPr>
              <w:t>coordinación </w:t>
            </w:r>
            <w:r>
              <w:rPr>
                <w:sz w:val="18"/>
              </w:rPr>
              <w:t>basada en que algu- nas </w:t>
            </w:r>
            <w:r>
              <w:rPr>
                <w:spacing w:val="-2"/>
                <w:sz w:val="18"/>
              </w:rPr>
              <w:t>dependencias </w:t>
            </w:r>
            <w:r>
              <w:rPr>
                <w:sz w:val="18"/>
              </w:rPr>
              <w:t>integran al resto  en la ejecución de </w:t>
            </w:r>
            <w:r>
              <w:rPr>
                <w:spacing w:val="-2"/>
                <w:sz w:val="18"/>
              </w:rPr>
              <w:t>los </w:t>
            </w:r>
            <w:r>
              <w:rPr>
                <w:spacing w:val="-1"/>
                <w:sz w:val="18"/>
              </w:rPr>
              <w:t>programas</w:t>
            </w:r>
            <w:r>
              <w:rPr>
                <w:spacing w:val="-26"/>
                <w:sz w:val="18"/>
              </w:rPr>
              <w:t> </w:t>
            </w:r>
            <w:r>
              <w:rPr>
                <w:sz w:val="18"/>
              </w:rPr>
              <w:t>redistribu- </w:t>
            </w:r>
            <w:r>
              <w:rPr>
                <w:spacing w:val="-1"/>
                <w:sz w:val="18"/>
              </w:rPr>
              <w:t>tivos</w:t>
            </w:r>
            <w:r>
              <w:rPr>
                <w:spacing w:val="-27"/>
                <w:sz w:val="18"/>
              </w:rPr>
              <w:t> </w:t>
            </w:r>
            <w:r>
              <w:rPr>
                <w:sz w:val="18"/>
              </w:rPr>
              <w:t>federales.</w:t>
            </w:r>
          </w:p>
        </w:tc>
        <w:tc>
          <w:tcPr>
            <w:tcW w:w="1610" w:type="dxa"/>
            <w:shd w:val="clear" w:color="auto" w:fill="D1D3D4"/>
          </w:tcPr>
          <w:p>
            <w:pPr>
              <w:pStyle w:val="TableParagraph"/>
              <w:spacing w:line="266" w:lineRule="auto"/>
              <w:ind w:left="51" w:right="49"/>
              <w:jc w:val="both"/>
              <w:rPr>
                <w:sz w:val="18"/>
              </w:rPr>
            </w:pPr>
            <w:r>
              <w:rPr>
                <w:sz w:val="18"/>
              </w:rPr>
              <w:t>Dos sectores esta- tales implementan programas compen- satorios propios, </w:t>
            </w:r>
            <w:r>
              <w:rPr>
                <w:spacing w:val="-2"/>
                <w:sz w:val="18"/>
              </w:rPr>
              <w:t>con </w:t>
            </w:r>
            <w:r>
              <w:rPr>
                <w:sz w:val="18"/>
              </w:rPr>
              <w:t>énfasis en la focali- zación y el</w:t>
            </w:r>
            <w:r>
              <w:rPr>
                <w:spacing w:val="-33"/>
                <w:sz w:val="18"/>
              </w:rPr>
              <w:t> </w:t>
            </w:r>
            <w:r>
              <w:rPr>
                <w:sz w:val="18"/>
              </w:rPr>
              <w:t>equilibrio </w:t>
            </w:r>
            <w:r>
              <w:rPr>
                <w:spacing w:val="-2"/>
                <w:sz w:val="18"/>
              </w:rPr>
              <w:t>estratégico.</w:t>
            </w:r>
          </w:p>
        </w:tc>
      </w:tr>
      <w:tr>
        <w:trPr>
          <w:trHeight w:val="1848" w:hRule="exact"/>
        </w:trPr>
        <w:tc>
          <w:tcPr>
            <w:tcW w:w="442" w:type="dxa"/>
          </w:tcPr>
          <w:p>
            <w:pPr>
              <w:pStyle w:val="TableParagraph"/>
              <w:spacing w:before="6"/>
              <w:jc w:val="center"/>
              <w:rPr>
                <w:b/>
                <w:sz w:val="18"/>
              </w:rPr>
            </w:pPr>
            <w:r>
              <w:rPr>
                <w:b/>
                <w:sz w:val="18"/>
              </w:rPr>
              <w:t>2</w:t>
            </w:r>
          </w:p>
        </w:tc>
        <w:tc>
          <w:tcPr>
            <w:tcW w:w="1826" w:type="dxa"/>
          </w:tcPr>
          <w:p>
            <w:pPr>
              <w:pStyle w:val="TableParagraph"/>
              <w:spacing w:line="266" w:lineRule="auto"/>
              <w:ind w:left="51" w:right="49"/>
              <w:jc w:val="both"/>
              <w:rPr>
                <w:sz w:val="18"/>
              </w:rPr>
            </w:pPr>
            <w:r>
              <w:rPr>
                <w:sz w:val="18"/>
              </w:rPr>
              <w:t>La coordinación sec- torial estatal se basa en que dos dependencias integran al resto en la ejecución de los pro- gramas redistributivos federales.</w:t>
            </w:r>
          </w:p>
        </w:tc>
        <w:tc>
          <w:tcPr>
            <w:tcW w:w="1576" w:type="dxa"/>
          </w:tcPr>
          <w:p>
            <w:pPr>
              <w:pStyle w:val="TableParagraph"/>
              <w:spacing w:line="266" w:lineRule="auto"/>
              <w:ind w:left="51" w:right="49"/>
              <w:jc w:val="both"/>
              <w:rPr>
                <w:sz w:val="18"/>
              </w:rPr>
            </w:pPr>
            <w:r>
              <w:rPr>
                <w:sz w:val="18"/>
              </w:rPr>
              <w:t>Aplicación exclusi- va de los programas federales</w:t>
            </w:r>
            <w:r>
              <w:rPr>
                <w:spacing w:val="-15"/>
                <w:sz w:val="18"/>
              </w:rPr>
              <w:t> </w:t>
            </w:r>
            <w:r>
              <w:rPr>
                <w:sz w:val="18"/>
              </w:rPr>
              <w:t>en</w:t>
            </w:r>
            <w:r>
              <w:rPr>
                <w:spacing w:val="-15"/>
                <w:sz w:val="18"/>
              </w:rPr>
              <w:t> </w:t>
            </w:r>
            <w:r>
              <w:rPr>
                <w:sz w:val="18"/>
              </w:rPr>
              <w:t>tres</w:t>
            </w:r>
            <w:r>
              <w:rPr>
                <w:spacing w:val="-15"/>
                <w:sz w:val="18"/>
              </w:rPr>
              <w:t> </w:t>
            </w:r>
            <w:r>
              <w:rPr>
                <w:sz w:val="18"/>
              </w:rPr>
              <w:t>sec- tores estatales por</w:t>
            </w:r>
            <w:r>
              <w:rPr>
                <w:spacing w:val="-7"/>
                <w:sz w:val="18"/>
              </w:rPr>
              <w:t> </w:t>
            </w:r>
            <w:r>
              <w:rPr>
                <w:sz w:val="18"/>
              </w:rPr>
              <w:t>la inexistencia de </w:t>
            </w:r>
            <w:r>
              <w:rPr>
                <w:spacing w:val="-2"/>
                <w:sz w:val="18"/>
              </w:rPr>
              <w:t>una </w:t>
            </w:r>
            <w:r>
              <w:rPr>
                <w:sz w:val="18"/>
              </w:rPr>
              <w:t>estrategia</w:t>
            </w:r>
            <w:r>
              <w:rPr>
                <w:spacing w:val="-22"/>
                <w:sz w:val="18"/>
              </w:rPr>
              <w:t> </w:t>
            </w:r>
            <w:r>
              <w:rPr>
                <w:sz w:val="18"/>
              </w:rPr>
              <w:t>redistribu- tiva</w:t>
            </w:r>
            <w:r>
              <w:rPr>
                <w:spacing w:val="-24"/>
                <w:sz w:val="18"/>
              </w:rPr>
              <w:t> </w:t>
            </w:r>
            <w:r>
              <w:rPr>
                <w:sz w:val="18"/>
              </w:rPr>
              <w:t>propia.</w:t>
            </w:r>
          </w:p>
        </w:tc>
        <w:tc>
          <w:tcPr>
            <w:tcW w:w="1633" w:type="dxa"/>
          </w:tcPr>
          <w:p>
            <w:pPr>
              <w:pStyle w:val="TableParagraph"/>
              <w:spacing w:line="266" w:lineRule="auto"/>
              <w:ind w:left="51" w:right="49"/>
              <w:jc w:val="both"/>
              <w:rPr>
                <w:sz w:val="18"/>
              </w:rPr>
            </w:pPr>
            <w:r>
              <w:rPr>
                <w:sz w:val="18"/>
              </w:rPr>
              <w:t>Evaluación continua de la </w:t>
            </w:r>
            <w:r>
              <w:rPr>
                <w:spacing w:val="-2"/>
                <w:sz w:val="18"/>
              </w:rPr>
              <w:t>coordinación </w:t>
            </w:r>
            <w:r>
              <w:rPr>
                <w:sz w:val="18"/>
              </w:rPr>
              <w:t>basada</w:t>
            </w:r>
            <w:r>
              <w:rPr>
                <w:spacing w:val="-16"/>
                <w:sz w:val="18"/>
              </w:rPr>
              <w:t> </w:t>
            </w:r>
            <w:r>
              <w:rPr>
                <w:sz w:val="18"/>
              </w:rPr>
              <w:t>en</w:t>
            </w:r>
            <w:r>
              <w:rPr>
                <w:spacing w:val="-16"/>
                <w:sz w:val="18"/>
              </w:rPr>
              <w:t> </w:t>
            </w:r>
            <w:r>
              <w:rPr>
                <w:sz w:val="18"/>
              </w:rPr>
              <w:t>que</w:t>
            </w:r>
            <w:r>
              <w:rPr>
                <w:spacing w:val="-16"/>
                <w:sz w:val="18"/>
              </w:rPr>
              <w:t> </w:t>
            </w:r>
            <w:r>
              <w:rPr>
                <w:sz w:val="18"/>
              </w:rPr>
              <w:t>dos</w:t>
            </w:r>
            <w:r>
              <w:rPr>
                <w:spacing w:val="-16"/>
                <w:sz w:val="18"/>
              </w:rPr>
              <w:t> </w:t>
            </w:r>
            <w:r>
              <w:rPr>
                <w:sz w:val="18"/>
              </w:rPr>
              <w:t>de- pendencias integran al resto en la ejecu- ción de los progra- mas redistributivos federales.</w:t>
            </w:r>
          </w:p>
        </w:tc>
        <w:tc>
          <w:tcPr>
            <w:tcW w:w="1610" w:type="dxa"/>
          </w:tcPr>
          <w:p>
            <w:pPr>
              <w:pStyle w:val="TableParagraph"/>
              <w:spacing w:line="266" w:lineRule="auto" w:before="10"/>
              <w:ind w:left="51" w:right="49"/>
              <w:jc w:val="both"/>
              <w:rPr>
                <w:sz w:val="18"/>
              </w:rPr>
            </w:pPr>
            <w:r>
              <w:rPr>
                <w:sz w:val="18"/>
              </w:rPr>
              <w:t>Dos sectores esta- tales implementan programas compen- satorios propios, </w:t>
            </w:r>
            <w:r>
              <w:rPr>
                <w:spacing w:val="-2"/>
                <w:sz w:val="18"/>
              </w:rPr>
              <w:t>sin </w:t>
            </w:r>
            <w:r>
              <w:rPr>
                <w:sz w:val="18"/>
              </w:rPr>
              <w:t>que ellos</w:t>
            </w:r>
            <w:r>
              <w:rPr>
                <w:spacing w:val="-26"/>
                <w:sz w:val="18"/>
              </w:rPr>
              <w:t> </w:t>
            </w:r>
            <w:r>
              <w:rPr>
                <w:sz w:val="18"/>
              </w:rPr>
              <w:t>representen </w:t>
            </w:r>
            <w:r>
              <w:rPr>
                <w:spacing w:val="-1"/>
                <w:sz w:val="18"/>
              </w:rPr>
              <w:t>adecuaciones</w:t>
            </w:r>
            <w:r>
              <w:rPr>
                <w:spacing w:val="-26"/>
                <w:sz w:val="18"/>
              </w:rPr>
              <w:t> </w:t>
            </w:r>
            <w:r>
              <w:rPr>
                <w:sz w:val="18"/>
              </w:rPr>
              <w:t>estraté- </w:t>
            </w:r>
            <w:r>
              <w:rPr>
                <w:spacing w:val="-2"/>
                <w:sz w:val="18"/>
              </w:rPr>
              <w:t>gicas.</w:t>
            </w:r>
          </w:p>
        </w:tc>
      </w:tr>
      <w:tr>
        <w:trPr>
          <w:trHeight w:val="2078" w:hRule="exact"/>
        </w:trPr>
        <w:tc>
          <w:tcPr>
            <w:tcW w:w="442" w:type="dxa"/>
            <w:shd w:val="clear" w:color="auto" w:fill="D1D3D4"/>
          </w:tcPr>
          <w:p>
            <w:pPr>
              <w:pStyle w:val="TableParagraph"/>
              <w:spacing w:before="7"/>
              <w:jc w:val="center"/>
              <w:rPr>
                <w:b/>
                <w:sz w:val="18"/>
              </w:rPr>
            </w:pPr>
            <w:r>
              <w:rPr>
                <w:b/>
                <w:sz w:val="18"/>
              </w:rPr>
              <w:t>1</w:t>
            </w:r>
          </w:p>
        </w:tc>
        <w:tc>
          <w:tcPr>
            <w:tcW w:w="1826" w:type="dxa"/>
            <w:shd w:val="clear" w:color="auto" w:fill="D1D3D4"/>
          </w:tcPr>
          <w:p>
            <w:pPr>
              <w:pStyle w:val="TableParagraph"/>
              <w:spacing w:line="266" w:lineRule="auto" w:before="10"/>
              <w:ind w:left="51" w:right="49"/>
              <w:jc w:val="both"/>
              <w:rPr>
                <w:sz w:val="18"/>
              </w:rPr>
            </w:pPr>
            <w:r>
              <w:rPr>
                <w:sz w:val="18"/>
              </w:rPr>
              <w:t>La coordinación secto- rial estatal se basa en la intervención de una de- pendencia</w:t>
            </w:r>
            <w:r>
              <w:rPr>
                <w:spacing w:val="-20"/>
                <w:sz w:val="18"/>
              </w:rPr>
              <w:t> </w:t>
            </w:r>
            <w:r>
              <w:rPr>
                <w:sz w:val="18"/>
              </w:rPr>
              <w:t>en</w:t>
            </w:r>
            <w:r>
              <w:rPr>
                <w:spacing w:val="-20"/>
                <w:sz w:val="18"/>
              </w:rPr>
              <w:t> </w:t>
            </w:r>
            <w:r>
              <w:rPr>
                <w:sz w:val="18"/>
              </w:rPr>
              <w:t>programas federales implementa- dos</w:t>
            </w:r>
            <w:r>
              <w:rPr>
                <w:spacing w:val="-13"/>
                <w:sz w:val="18"/>
              </w:rPr>
              <w:t> </w:t>
            </w:r>
            <w:r>
              <w:rPr>
                <w:sz w:val="18"/>
              </w:rPr>
              <w:t>por</w:t>
            </w:r>
            <w:r>
              <w:rPr>
                <w:spacing w:val="-13"/>
                <w:sz w:val="18"/>
              </w:rPr>
              <w:t> </w:t>
            </w:r>
            <w:r>
              <w:rPr>
                <w:sz w:val="18"/>
              </w:rPr>
              <w:t>otras</w:t>
            </w:r>
            <w:r>
              <w:rPr>
                <w:spacing w:val="-13"/>
                <w:sz w:val="18"/>
              </w:rPr>
              <w:t> </w:t>
            </w:r>
            <w:r>
              <w:rPr>
                <w:sz w:val="18"/>
              </w:rPr>
              <w:t>para</w:t>
            </w:r>
            <w:r>
              <w:rPr>
                <w:spacing w:val="-13"/>
                <w:sz w:val="18"/>
              </w:rPr>
              <w:t> </w:t>
            </w:r>
            <w:r>
              <w:rPr>
                <w:sz w:val="18"/>
              </w:rPr>
              <w:t>facili- tar</w:t>
            </w:r>
            <w:r>
              <w:rPr>
                <w:spacing w:val="-20"/>
                <w:sz w:val="18"/>
              </w:rPr>
              <w:t> </w:t>
            </w:r>
            <w:r>
              <w:rPr>
                <w:sz w:val="18"/>
              </w:rPr>
              <w:t>la</w:t>
            </w:r>
            <w:r>
              <w:rPr>
                <w:spacing w:val="-20"/>
                <w:sz w:val="18"/>
              </w:rPr>
              <w:t> </w:t>
            </w:r>
            <w:r>
              <w:rPr>
                <w:sz w:val="18"/>
              </w:rPr>
              <w:t>focalización.</w:t>
            </w:r>
          </w:p>
        </w:tc>
        <w:tc>
          <w:tcPr>
            <w:tcW w:w="1576" w:type="dxa"/>
            <w:shd w:val="clear" w:color="auto" w:fill="D1D3D4"/>
          </w:tcPr>
          <w:p>
            <w:pPr>
              <w:pStyle w:val="TableParagraph"/>
              <w:spacing w:line="266" w:lineRule="auto" w:before="10"/>
              <w:ind w:left="51" w:right="49"/>
              <w:jc w:val="both"/>
              <w:rPr>
                <w:sz w:val="18"/>
              </w:rPr>
            </w:pPr>
            <w:r>
              <w:rPr>
                <w:spacing w:val="-1"/>
                <w:sz w:val="18"/>
              </w:rPr>
              <w:t>Aplicación</w:t>
            </w:r>
            <w:r>
              <w:rPr>
                <w:spacing w:val="-22"/>
                <w:sz w:val="18"/>
              </w:rPr>
              <w:t> </w:t>
            </w:r>
            <w:r>
              <w:rPr>
                <w:sz w:val="18"/>
              </w:rPr>
              <w:t>preferen- te de los programas federales en </w:t>
            </w:r>
            <w:r>
              <w:rPr>
                <w:spacing w:val="-2"/>
                <w:sz w:val="18"/>
              </w:rPr>
              <w:t>cuatro </w:t>
            </w:r>
            <w:r>
              <w:rPr>
                <w:sz w:val="18"/>
              </w:rPr>
              <w:t>sectores estatales en el marco de una es- trategia redistributi- va</w:t>
            </w:r>
            <w:r>
              <w:rPr>
                <w:spacing w:val="-20"/>
                <w:sz w:val="18"/>
              </w:rPr>
              <w:t> </w:t>
            </w:r>
            <w:r>
              <w:rPr>
                <w:sz w:val="18"/>
              </w:rPr>
              <w:t>propia.</w:t>
            </w:r>
          </w:p>
        </w:tc>
        <w:tc>
          <w:tcPr>
            <w:tcW w:w="1633" w:type="dxa"/>
            <w:shd w:val="clear" w:color="auto" w:fill="D1D3D4"/>
          </w:tcPr>
          <w:p>
            <w:pPr>
              <w:pStyle w:val="TableParagraph"/>
              <w:spacing w:line="266" w:lineRule="auto" w:before="10"/>
              <w:ind w:left="51" w:right="49"/>
              <w:jc w:val="both"/>
              <w:rPr>
                <w:sz w:val="18"/>
              </w:rPr>
            </w:pPr>
            <w:r>
              <w:rPr>
                <w:sz w:val="18"/>
              </w:rPr>
              <w:t>Evaluación continua de la </w:t>
            </w:r>
            <w:r>
              <w:rPr>
                <w:spacing w:val="-2"/>
                <w:sz w:val="18"/>
              </w:rPr>
              <w:t>coordinación </w:t>
            </w:r>
            <w:r>
              <w:rPr>
                <w:sz w:val="18"/>
              </w:rPr>
              <w:t>basada</w:t>
            </w:r>
            <w:r>
              <w:rPr>
                <w:spacing w:val="-20"/>
                <w:sz w:val="18"/>
              </w:rPr>
              <w:t> </w:t>
            </w:r>
            <w:r>
              <w:rPr>
                <w:sz w:val="18"/>
              </w:rPr>
              <w:t>en</w:t>
            </w:r>
            <w:r>
              <w:rPr>
                <w:spacing w:val="-20"/>
                <w:sz w:val="18"/>
              </w:rPr>
              <w:t> </w:t>
            </w:r>
            <w:r>
              <w:rPr>
                <w:sz w:val="18"/>
              </w:rPr>
              <w:t>la</w:t>
            </w:r>
            <w:r>
              <w:rPr>
                <w:spacing w:val="-20"/>
                <w:sz w:val="18"/>
              </w:rPr>
              <w:t> </w:t>
            </w:r>
            <w:r>
              <w:rPr>
                <w:sz w:val="18"/>
              </w:rPr>
              <w:t>interven- ción de una depen- dencia en programas federales implemen- tados por otras para facilitar la focaliza- ción.</w:t>
            </w:r>
          </w:p>
        </w:tc>
        <w:tc>
          <w:tcPr>
            <w:tcW w:w="1610" w:type="dxa"/>
            <w:shd w:val="clear" w:color="auto" w:fill="D1D3D4"/>
          </w:tcPr>
          <w:p>
            <w:pPr>
              <w:pStyle w:val="TableParagraph"/>
              <w:spacing w:line="266" w:lineRule="auto" w:before="11"/>
              <w:ind w:left="51" w:right="49"/>
              <w:jc w:val="both"/>
              <w:rPr>
                <w:sz w:val="18"/>
              </w:rPr>
            </w:pPr>
            <w:r>
              <w:rPr>
                <w:sz w:val="18"/>
              </w:rPr>
              <w:t>Un sector estatal im- plementa programas compensatorios pro- pios.</w:t>
            </w:r>
          </w:p>
        </w:tc>
      </w:tr>
      <w:tr>
        <w:trPr>
          <w:trHeight w:val="928" w:hRule="exact"/>
        </w:trPr>
        <w:tc>
          <w:tcPr>
            <w:tcW w:w="442" w:type="dxa"/>
          </w:tcPr>
          <w:p>
            <w:pPr>
              <w:pStyle w:val="TableParagraph"/>
              <w:spacing w:before="8"/>
              <w:jc w:val="center"/>
              <w:rPr>
                <w:b/>
                <w:sz w:val="18"/>
              </w:rPr>
            </w:pPr>
            <w:r>
              <w:rPr>
                <w:b/>
                <w:sz w:val="18"/>
              </w:rPr>
              <w:t>0</w:t>
            </w:r>
          </w:p>
        </w:tc>
        <w:tc>
          <w:tcPr>
            <w:tcW w:w="1826" w:type="dxa"/>
          </w:tcPr>
          <w:p>
            <w:pPr>
              <w:pStyle w:val="TableParagraph"/>
              <w:spacing w:line="266" w:lineRule="auto" w:before="11"/>
              <w:ind w:left="51" w:right="49"/>
              <w:jc w:val="both"/>
              <w:rPr>
                <w:sz w:val="18"/>
              </w:rPr>
            </w:pPr>
            <w:r>
              <w:rPr>
                <w:sz w:val="18"/>
              </w:rPr>
              <w:t>Las acciones redistri- butivas estatales no son coordinadas.</w:t>
            </w:r>
          </w:p>
        </w:tc>
        <w:tc>
          <w:tcPr>
            <w:tcW w:w="1576" w:type="dxa"/>
          </w:tcPr>
          <w:p>
            <w:pPr>
              <w:pStyle w:val="TableParagraph"/>
              <w:spacing w:line="266" w:lineRule="auto" w:before="11"/>
              <w:ind w:left="51" w:right="49"/>
              <w:jc w:val="both"/>
              <w:rPr>
                <w:sz w:val="18"/>
              </w:rPr>
            </w:pPr>
            <w:r>
              <w:rPr>
                <w:sz w:val="18"/>
              </w:rPr>
              <w:t>Aplicación exclusi- va de los programas federales en los sec- tores estatales.</w:t>
            </w:r>
          </w:p>
        </w:tc>
        <w:tc>
          <w:tcPr>
            <w:tcW w:w="1633" w:type="dxa"/>
          </w:tcPr>
          <w:p>
            <w:pPr>
              <w:pStyle w:val="TableParagraph"/>
              <w:spacing w:line="266" w:lineRule="auto" w:before="11"/>
              <w:ind w:left="51" w:right="49"/>
              <w:jc w:val="both"/>
              <w:rPr>
                <w:sz w:val="18"/>
              </w:rPr>
            </w:pPr>
            <w:r>
              <w:rPr>
                <w:sz w:val="18"/>
              </w:rPr>
              <w:t>La evaluación no es factor para la</w:t>
            </w:r>
            <w:r>
              <w:rPr>
                <w:spacing w:val="-29"/>
                <w:sz w:val="18"/>
              </w:rPr>
              <w:t> </w:t>
            </w:r>
            <w:r>
              <w:rPr>
                <w:sz w:val="18"/>
              </w:rPr>
              <w:t>depura- </w:t>
            </w:r>
            <w:r>
              <w:rPr>
                <w:spacing w:val="-1"/>
                <w:sz w:val="18"/>
              </w:rPr>
              <w:t>ción</w:t>
            </w:r>
            <w:r>
              <w:rPr>
                <w:spacing w:val="-21"/>
                <w:sz w:val="18"/>
              </w:rPr>
              <w:t> </w:t>
            </w:r>
            <w:r>
              <w:rPr>
                <w:spacing w:val="-1"/>
                <w:sz w:val="18"/>
              </w:rPr>
              <w:t>redistributiva.</w:t>
            </w:r>
          </w:p>
        </w:tc>
        <w:tc>
          <w:tcPr>
            <w:tcW w:w="1610" w:type="dxa"/>
          </w:tcPr>
          <w:p>
            <w:pPr>
              <w:pStyle w:val="TableParagraph"/>
              <w:spacing w:line="266" w:lineRule="auto" w:before="11"/>
              <w:ind w:left="51" w:right="49"/>
              <w:jc w:val="both"/>
              <w:rPr>
                <w:sz w:val="18"/>
              </w:rPr>
            </w:pPr>
            <w:r>
              <w:rPr>
                <w:sz w:val="18"/>
              </w:rPr>
              <w:t>Ningún sector</w:t>
            </w:r>
            <w:r>
              <w:rPr>
                <w:spacing w:val="-26"/>
                <w:sz w:val="18"/>
              </w:rPr>
              <w:t> </w:t>
            </w:r>
            <w:r>
              <w:rPr>
                <w:sz w:val="18"/>
              </w:rPr>
              <w:t>estatal implementa progra- mas compensatorios propios.</w:t>
            </w:r>
          </w:p>
        </w:tc>
      </w:tr>
    </w:tbl>
    <w:p>
      <w:pPr>
        <w:pStyle w:val="BodyText"/>
        <w:spacing w:before="5"/>
        <w:rPr>
          <w:b/>
          <w:i/>
          <w:sz w:val="13"/>
        </w:rPr>
      </w:pPr>
    </w:p>
    <w:p>
      <w:pPr>
        <w:pStyle w:val="BodyText"/>
        <w:spacing w:line="260" w:lineRule="exact" w:before="77"/>
        <w:ind w:left="117" w:right="127"/>
        <w:jc w:val="both"/>
      </w:pPr>
      <w:r>
        <w:rPr/>
        <w:t>La escala de evaluación anterior fue la base de análisis del comportamiento subsidiario en una muestra de seis gobiernos estatales (Aguascalientes, Baja California, Guanajuato, Jalisco, Morelos y Querétaro)</w:t>
      </w:r>
      <w:r>
        <w:rPr>
          <w:position w:val="8"/>
          <w:sz w:val="13"/>
        </w:rPr>
        <w:t>152</w:t>
      </w:r>
      <w:r>
        <w:rPr/>
        <w:t>. Los resultados obtenidos en ese estudio se resumen de la siguiente forma:</w:t>
      </w:r>
    </w:p>
    <w:p>
      <w:pPr>
        <w:pStyle w:val="BodyText"/>
        <w:spacing w:before="7"/>
        <w:rPr>
          <w:sz w:val="22"/>
        </w:rPr>
      </w:pPr>
    </w:p>
    <w:p>
      <w:pPr>
        <w:pStyle w:val="ListParagraph"/>
        <w:numPr>
          <w:ilvl w:val="0"/>
          <w:numId w:val="9"/>
        </w:numPr>
        <w:tabs>
          <w:tab w:pos="685" w:val="left" w:leader="none"/>
        </w:tabs>
        <w:spacing w:line="260" w:lineRule="exact" w:before="0" w:after="0"/>
        <w:ind w:left="684" w:right="128" w:hanging="284"/>
        <w:jc w:val="both"/>
        <w:rPr>
          <w:sz w:val="23"/>
        </w:rPr>
      </w:pPr>
      <w:r>
        <w:rPr>
          <w:sz w:val="23"/>
        </w:rPr>
        <w:t>Enfuncióndela</w:t>
      </w:r>
      <w:r>
        <w:rPr>
          <w:i/>
          <w:sz w:val="23"/>
        </w:rPr>
        <w:t>capacidadintergubernamentaldeasociaciónestratégica. </w:t>
      </w:r>
      <w:r>
        <w:rPr>
          <w:sz w:val="23"/>
        </w:rPr>
        <w:t>Se deberá reforzar preferentemente la estrategia redistributiva de los estados,</w:t>
      </w:r>
      <w:r>
        <w:rPr>
          <w:spacing w:val="-15"/>
          <w:sz w:val="23"/>
        </w:rPr>
        <w:t> </w:t>
      </w:r>
      <w:r>
        <w:rPr>
          <w:sz w:val="23"/>
        </w:rPr>
        <w:t>puesto</w:t>
      </w:r>
      <w:r>
        <w:rPr>
          <w:spacing w:val="-14"/>
          <w:sz w:val="23"/>
        </w:rPr>
        <w:t> </w:t>
      </w:r>
      <w:r>
        <w:rPr>
          <w:sz w:val="23"/>
        </w:rPr>
        <w:t>que</w:t>
      </w:r>
      <w:r>
        <w:rPr>
          <w:spacing w:val="-14"/>
          <w:sz w:val="23"/>
        </w:rPr>
        <w:t> </w:t>
      </w:r>
      <w:r>
        <w:rPr>
          <w:sz w:val="23"/>
        </w:rPr>
        <w:t>son</w:t>
      </w:r>
      <w:r>
        <w:rPr>
          <w:spacing w:val="-14"/>
          <w:sz w:val="23"/>
        </w:rPr>
        <w:t> </w:t>
      </w:r>
      <w:r>
        <w:rPr>
          <w:sz w:val="23"/>
        </w:rPr>
        <w:t>ellos</w:t>
      </w:r>
      <w:r>
        <w:rPr>
          <w:spacing w:val="-15"/>
          <w:sz w:val="23"/>
        </w:rPr>
        <w:t> </w:t>
      </w:r>
      <w:r>
        <w:rPr>
          <w:sz w:val="23"/>
        </w:rPr>
        <w:t>la</w:t>
      </w:r>
      <w:r>
        <w:rPr>
          <w:spacing w:val="-14"/>
          <w:sz w:val="23"/>
        </w:rPr>
        <w:t> </w:t>
      </w:r>
      <w:r>
        <w:rPr>
          <w:sz w:val="23"/>
        </w:rPr>
        <w:t>sociedad</w:t>
      </w:r>
      <w:r>
        <w:rPr>
          <w:spacing w:val="-14"/>
          <w:sz w:val="23"/>
        </w:rPr>
        <w:t> </w:t>
      </w:r>
      <w:r>
        <w:rPr>
          <w:sz w:val="23"/>
        </w:rPr>
        <w:t>benefactora</w:t>
      </w:r>
      <w:r>
        <w:rPr>
          <w:spacing w:val="-14"/>
          <w:sz w:val="23"/>
        </w:rPr>
        <w:t> </w:t>
      </w:r>
      <w:r>
        <w:rPr>
          <w:sz w:val="23"/>
        </w:rPr>
        <w:t>intermedia</w:t>
      </w:r>
      <w:r>
        <w:rPr>
          <w:spacing w:val="-15"/>
          <w:sz w:val="23"/>
        </w:rPr>
        <w:t> </w:t>
      </w:r>
      <w:r>
        <w:rPr>
          <w:sz w:val="23"/>
        </w:rPr>
        <w:t>entre</w:t>
      </w:r>
      <w:r>
        <w:rPr>
          <w:spacing w:val="-15"/>
          <w:sz w:val="23"/>
        </w:rPr>
        <w:t> </w:t>
      </w:r>
      <w:r>
        <w:rPr>
          <w:sz w:val="23"/>
        </w:rPr>
        <w:t>el individuo</w:t>
      </w:r>
      <w:r>
        <w:rPr>
          <w:spacing w:val="-11"/>
          <w:sz w:val="23"/>
        </w:rPr>
        <w:t> </w:t>
      </w:r>
      <w:r>
        <w:rPr>
          <w:sz w:val="23"/>
        </w:rPr>
        <w:t>y</w:t>
      </w:r>
      <w:r>
        <w:rPr>
          <w:spacing w:val="-10"/>
          <w:sz w:val="23"/>
        </w:rPr>
        <w:t> </w:t>
      </w:r>
      <w:r>
        <w:rPr>
          <w:sz w:val="23"/>
        </w:rPr>
        <w:t>la</w:t>
      </w:r>
      <w:r>
        <w:rPr>
          <w:spacing w:val="-10"/>
          <w:sz w:val="23"/>
        </w:rPr>
        <w:t> </w:t>
      </w:r>
      <w:r>
        <w:rPr>
          <w:sz w:val="23"/>
        </w:rPr>
        <w:t>instancia</w:t>
      </w:r>
      <w:r>
        <w:rPr>
          <w:spacing w:val="-11"/>
          <w:sz w:val="23"/>
        </w:rPr>
        <w:t> </w:t>
      </w:r>
      <w:r>
        <w:rPr>
          <w:spacing w:val="-3"/>
          <w:sz w:val="23"/>
        </w:rPr>
        <w:t>superior.</w:t>
      </w:r>
      <w:r>
        <w:rPr>
          <w:spacing w:val="-10"/>
          <w:sz w:val="23"/>
        </w:rPr>
        <w:t> </w:t>
      </w:r>
      <w:r>
        <w:rPr>
          <w:sz w:val="23"/>
        </w:rPr>
        <w:t>Sin</w:t>
      </w:r>
      <w:r>
        <w:rPr>
          <w:spacing w:val="-10"/>
          <w:sz w:val="23"/>
        </w:rPr>
        <w:t> </w:t>
      </w:r>
      <w:r>
        <w:rPr>
          <w:sz w:val="23"/>
        </w:rPr>
        <w:t>embargo,</w:t>
      </w:r>
      <w:r>
        <w:rPr>
          <w:spacing w:val="-10"/>
          <w:sz w:val="23"/>
        </w:rPr>
        <w:t> </w:t>
      </w:r>
      <w:r>
        <w:rPr>
          <w:sz w:val="23"/>
        </w:rPr>
        <w:t>en</w:t>
      </w:r>
      <w:r>
        <w:rPr>
          <w:spacing w:val="-10"/>
          <w:sz w:val="23"/>
        </w:rPr>
        <w:t> </w:t>
      </w:r>
      <w:r>
        <w:rPr>
          <w:sz w:val="23"/>
        </w:rPr>
        <w:t>la</w:t>
      </w:r>
      <w:r>
        <w:rPr>
          <w:spacing w:val="-10"/>
          <w:sz w:val="23"/>
        </w:rPr>
        <w:t> </w:t>
      </w:r>
      <w:r>
        <w:rPr>
          <w:sz w:val="23"/>
        </w:rPr>
        <w:t>práctica,</w:t>
      </w:r>
      <w:r>
        <w:rPr>
          <w:spacing w:val="-10"/>
          <w:sz w:val="23"/>
        </w:rPr>
        <w:t> </w:t>
      </w:r>
      <w:r>
        <w:rPr>
          <w:sz w:val="23"/>
        </w:rPr>
        <w:t>los</w:t>
      </w:r>
      <w:r>
        <w:rPr>
          <w:spacing w:val="-10"/>
          <w:sz w:val="23"/>
        </w:rPr>
        <w:t> </w:t>
      </w:r>
      <w:r>
        <w:rPr>
          <w:sz w:val="23"/>
        </w:rPr>
        <w:t>grados de</w:t>
      </w:r>
      <w:r>
        <w:rPr>
          <w:spacing w:val="-6"/>
          <w:sz w:val="23"/>
        </w:rPr>
        <w:t> </w:t>
      </w:r>
      <w:r>
        <w:rPr>
          <w:sz w:val="23"/>
        </w:rPr>
        <w:t>asociación</w:t>
      </w:r>
      <w:r>
        <w:rPr>
          <w:spacing w:val="-7"/>
          <w:sz w:val="23"/>
        </w:rPr>
        <w:t> </w:t>
      </w:r>
      <w:r>
        <w:rPr>
          <w:sz w:val="23"/>
        </w:rPr>
        <w:t>estratégica</w:t>
      </w:r>
      <w:r>
        <w:rPr>
          <w:spacing w:val="-7"/>
          <w:sz w:val="23"/>
        </w:rPr>
        <w:t> </w:t>
      </w:r>
      <w:r>
        <w:rPr>
          <w:sz w:val="23"/>
        </w:rPr>
        <w:t>estatal</w:t>
      </w:r>
      <w:r>
        <w:rPr>
          <w:spacing w:val="-7"/>
          <w:sz w:val="23"/>
        </w:rPr>
        <w:t> </w:t>
      </w:r>
      <w:r>
        <w:rPr>
          <w:sz w:val="23"/>
        </w:rPr>
        <w:t>no</w:t>
      </w:r>
      <w:r>
        <w:rPr>
          <w:spacing w:val="-6"/>
          <w:sz w:val="23"/>
        </w:rPr>
        <w:t> </w:t>
      </w:r>
      <w:r>
        <w:rPr>
          <w:sz w:val="23"/>
        </w:rPr>
        <w:t>se</w:t>
      </w:r>
      <w:r>
        <w:rPr>
          <w:spacing w:val="-6"/>
          <w:sz w:val="23"/>
        </w:rPr>
        <w:t> </w:t>
      </w:r>
      <w:r>
        <w:rPr>
          <w:sz w:val="23"/>
        </w:rPr>
        <w:t>ajustan</w:t>
      </w:r>
      <w:r>
        <w:rPr>
          <w:spacing w:val="-7"/>
          <w:sz w:val="23"/>
        </w:rPr>
        <w:t> </w:t>
      </w:r>
      <w:r>
        <w:rPr>
          <w:sz w:val="23"/>
        </w:rPr>
        <w:t>por</w:t>
      </w:r>
      <w:r>
        <w:rPr>
          <w:spacing w:val="-6"/>
          <w:sz w:val="23"/>
        </w:rPr>
        <w:t> </w:t>
      </w:r>
      <w:r>
        <w:rPr>
          <w:sz w:val="23"/>
        </w:rPr>
        <w:t>completo</w:t>
      </w:r>
      <w:r>
        <w:rPr>
          <w:spacing w:val="-6"/>
          <w:sz w:val="23"/>
        </w:rPr>
        <w:t> </w:t>
      </w:r>
      <w:r>
        <w:rPr>
          <w:sz w:val="23"/>
        </w:rPr>
        <w:t>a</w:t>
      </w:r>
      <w:r>
        <w:rPr>
          <w:spacing w:val="-6"/>
          <w:sz w:val="23"/>
        </w:rPr>
        <w:t> </w:t>
      </w:r>
      <w:r>
        <w:rPr>
          <w:sz w:val="23"/>
        </w:rPr>
        <w:t>la</w:t>
      </w:r>
      <w:r>
        <w:rPr>
          <w:spacing w:val="-6"/>
          <w:sz w:val="23"/>
        </w:rPr>
        <w:t> </w:t>
      </w:r>
      <w:r>
        <w:rPr>
          <w:sz w:val="23"/>
        </w:rPr>
        <w:t>esencia</w:t>
      </w:r>
    </w:p>
    <w:p>
      <w:pPr>
        <w:pStyle w:val="BodyText"/>
        <w:spacing w:before="5"/>
        <w:rPr>
          <w:sz w:val="13"/>
        </w:rPr>
      </w:pPr>
      <w:r>
        <w:rPr/>
        <w:pict>
          <v:line style="position:absolute;mso-position-horizontal-relative:page;mso-position-vertical-relative:paragraph;z-index:2872;mso-wrap-distance-left:0;mso-wrap-distance-right:0" from="70.866096pt,10.221701pt" to="142.866096pt,10.221701pt" stroked="true" strokeweight="1pt" strokecolor="#000000">
            <w10:wrap type="topAndBottom"/>
          </v:line>
        </w:pict>
      </w:r>
    </w:p>
    <w:p>
      <w:pPr>
        <w:spacing w:line="249" w:lineRule="auto" w:before="28"/>
        <w:ind w:left="400" w:right="153" w:hanging="284"/>
        <w:jc w:val="left"/>
        <w:rPr>
          <w:sz w:val="18"/>
        </w:rPr>
      </w:pPr>
      <w:r>
        <w:rPr>
          <w:position w:val="7"/>
          <w:sz w:val="11"/>
        </w:rPr>
        <w:t>152 </w:t>
      </w:r>
      <w:r>
        <w:rPr>
          <w:sz w:val="18"/>
        </w:rPr>
        <w:t>Los resultados de la investigación anterior pueden consultarse en: Mendoza Ruiz, Joel; </w:t>
      </w:r>
      <w:r>
        <w:rPr>
          <w:i/>
          <w:sz w:val="18"/>
        </w:rPr>
        <w:t>Op. </w:t>
      </w:r>
      <w:r>
        <w:rPr>
          <w:i/>
          <w:sz w:val="18"/>
        </w:rPr>
        <w:t>Cit.</w:t>
      </w:r>
      <w:r>
        <w:rPr>
          <w:sz w:val="18"/>
        </w:rPr>
        <w:t>, pp. 163-164.</w:t>
      </w:r>
    </w:p>
    <w:p>
      <w:pPr>
        <w:spacing w:after="0" w:line="249" w:lineRule="auto"/>
        <w:jc w:val="left"/>
        <w:rPr>
          <w:sz w:val="18"/>
        </w:rPr>
        <w:sectPr>
          <w:footerReference w:type="default" r:id="rId200"/>
          <w:footerReference w:type="even" r:id="rId201"/>
          <w:pgSz w:w="9360" w:h="13040"/>
          <w:pgMar w:footer="515" w:header="531" w:top="940" w:bottom="700" w:left="1300" w:right="720"/>
          <w:pgNumType w:start="121"/>
        </w:sectPr>
      </w:pPr>
    </w:p>
    <w:p>
      <w:pPr>
        <w:pStyle w:val="BodyText"/>
        <w:rPr>
          <w:sz w:val="20"/>
        </w:rPr>
      </w:pPr>
    </w:p>
    <w:p>
      <w:pPr>
        <w:pStyle w:val="BodyText"/>
        <w:spacing w:before="1"/>
        <w:rPr>
          <w:sz w:val="29"/>
        </w:rPr>
      </w:pPr>
    </w:p>
    <w:p>
      <w:pPr>
        <w:pStyle w:val="BodyText"/>
        <w:spacing w:line="256" w:lineRule="exact" w:before="80"/>
        <w:ind w:left="677" w:right="114"/>
        <w:jc w:val="both"/>
      </w:pPr>
      <w:r>
        <w:rPr/>
        <w:t>subsidiaria, pues la coordinación sectorial no se logra en cuatro casos de</w:t>
      </w:r>
      <w:r>
        <w:rPr>
          <w:spacing w:val="-5"/>
        </w:rPr>
        <w:t> </w:t>
      </w:r>
      <w:r>
        <w:rPr/>
        <w:t>la</w:t>
      </w:r>
      <w:r>
        <w:rPr>
          <w:spacing w:val="-5"/>
        </w:rPr>
        <w:t> </w:t>
      </w:r>
      <w:r>
        <w:rPr/>
        <w:t>muestra</w:t>
      </w:r>
      <w:r>
        <w:rPr>
          <w:spacing w:val="-5"/>
        </w:rPr>
        <w:t> </w:t>
      </w:r>
      <w:r>
        <w:rPr/>
        <w:t>y</w:t>
      </w:r>
      <w:r>
        <w:rPr>
          <w:spacing w:val="-5"/>
        </w:rPr>
        <w:t> </w:t>
      </w:r>
      <w:r>
        <w:rPr/>
        <w:t>en</w:t>
      </w:r>
      <w:r>
        <w:rPr>
          <w:spacing w:val="-5"/>
        </w:rPr>
        <w:t> </w:t>
      </w:r>
      <w:r>
        <w:rPr/>
        <w:t>los</w:t>
      </w:r>
      <w:r>
        <w:rPr>
          <w:spacing w:val="-5"/>
        </w:rPr>
        <w:t> </w:t>
      </w:r>
      <w:r>
        <w:rPr/>
        <w:t>dos</w:t>
      </w:r>
      <w:r>
        <w:rPr>
          <w:spacing w:val="-5"/>
        </w:rPr>
        <w:t> </w:t>
      </w:r>
      <w:r>
        <w:rPr/>
        <w:t>restantes</w:t>
      </w:r>
      <w:r>
        <w:rPr>
          <w:spacing w:val="-5"/>
        </w:rPr>
        <w:t> </w:t>
      </w:r>
      <w:r>
        <w:rPr/>
        <w:t>arroja</w:t>
      </w:r>
      <w:r>
        <w:rPr>
          <w:spacing w:val="-5"/>
        </w:rPr>
        <w:t> </w:t>
      </w:r>
      <w:r>
        <w:rPr/>
        <w:t>resultados</w:t>
      </w:r>
      <w:r>
        <w:rPr>
          <w:spacing w:val="-5"/>
        </w:rPr>
        <w:t> </w:t>
      </w:r>
      <w:r>
        <w:rPr/>
        <w:t>aún</w:t>
      </w:r>
      <w:r>
        <w:rPr>
          <w:spacing w:val="-5"/>
        </w:rPr>
        <w:t> </w:t>
      </w:r>
      <w:r>
        <w:rPr/>
        <w:t>cuestionables. Para los casos que si presentan una asociación estratégica estatal, la situación menos favorable se da en el Estado de Guanajuato, en donde existe un gabinete social cuya política central es el aprovechamiento de un programa federal como eje, adicionando acciones estatales en base a un asistencialismo focalizado. En el mejor contexto estatal, el Estado de Jalisco cuenta con una Comisión para el Desarrollo Social, cuya </w:t>
      </w:r>
      <w:r>
        <w:rPr>
          <w:i/>
        </w:rPr>
        <w:t>estrategia integral de política social </w:t>
      </w:r>
      <w:r>
        <w:rPr>
          <w:i/>
          <w:spacing w:val="-3"/>
        </w:rPr>
        <w:t>“Vive” </w:t>
      </w:r>
      <w:r>
        <w:rPr/>
        <w:t>obedece a un</w:t>
      </w:r>
      <w:r>
        <w:rPr>
          <w:spacing w:val="-37"/>
        </w:rPr>
        <w:t> </w:t>
      </w:r>
      <w:r>
        <w:rPr/>
        <w:t>modelo ideal</w:t>
      </w:r>
      <w:r>
        <w:rPr>
          <w:spacing w:val="-7"/>
        </w:rPr>
        <w:t> </w:t>
      </w:r>
      <w:r>
        <w:rPr/>
        <w:t>con</w:t>
      </w:r>
      <w:r>
        <w:rPr>
          <w:spacing w:val="-7"/>
        </w:rPr>
        <w:t> </w:t>
      </w:r>
      <w:r>
        <w:rPr/>
        <w:t>deficiencias</w:t>
      </w:r>
      <w:r>
        <w:rPr>
          <w:spacing w:val="-7"/>
        </w:rPr>
        <w:t> </w:t>
      </w:r>
      <w:r>
        <w:rPr/>
        <w:t>de</w:t>
      </w:r>
      <w:r>
        <w:rPr>
          <w:spacing w:val="-7"/>
        </w:rPr>
        <w:t> </w:t>
      </w:r>
      <w:r>
        <w:rPr/>
        <w:t>coordinación</w:t>
      </w:r>
      <w:r>
        <w:rPr>
          <w:spacing w:val="-7"/>
        </w:rPr>
        <w:t> </w:t>
      </w:r>
      <w:r>
        <w:rPr/>
        <w:t>sectorial,</w:t>
      </w:r>
      <w:r>
        <w:rPr>
          <w:spacing w:val="-7"/>
        </w:rPr>
        <w:t> </w:t>
      </w:r>
      <w:r>
        <w:rPr/>
        <w:t>y</w:t>
      </w:r>
      <w:r>
        <w:rPr>
          <w:spacing w:val="-7"/>
        </w:rPr>
        <w:t> </w:t>
      </w:r>
      <w:r>
        <w:rPr/>
        <w:t>en</w:t>
      </w:r>
      <w:r>
        <w:rPr>
          <w:spacing w:val="-7"/>
        </w:rPr>
        <w:t> </w:t>
      </w:r>
      <w:r>
        <w:rPr/>
        <w:t>el</w:t>
      </w:r>
      <w:r>
        <w:rPr>
          <w:spacing w:val="-7"/>
        </w:rPr>
        <w:t> </w:t>
      </w:r>
      <w:r>
        <w:rPr/>
        <w:t>cual</w:t>
      </w:r>
      <w:r>
        <w:rPr>
          <w:spacing w:val="-7"/>
        </w:rPr>
        <w:t> </w:t>
      </w:r>
      <w:r>
        <w:rPr/>
        <w:t>no</w:t>
      </w:r>
      <w:r>
        <w:rPr>
          <w:spacing w:val="-7"/>
        </w:rPr>
        <w:t> </w:t>
      </w:r>
      <w:r>
        <w:rPr/>
        <w:t>se</w:t>
      </w:r>
      <w:r>
        <w:rPr>
          <w:spacing w:val="-7"/>
        </w:rPr>
        <w:t> </w:t>
      </w:r>
      <w:r>
        <w:rPr/>
        <w:t>logra todavía el equilibrio entre acciones de capacidades, oportunidades de ingreso, patrimonio y</w:t>
      </w:r>
      <w:r>
        <w:rPr>
          <w:spacing w:val="-1"/>
        </w:rPr>
        <w:t> </w:t>
      </w:r>
      <w:r>
        <w:rPr/>
        <w:t>asistencia.</w:t>
      </w:r>
    </w:p>
    <w:p>
      <w:pPr>
        <w:pStyle w:val="BodyText"/>
        <w:spacing w:before="3"/>
        <w:rPr>
          <w:sz w:val="22"/>
        </w:rPr>
      </w:pPr>
    </w:p>
    <w:p>
      <w:pPr>
        <w:pStyle w:val="ListParagraph"/>
        <w:numPr>
          <w:ilvl w:val="0"/>
          <w:numId w:val="9"/>
        </w:numPr>
        <w:tabs>
          <w:tab w:pos="678" w:val="left" w:leader="none"/>
        </w:tabs>
        <w:spacing w:line="256" w:lineRule="exact" w:before="0" w:after="0"/>
        <w:ind w:left="677" w:right="114" w:hanging="284"/>
        <w:jc w:val="both"/>
        <w:rPr>
          <w:sz w:val="23"/>
        </w:rPr>
      </w:pPr>
      <w:r>
        <w:rPr>
          <w:sz w:val="23"/>
        </w:rPr>
        <w:t>Sobre la </w:t>
      </w:r>
      <w:r>
        <w:rPr>
          <w:i/>
          <w:sz w:val="23"/>
        </w:rPr>
        <w:t>restricción competencial de las formaciones sociales más </w:t>
      </w:r>
      <w:r>
        <w:rPr>
          <w:i/>
          <w:sz w:val="23"/>
        </w:rPr>
        <w:t>complejas</w:t>
      </w:r>
      <w:r>
        <w:rPr>
          <w:sz w:val="23"/>
        </w:rPr>
        <w:t>. Se deberá evitar que la instancia superior (la federal)</w:t>
      </w:r>
      <w:r>
        <w:rPr>
          <w:spacing w:val="-40"/>
          <w:sz w:val="23"/>
        </w:rPr>
        <w:t> </w:t>
      </w:r>
      <w:r>
        <w:rPr>
          <w:sz w:val="23"/>
        </w:rPr>
        <w:t>asuma directamente el diseño e implementación de políticas redistributivas. En  contraste, la característica general  es  un  centralismo  normativo  y financiero que proyecta la desconcentración del gasto: </w:t>
      </w:r>
      <w:r>
        <w:rPr>
          <w:i/>
          <w:sz w:val="23"/>
        </w:rPr>
        <w:t>estrategia </w:t>
      </w:r>
      <w:r>
        <w:rPr>
          <w:i/>
          <w:sz w:val="23"/>
        </w:rPr>
        <w:t>coordinada e implementación descentralizada</w:t>
      </w:r>
      <w:r>
        <w:rPr>
          <w:sz w:val="23"/>
        </w:rPr>
        <w:t>. La Ley General de Salud</w:t>
      </w:r>
      <w:r>
        <w:rPr>
          <w:spacing w:val="-20"/>
          <w:sz w:val="23"/>
        </w:rPr>
        <w:t> </w:t>
      </w:r>
      <w:r>
        <w:rPr>
          <w:sz w:val="23"/>
        </w:rPr>
        <w:t>determina</w:t>
      </w:r>
      <w:r>
        <w:rPr>
          <w:spacing w:val="-20"/>
          <w:sz w:val="23"/>
        </w:rPr>
        <w:t> </w:t>
      </w:r>
      <w:r>
        <w:rPr>
          <w:sz w:val="23"/>
        </w:rPr>
        <w:t>una</w:t>
      </w:r>
      <w:r>
        <w:rPr>
          <w:spacing w:val="-20"/>
          <w:sz w:val="23"/>
        </w:rPr>
        <w:t> </w:t>
      </w:r>
      <w:r>
        <w:rPr>
          <w:sz w:val="23"/>
        </w:rPr>
        <w:t>rectoría</w:t>
      </w:r>
      <w:r>
        <w:rPr>
          <w:spacing w:val="-20"/>
          <w:sz w:val="23"/>
        </w:rPr>
        <w:t> </w:t>
      </w:r>
      <w:r>
        <w:rPr>
          <w:sz w:val="23"/>
        </w:rPr>
        <w:t>de</w:t>
      </w:r>
      <w:r>
        <w:rPr>
          <w:spacing w:val="-20"/>
          <w:sz w:val="23"/>
        </w:rPr>
        <w:t> </w:t>
      </w:r>
      <w:r>
        <w:rPr>
          <w:sz w:val="23"/>
        </w:rPr>
        <w:t>gobierno</w:t>
      </w:r>
      <w:r>
        <w:rPr>
          <w:spacing w:val="-20"/>
          <w:sz w:val="23"/>
        </w:rPr>
        <w:t> </w:t>
      </w:r>
      <w:r>
        <w:rPr>
          <w:sz w:val="23"/>
        </w:rPr>
        <w:t>federal</w:t>
      </w:r>
      <w:r>
        <w:rPr>
          <w:spacing w:val="-20"/>
          <w:sz w:val="23"/>
        </w:rPr>
        <w:t> </w:t>
      </w:r>
      <w:r>
        <w:rPr>
          <w:sz w:val="23"/>
        </w:rPr>
        <w:t>basada</w:t>
      </w:r>
      <w:r>
        <w:rPr>
          <w:spacing w:val="-20"/>
          <w:sz w:val="23"/>
        </w:rPr>
        <w:t> </w:t>
      </w:r>
      <w:r>
        <w:rPr>
          <w:sz w:val="23"/>
        </w:rPr>
        <w:t>en</w:t>
      </w:r>
      <w:r>
        <w:rPr>
          <w:spacing w:val="-20"/>
          <w:sz w:val="23"/>
        </w:rPr>
        <w:t> </w:t>
      </w:r>
      <w:r>
        <w:rPr>
          <w:sz w:val="23"/>
        </w:rPr>
        <w:t>la</w:t>
      </w:r>
      <w:r>
        <w:rPr>
          <w:spacing w:val="-20"/>
          <w:sz w:val="23"/>
        </w:rPr>
        <w:t> </w:t>
      </w:r>
      <w:r>
        <w:rPr>
          <w:sz w:val="23"/>
        </w:rPr>
        <w:t>regulación sectorial y en el financiamiento estratégico, y una ejecución directa de once</w:t>
      </w:r>
      <w:r>
        <w:rPr>
          <w:spacing w:val="-10"/>
          <w:sz w:val="23"/>
        </w:rPr>
        <w:t> </w:t>
      </w:r>
      <w:r>
        <w:rPr>
          <w:sz w:val="23"/>
        </w:rPr>
        <w:t>especialidades</w:t>
      </w:r>
      <w:r>
        <w:rPr>
          <w:spacing w:val="-11"/>
          <w:sz w:val="23"/>
        </w:rPr>
        <w:t> </w:t>
      </w:r>
      <w:r>
        <w:rPr>
          <w:sz w:val="23"/>
        </w:rPr>
        <w:t>de</w:t>
      </w:r>
      <w:r>
        <w:rPr>
          <w:spacing w:val="-10"/>
          <w:sz w:val="23"/>
        </w:rPr>
        <w:t> </w:t>
      </w:r>
      <w:r>
        <w:rPr>
          <w:sz w:val="23"/>
        </w:rPr>
        <w:t>salud</w:t>
      </w:r>
      <w:r>
        <w:rPr>
          <w:spacing w:val="-9"/>
          <w:sz w:val="23"/>
        </w:rPr>
        <w:t> </w:t>
      </w:r>
      <w:r>
        <w:rPr>
          <w:sz w:val="23"/>
        </w:rPr>
        <w:t>a</w:t>
      </w:r>
      <w:r>
        <w:rPr>
          <w:spacing w:val="-10"/>
          <w:sz w:val="23"/>
        </w:rPr>
        <w:t> </w:t>
      </w:r>
      <w:r>
        <w:rPr>
          <w:sz w:val="23"/>
        </w:rPr>
        <w:t>cargo</w:t>
      </w:r>
      <w:r>
        <w:rPr>
          <w:spacing w:val="-10"/>
          <w:sz w:val="23"/>
        </w:rPr>
        <w:t> </w:t>
      </w:r>
      <w:r>
        <w:rPr>
          <w:sz w:val="23"/>
        </w:rPr>
        <w:t>de</w:t>
      </w:r>
      <w:r>
        <w:rPr>
          <w:spacing w:val="-10"/>
          <w:sz w:val="23"/>
        </w:rPr>
        <w:t> </w:t>
      </w:r>
      <w:r>
        <w:rPr>
          <w:sz w:val="23"/>
        </w:rPr>
        <w:t>los</w:t>
      </w:r>
      <w:r>
        <w:rPr>
          <w:spacing w:val="-10"/>
          <w:sz w:val="23"/>
        </w:rPr>
        <w:t> </w:t>
      </w:r>
      <w:r>
        <w:rPr>
          <w:sz w:val="23"/>
        </w:rPr>
        <w:t>estados.</w:t>
      </w:r>
      <w:r>
        <w:rPr>
          <w:spacing w:val="-10"/>
          <w:sz w:val="23"/>
        </w:rPr>
        <w:t> </w:t>
      </w:r>
      <w:r>
        <w:rPr>
          <w:sz w:val="23"/>
        </w:rPr>
        <w:t>La</w:t>
      </w:r>
      <w:r>
        <w:rPr>
          <w:spacing w:val="-10"/>
          <w:sz w:val="23"/>
        </w:rPr>
        <w:t> </w:t>
      </w:r>
      <w:r>
        <w:rPr>
          <w:sz w:val="23"/>
        </w:rPr>
        <w:t>ley</w:t>
      </w:r>
      <w:r>
        <w:rPr>
          <w:spacing w:val="-10"/>
          <w:sz w:val="23"/>
        </w:rPr>
        <w:t> </w:t>
      </w:r>
      <w:r>
        <w:rPr>
          <w:sz w:val="23"/>
        </w:rPr>
        <w:t>de</w:t>
      </w:r>
      <w:r>
        <w:rPr>
          <w:spacing w:val="-10"/>
          <w:sz w:val="23"/>
        </w:rPr>
        <w:t> </w:t>
      </w:r>
      <w:r>
        <w:rPr>
          <w:sz w:val="23"/>
        </w:rPr>
        <w:t>asistencia social</w:t>
      </w:r>
      <w:r>
        <w:rPr>
          <w:spacing w:val="-8"/>
          <w:sz w:val="23"/>
        </w:rPr>
        <w:t> </w:t>
      </w:r>
      <w:r>
        <w:rPr>
          <w:sz w:val="23"/>
        </w:rPr>
        <w:t>impulsa</w:t>
      </w:r>
      <w:r>
        <w:rPr>
          <w:spacing w:val="-8"/>
          <w:sz w:val="23"/>
        </w:rPr>
        <w:t> </w:t>
      </w:r>
      <w:r>
        <w:rPr>
          <w:sz w:val="23"/>
        </w:rPr>
        <w:t>una</w:t>
      </w:r>
      <w:r>
        <w:rPr>
          <w:spacing w:val="-8"/>
          <w:sz w:val="23"/>
        </w:rPr>
        <w:t> </w:t>
      </w:r>
      <w:r>
        <w:rPr>
          <w:sz w:val="23"/>
        </w:rPr>
        <w:t>concurrencia</w:t>
      </w:r>
      <w:r>
        <w:rPr>
          <w:spacing w:val="-8"/>
          <w:sz w:val="23"/>
        </w:rPr>
        <w:t> </w:t>
      </w:r>
      <w:r>
        <w:rPr>
          <w:sz w:val="23"/>
        </w:rPr>
        <w:t>a</w:t>
      </w:r>
      <w:r>
        <w:rPr>
          <w:spacing w:val="-8"/>
          <w:sz w:val="23"/>
        </w:rPr>
        <w:t> </w:t>
      </w:r>
      <w:r>
        <w:rPr>
          <w:sz w:val="23"/>
        </w:rPr>
        <w:t>nivel</w:t>
      </w:r>
      <w:r>
        <w:rPr>
          <w:spacing w:val="-8"/>
          <w:sz w:val="23"/>
        </w:rPr>
        <w:t> </w:t>
      </w:r>
      <w:r>
        <w:rPr>
          <w:sz w:val="23"/>
        </w:rPr>
        <w:t>federal</w:t>
      </w:r>
      <w:r>
        <w:rPr>
          <w:spacing w:val="-8"/>
          <w:sz w:val="23"/>
        </w:rPr>
        <w:t> </w:t>
      </w:r>
      <w:r>
        <w:rPr>
          <w:sz w:val="23"/>
        </w:rPr>
        <w:t>para</w:t>
      </w:r>
      <w:r>
        <w:rPr>
          <w:spacing w:val="-8"/>
          <w:sz w:val="23"/>
        </w:rPr>
        <w:t> </w:t>
      </w:r>
      <w:r>
        <w:rPr>
          <w:sz w:val="23"/>
        </w:rPr>
        <w:t>definir</w:t>
      </w:r>
      <w:r>
        <w:rPr>
          <w:spacing w:val="-8"/>
          <w:sz w:val="23"/>
        </w:rPr>
        <w:t> </w:t>
      </w:r>
      <w:r>
        <w:rPr>
          <w:sz w:val="23"/>
        </w:rPr>
        <w:t>una</w:t>
      </w:r>
      <w:r>
        <w:rPr>
          <w:spacing w:val="-8"/>
          <w:sz w:val="23"/>
        </w:rPr>
        <w:t> </w:t>
      </w:r>
      <w:r>
        <w:rPr>
          <w:sz w:val="23"/>
        </w:rPr>
        <w:t>política nacional y para coordinar los programas federales y las entidades asistenciales. La Ley General de Educación faculta al ejecutivo federal para operar programas compensatorios, y define seis tipos de acciones paralelas para buscar la equidad. La proyección futura se resume en alcanzar una concurrencia</w:t>
      </w:r>
      <w:r>
        <w:rPr>
          <w:spacing w:val="-12"/>
          <w:sz w:val="23"/>
        </w:rPr>
        <w:t> </w:t>
      </w:r>
      <w:r>
        <w:rPr>
          <w:sz w:val="23"/>
        </w:rPr>
        <w:t>estratégico-financiera.</w:t>
      </w:r>
    </w:p>
    <w:p>
      <w:pPr>
        <w:pStyle w:val="BodyText"/>
        <w:spacing w:before="3"/>
        <w:rPr>
          <w:sz w:val="22"/>
        </w:rPr>
      </w:pPr>
    </w:p>
    <w:p>
      <w:pPr>
        <w:pStyle w:val="ListParagraph"/>
        <w:numPr>
          <w:ilvl w:val="0"/>
          <w:numId w:val="9"/>
        </w:numPr>
        <w:tabs>
          <w:tab w:pos="678" w:val="left" w:leader="none"/>
        </w:tabs>
        <w:spacing w:line="256" w:lineRule="exact" w:before="0" w:after="0"/>
        <w:ind w:left="677" w:right="114" w:hanging="284"/>
        <w:jc w:val="both"/>
        <w:rPr>
          <w:sz w:val="23"/>
        </w:rPr>
      </w:pPr>
      <w:r>
        <w:rPr>
          <w:sz w:val="23"/>
        </w:rPr>
        <w:t>En atención a  la  </w:t>
      </w:r>
      <w:r>
        <w:rPr>
          <w:i/>
          <w:sz w:val="23"/>
        </w:rPr>
        <w:t>evaluación  de  las  sociedades  más  simples  para </w:t>
      </w:r>
      <w:r>
        <w:rPr>
          <w:i/>
          <w:sz w:val="23"/>
        </w:rPr>
        <w:t>el ejercicio subsidiario</w:t>
      </w:r>
      <w:r>
        <w:rPr>
          <w:sz w:val="23"/>
        </w:rPr>
        <w:t>. Se deberá valorar por su naturaleza y circunstancias la eficiencia de los estados en cuanto a la planeación e instrumentación</w:t>
      </w:r>
      <w:r>
        <w:rPr>
          <w:spacing w:val="-20"/>
          <w:sz w:val="23"/>
        </w:rPr>
        <w:t> </w:t>
      </w:r>
      <w:r>
        <w:rPr>
          <w:sz w:val="23"/>
        </w:rPr>
        <w:t>directa</w:t>
      </w:r>
      <w:r>
        <w:rPr>
          <w:spacing w:val="-19"/>
          <w:sz w:val="23"/>
        </w:rPr>
        <w:t> </w:t>
      </w:r>
      <w:r>
        <w:rPr>
          <w:sz w:val="23"/>
        </w:rPr>
        <w:t>de</w:t>
      </w:r>
      <w:r>
        <w:rPr>
          <w:spacing w:val="-19"/>
          <w:sz w:val="23"/>
        </w:rPr>
        <w:t> </w:t>
      </w:r>
      <w:r>
        <w:rPr>
          <w:sz w:val="23"/>
        </w:rPr>
        <w:t>acciones</w:t>
      </w:r>
      <w:r>
        <w:rPr>
          <w:spacing w:val="-19"/>
          <w:sz w:val="23"/>
        </w:rPr>
        <w:t> </w:t>
      </w:r>
      <w:r>
        <w:rPr>
          <w:sz w:val="23"/>
        </w:rPr>
        <w:t>compensatorias</w:t>
      </w:r>
      <w:r>
        <w:rPr>
          <w:spacing w:val="-20"/>
          <w:sz w:val="23"/>
        </w:rPr>
        <w:t> </w:t>
      </w:r>
      <w:r>
        <w:rPr>
          <w:sz w:val="23"/>
        </w:rPr>
        <w:t>formuladas</w:t>
      </w:r>
      <w:r>
        <w:rPr>
          <w:spacing w:val="-19"/>
          <w:sz w:val="23"/>
        </w:rPr>
        <w:t> </w:t>
      </w:r>
      <w:r>
        <w:rPr>
          <w:sz w:val="23"/>
        </w:rPr>
        <w:t>integral y</w:t>
      </w:r>
      <w:r>
        <w:rPr>
          <w:spacing w:val="-21"/>
          <w:sz w:val="23"/>
        </w:rPr>
        <w:t> </w:t>
      </w:r>
      <w:r>
        <w:rPr>
          <w:sz w:val="23"/>
        </w:rPr>
        <w:t>objetivamente.</w:t>
      </w:r>
      <w:r>
        <w:rPr>
          <w:spacing w:val="-21"/>
          <w:sz w:val="23"/>
        </w:rPr>
        <w:t> </w:t>
      </w:r>
      <w:r>
        <w:rPr>
          <w:sz w:val="23"/>
        </w:rPr>
        <w:t>Pese</w:t>
      </w:r>
      <w:r>
        <w:rPr>
          <w:spacing w:val="-21"/>
          <w:sz w:val="23"/>
        </w:rPr>
        <w:t> </w:t>
      </w:r>
      <w:r>
        <w:rPr>
          <w:sz w:val="23"/>
        </w:rPr>
        <w:t>a</w:t>
      </w:r>
      <w:r>
        <w:rPr>
          <w:spacing w:val="-21"/>
          <w:sz w:val="23"/>
        </w:rPr>
        <w:t> </w:t>
      </w:r>
      <w:r>
        <w:rPr>
          <w:sz w:val="23"/>
        </w:rPr>
        <w:t>lo</w:t>
      </w:r>
      <w:r>
        <w:rPr>
          <w:spacing w:val="-21"/>
          <w:sz w:val="23"/>
        </w:rPr>
        <w:t> </w:t>
      </w:r>
      <w:r>
        <w:rPr>
          <w:sz w:val="23"/>
        </w:rPr>
        <w:t>expuesto,</w:t>
      </w:r>
      <w:r>
        <w:rPr>
          <w:spacing w:val="-21"/>
          <w:sz w:val="23"/>
        </w:rPr>
        <w:t> </w:t>
      </w:r>
      <w:r>
        <w:rPr>
          <w:sz w:val="23"/>
        </w:rPr>
        <w:t>no</w:t>
      </w:r>
      <w:r>
        <w:rPr>
          <w:spacing w:val="-21"/>
          <w:sz w:val="23"/>
        </w:rPr>
        <w:t> </w:t>
      </w:r>
      <w:r>
        <w:rPr>
          <w:sz w:val="23"/>
        </w:rPr>
        <w:t>se</w:t>
      </w:r>
      <w:r>
        <w:rPr>
          <w:spacing w:val="-21"/>
          <w:sz w:val="23"/>
        </w:rPr>
        <w:t> </w:t>
      </w:r>
      <w:r>
        <w:rPr>
          <w:sz w:val="23"/>
        </w:rPr>
        <w:t>encontraron</w:t>
      </w:r>
      <w:r>
        <w:rPr>
          <w:spacing w:val="-21"/>
          <w:sz w:val="23"/>
        </w:rPr>
        <w:t> </w:t>
      </w:r>
      <w:r>
        <w:rPr>
          <w:sz w:val="23"/>
        </w:rPr>
        <w:t>registros</w:t>
      </w:r>
      <w:r>
        <w:rPr>
          <w:spacing w:val="-21"/>
          <w:sz w:val="23"/>
        </w:rPr>
        <w:t> </w:t>
      </w:r>
      <w:r>
        <w:rPr>
          <w:sz w:val="23"/>
        </w:rPr>
        <w:t>oficiales de las capacidades estratégicas estatales en materia</w:t>
      </w:r>
      <w:r>
        <w:rPr>
          <w:spacing w:val="-6"/>
          <w:sz w:val="23"/>
        </w:rPr>
        <w:t> </w:t>
      </w:r>
      <w:r>
        <w:rPr>
          <w:sz w:val="23"/>
        </w:rPr>
        <w:t>compensatoria.</w:t>
      </w:r>
    </w:p>
    <w:p>
      <w:pPr>
        <w:pStyle w:val="BodyText"/>
        <w:spacing w:before="11"/>
        <w:rPr>
          <w:sz w:val="21"/>
        </w:rPr>
      </w:pPr>
    </w:p>
    <w:p>
      <w:pPr>
        <w:pStyle w:val="ListParagraph"/>
        <w:numPr>
          <w:ilvl w:val="0"/>
          <w:numId w:val="9"/>
        </w:numPr>
        <w:tabs>
          <w:tab w:pos="678" w:val="left" w:leader="none"/>
        </w:tabs>
        <w:spacing w:line="232" w:lineRule="auto" w:before="0" w:after="0"/>
        <w:ind w:left="677" w:right="114" w:hanging="284"/>
        <w:jc w:val="both"/>
        <w:rPr>
          <w:sz w:val="23"/>
        </w:rPr>
      </w:pPr>
      <w:r>
        <w:rPr>
          <w:sz w:val="23"/>
        </w:rPr>
        <w:t>En cuanto al </w:t>
      </w:r>
      <w:r>
        <w:rPr>
          <w:i/>
          <w:sz w:val="23"/>
        </w:rPr>
        <w:t>avance competencial de las sociedades más simples</w:t>
      </w:r>
      <w:r>
        <w:rPr>
          <w:sz w:val="23"/>
        </w:rPr>
        <w:t>. Los estados</w:t>
      </w:r>
      <w:r>
        <w:rPr>
          <w:spacing w:val="-32"/>
          <w:sz w:val="23"/>
        </w:rPr>
        <w:t> </w:t>
      </w:r>
      <w:r>
        <w:rPr>
          <w:sz w:val="23"/>
        </w:rPr>
        <w:t>deberán</w:t>
      </w:r>
      <w:r>
        <w:rPr>
          <w:spacing w:val="-31"/>
          <w:sz w:val="23"/>
        </w:rPr>
        <w:t> </w:t>
      </w:r>
      <w:r>
        <w:rPr>
          <w:sz w:val="23"/>
        </w:rPr>
        <w:t>procurar</w:t>
      </w:r>
      <w:r>
        <w:rPr>
          <w:spacing w:val="-31"/>
          <w:sz w:val="23"/>
        </w:rPr>
        <w:t> </w:t>
      </w:r>
      <w:r>
        <w:rPr>
          <w:sz w:val="23"/>
        </w:rPr>
        <w:t>laejecución</w:t>
      </w:r>
      <w:r>
        <w:rPr>
          <w:spacing w:val="-31"/>
          <w:sz w:val="23"/>
        </w:rPr>
        <w:t> </w:t>
      </w:r>
      <w:r>
        <w:rPr>
          <w:sz w:val="23"/>
        </w:rPr>
        <w:t>directa</w:t>
      </w:r>
      <w:r>
        <w:rPr>
          <w:spacing w:val="-31"/>
          <w:sz w:val="23"/>
        </w:rPr>
        <w:t> </w:t>
      </w:r>
      <w:r>
        <w:rPr>
          <w:sz w:val="23"/>
        </w:rPr>
        <w:t>del</w:t>
      </w:r>
      <w:r>
        <w:rPr>
          <w:spacing w:val="-31"/>
          <w:sz w:val="23"/>
        </w:rPr>
        <w:t> </w:t>
      </w:r>
      <w:r>
        <w:rPr>
          <w:sz w:val="23"/>
        </w:rPr>
        <w:t>diseño</w:t>
      </w:r>
      <w:r>
        <w:rPr>
          <w:spacing w:val="-31"/>
          <w:sz w:val="23"/>
        </w:rPr>
        <w:t> </w:t>
      </w:r>
      <w:r>
        <w:rPr>
          <w:sz w:val="23"/>
        </w:rPr>
        <w:t>eimplementación de políticas redistributivas acordes a la realidad regional, o bien, la federación podrá subsidiarles temporal y circunstancialmente.   </w:t>
      </w:r>
      <w:r>
        <w:rPr>
          <w:spacing w:val="15"/>
          <w:sz w:val="23"/>
        </w:rPr>
        <w:t> </w:t>
      </w:r>
      <w:r>
        <w:rPr>
          <w:sz w:val="23"/>
        </w:rPr>
        <w:t>Como</w:t>
      </w:r>
    </w:p>
    <w:p>
      <w:pPr>
        <w:spacing w:after="0" w:line="232" w:lineRule="auto"/>
        <w:jc w:val="both"/>
        <w:rPr>
          <w:sz w:val="23"/>
        </w:rPr>
        <w:sectPr>
          <w:pgSz w:w="9360" w:h="13040"/>
          <w:pgMar w:header="547" w:footer="515" w:top="720" w:bottom="700" w:left="740" w:right="1300"/>
        </w:sectPr>
      </w:pPr>
    </w:p>
    <w:p>
      <w:pPr>
        <w:pStyle w:val="BodyText"/>
        <w:spacing w:before="11"/>
        <w:rPr>
          <w:sz w:val="29"/>
        </w:rPr>
      </w:pPr>
    </w:p>
    <w:p>
      <w:pPr>
        <w:pStyle w:val="BodyText"/>
        <w:spacing w:line="256" w:lineRule="exact" w:before="80"/>
        <w:ind w:left="684" w:right="108"/>
        <w:jc w:val="both"/>
      </w:pPr>
      <w:r>
        <w:rPr/>
        <w:t>precepto subsidiario importante, las políticas redistributivas de los gobiernos estatales deben considerar el fortalecimiento de la sociedad civil, su incidencia en acciones compensatorias determinadas, y su interacción con las instituciones estatales.</w:t>
      </w:r>
    </w:p>
    <w:p>
      <w:pPr>
        <w:pStyle w:val="BodyText"/>
        <w:spacing w:before="3"/>
        <w:rPr>
          <w:sz w:val="22"/>
        </w:rPr>
      </w:pPr>
    </w:p>
    <w:p>
      <w:pPr>
        <w:pStyle w:val="BodyText"/>
        <w:spacing w:line="256" w:lineRule="exact"/>
        <w:ind w:left="684" w:right="108"/>
        <w:jc w:val="both"/>
      </w:pPr>
      <w:r>
        <w:rPr/>
        <w:t>Para contrastar el contenido subsidiario expuesto, se presenta una clasificación lograda en la presente investigación según la multicitada muestra de seis estados. En la posición más alejada a la autonomía estratégica,</w:t>
      </w:r>
      <w:r>
        <w:rPr>
          <w:spacing w:val="-22"/>
        </w:rPr>
        <w:t> </w:t>
      </w:r>
      <w:r>
        <w:rPr/>
        <w:t>el</w:t>
      </w:r>
      <w:r>
        <w:rPr>
          <w:spacing w:val="-22"/>
        </w:rPr>
        <w:t> </w:t>
      </w:r>
      <w:r>
        <w:rPr/>
        <w:t>Estado</w:t>
      </w:r>
      <w:r>
        <w:rPr>
          <w:spacing w:val="-22"/>
        </w:rPr>
        <w:t> </w:t>
      </w:r>
      <w:r>
        <w:rPr/>
        <w:t>de</w:t>
      </w:r>
      <w:r>
        <w:rPr>
          <w:spacing w:val="-22"/>
        </w:rPr>
        <w:t> </w:t>
      </w:r>
      <w:r>
        <w:rPr/>
        <w:t>Morelos</w:t>
      </w:r>
      <w:r>
        <w:rPr>
          <w:spacing w:val="-22"/>
        </w:rPr>
        <w:t> </w:t>
      </w:r>
      <w:r>
        <w:rPr/>
        <w:t>no</w:t>
      </w:r>
      <w:r>
        <w:rPr>
          <w:spacing w:val="-22"/>
        </w:rPr>
        <w:t> </w:t>
      </w:r>
      <w:r>
        <w:rPr/>
        <w:t>aplica</w:t>
      </w:r>
      <w:r>
        <w:rPr>
          <w:spacing w:val="-22"/>
        </w:rPr>
        <w:t> </w:t>
      </w:r>
      <w:r>
        <w:rPr/>
        <w:t>modificaciones</w:t>
      </w:r>
      <w:r>
        <w:rPr>
          <w:spacing w:val="-22"/>
        </w:rPr>
        <w:t> </w:t>
      </w:r>
      <w:r>
        <w:rPr/>
        <w:t>importantes</w:t>
      </w:r>
      <w:r>
        <w:rPr>
          <w:spacing w:val="-22"/>
        </w:rPr>
        <w:t> </w:t>
      </w:r>
      <w:r>
        <w:rPr/>
        <w:t>a los</w:t>
      </w:r>
      <w:r>
        <w:rPr>
          <w:spacing w:val="-13"/>
        </w:rPr>
        <w:t> </w:t>
      </w:r>
      <w:r>
        <w:rPr/>
        <w:t>programas</w:t>
      </w:r>
      <w:r>
        <w:rPr>
          <w:spacing w:val="-13"/>
        </w:rPr>
        <w:t> </w:t>
      </w:r>
      <w:r>
        <w:rPr/>
        <w:t>federales</w:t>
      </w:r>
      <w:r>
        <w:rPr>
          <w:spacing w:val="-13"/>
        </w:rPr>
        <w:t> </w:t>
      </w:r>
      <w:r>
        <w:rPr/>
        <w:t>por</w:t>
      </w:r>
      <w:r>
        <w:rPr>
          <w:spacing w:val="-13"/>
        </w:rPr>
        <w:t> </w:t>
      </w:r>
      <w:r>
        <w:rPr/>
        <w:t>iniciativa</w:t>
      </w:r>
      <w:r>
        <w:rPr>
          <w:spacing w:val="-14"/>
        </w:rPr>
        <w:t> </w:t>
      </w:r>
      <w:r>
        <w:rPr/>
        <w:t>propia</w:t>
      </w:r>
      <w:r>
        <w:rPr>
          <w:spacing w:val="-13"/>
        </w:rPr>
        <w:t> </w:t>
      </w:r>
      <w:r>
        <w:rPr/>
        <w:t>y</w:t>
      </w:r>
      <w:r>
        <w:rPr>
          <w:spacing w:val="-13"/>
        </w:rPr>
        <w:t> </w:t>
      </w:r>
      <w:r>
        <w:rPr/>
        <w:t>no</w:t>
      </w:r>
      <w:r>
        <w:rPr>
          <w:spacing w:val="-13"/>
        </w:rPr>
        <w:t> </w:t>
      </w:r>
      <w:r>
        <w:rPr/>
        <w:t>cuenta</w:t>
      </w:r>
      <w:r>
        <w:rPr>
          <w:spacing w:val="-13"/>
        </w:rPr>
        <w:t> </w:t>
      </w:r>
      <w:r>
        <w:rPr/>
        <w:t>con</w:t>
      </w:r>
      <w:r>
        <w:rPr>
          <w:spacing w:val="-13"/>
        </w:rPr>
        <w:t> </w:t>
      </w:r>
      <w:r>
        <w:rPr/>
        <w:t>programas de diseño propio, sus esquemas son mayoritariamente asistenciales y sólo algunos apuntan hacia un desarrollo comunitario por</w:t>
      </w:r>
      <w:r>
        <w:rPr>
          <w:spacing w:val="-6"/>
        </w:rPr>
        <w:t> </w:t>
      </w:r>
      <w:r>
        <w:rPr/>
        <w:t>capacidades.</w:t>
      </w:r>
    </w:p>
    <w:p>
      <w:pPr>
        <w:pStyle w:val="BodyText"/>
        <w:spacing w:before="3"/>
        <w:rPr>
          <w:sz w:val="22"/>
        </w:rPr>
      </w:pPr>
    </w:p>
    <w:p>
      <w:pPr>
        <w:pStyle w:val="BodyText"/>
        <w:spacing w:line="256" w:lineRule="exact"/>
        <w:ind w:left="684" w:right="108"/>
        <w:jc w:val="both"/>
      </w:pPr>
      <w:r>
        <w:rPr/>
        <w:t>Guanajuato muestra cuatro estrategias sectoriales federales ampliadas con iniciativas locales, un sector estatal que implementa un esquema propio, y una clasificación conjunta de esquemas mayoritariamente asistenciales</w:t>
      </w:r>
      <w:r>
        <w:rPr>
          <w:spacing w:val="-10"/>
        </w:rPr>
        <w:t> </w:t>
      </w:r>
      <w:r>
        <w:rPr/>
        <w:t>destacando</w:t>
      </w:r>
      <w:r>
        <w:rPr>
          <w:spacing w:val="-9"/>
        </w:rPr>
        <w:t> </w:t>
      </w:r>
      <w:r>
        <w:rPr/>
        <w:t>como</w:t>
      </w:r>
      <w:r>
        <w:rPr>
          <w:spacing w:val="-10"/>
        </w:rPr>
        <w:t> </w:t>
      </w:r>
      <w:r>
        <w:rPr/>
        <w:t>contraparte</w:t>
      </w:r>
      <w:r>
        <w:rPr>
          <w:spacing w:val="-10"/>
        </w:rPr>
        <w:t> </w:t>
      </w:r>
      <w:r>
        <w:rPr/>
        <w:t>el</w:t>
      </w:r>
      <w:r>
        <w:rPr>
          <w:spacing w:val="-9"/>
        </w:rPr>
        <w:t> </w:t>
      </w:r>
      <w:r>
        <w:rPr/>
        <w:t>desarrollo</w:t>
      </w:r>
      <w:r>
        <w:rPr>
          <w:spacing w:val="-9"/>
        </w:rPr>
        <w:t> </w:t>
      </w:r>
      <w:r>
        <w:rPr/>
        <w:t>de</w:t>
      </w:r>
      <w:r>
        <w:rPr>
          <w:spacing w:val="-9"/>
        </w:rPr>
        <w:t> </w:t>
      </w:r>
      <w:r>
        <w:rPr/>
        <w:t>un</w:t>
      </w:r>
      <w:r>
        <w:rPr>
          <w:spacing w:val="-9"/>
        </w:rPr>
        <w:t> </w:t>
      </w:r>
      <w:r>
        <w:rPr/>
        <w:t>programa comunitario en vivienda</w:t>
      </w:r>
      <w:r>
        <w:rPr>
          <w:spacing w:val="-9"/>
        </w:rPr>
        <w:t> </w:t>
      </w:r>
      <w:r>
        <w:rPr/>
        <w:t>social.</w:t>
      </w:r>
    </w:p>
    <w:p>
      <w:pPr>
        <w:pStyle w:val="BodyText"/>
        <w:spacing w:before="3"/>
        <w:rPr>
          <w:sz w:val="22"/>
        </w:rPr>
      </w:pPr>
    </w:p>
    <w:p>
      <w:pPr>
        <w:pStyle w:val="BodyText"/>
        <w:spacing w:line="256" w:lineRule="exact"/>
        <w:ind w:left="684" w:right="108"/>
        <w:jc w:val="both"/>
      </w:pPr>
      <w:r>
        <w:rPr/>
        <w:t>Baja California cuenta con tres estrategias sectoriales federales diversificadas con variantes locales, un sector estatal que desarrolla un esquema</w:t>
      </w:r>
      <w:r>
        <w:rPr>
          <w:spacing w:val="-27"/>
        </w:rPr>
        <w:t> </w:t>
      </w:r>
      <w:r>
        <w:rPr/>
        <w:t>propio,</w:t>
      </w:r>
      <w:r>
        <w:rPr>
          <w:spacing w:val="-27"/>
        </w:rPr>
        <w:t> </w:t>
      </w:r>
      <w:r>
        <w:rPr/>
        <w:t>y</w:t>
      </w:r>
      <w:r>
        <w:rPr>
          <w:spacing w:val="-27"/>
        </w:rPr>
        <w:t> </w:t>
      </w:r>
      <w:r>
        <w:rPr/>
        <w:t>una</w:t>
      </w:r>
      <w:r>
        <w:rPr>
          <w:spacing w:val="-27"/>
        </w:rPr>
        <w:t> </w:t>
      </w:r>
      <w:r>
        <w:rPr/>
        <w:t>tipificación</w:t>
      </w:r>
      <w:r>
        <w:rPr>
          <w:spacing w:val="-27"/>
        </w:rPr>
        <w:t> </w:t>
      </w:r>
      <w:r>
        <w:rPr/>
        <w:t>conjunta</w:t>
      </w:r>
      <w:r>
        <w:rPr>
          <w:spacing w:val="-27"/>
        </w:rPr>
        <w:t> </w:t>
      </w:r>
      <w:r>
        <w:rPr/>
        <w:t>mayoritariamenteasistencial con algunos programas de desarrollo comunitario en</w:t>
      </w:r>
      <w:r>
        <w:rPr>
          <w:spacing w:val="-4"/>
        </w:rPr>
        <w:t> </w:t>
      </w:r>
      <w:r>
        <w:rPr/>
        <w:t>capacidades.</w:t>
      </w:r>
    </w:p>
    <w:p>
      <w:pPr>
        <w:pStyle w:val="BodyText"/>
        <w:spacing w:before="3"/>
        <w:rPr>
          <w:sz w:val="22"/>
        </w:rPr>
      </w:pPr>
    </w:p>
    <w:p>
      <w:pPr>
        <w:pStyle w:val="BodyText"/>
        <w:spacing w:line="256" w:lineRule="exact"/>
        <w:ind w:left="684" w:right="107"/>
        <w:jc w:val="both"/>
      </w:pPr>
      <w:r>
        <w:rPr/>
        <w:t>Querétaro mejora con iniciativas propias dos estrategias sectoriales federales, cuenta con un sector estatal que implementa tres esquemas propios, así como con una clasificación general mayoritariamente asistencial en donde contrasta el desarrollo de esquemas dispersos de oportunidades de ingreso.</w:t>
      </w:r>
    </w:p>
    <w:p>
      <w:pPr>
        <w:pStyle w:val="BodyText"/>
        <w:spacing w:before="3"/>
        <w:rPr>
          <w:sz w:val="22"/>
        </w:rPr>
      </w:pPr>
    </w:p>
    <w:p>
      <w:pPr>
        <w:pStyle w:val="BodyText"/>
        <w:spacing w:line="256" w:lineRule="exact"/>
        <w:ind w:left="684" w:right="107"/>
        <w:jc w:val="both"/>
      </w:pPr>
      <w:r>
        <w:rPr/>
        <w:t>Aguascalientes</w:t>
      </w:r>
      <w:r>
        <w:rPr>
          <w:spacing w:val="-16"/>
        </w:rPr>
        <w:t> </w:t>
      </w:r>
      <w:r>
        <w:rPr/>
        <w:t>amplia</w:t>
      </w:r>
      <w:r>
        <w:rPr>
          <w:spacing w:val="-17"/>
        </w:rPr>
        <w:t> </w:t>
      </w:r>
      <w:r>
        <w:rPr/>
        <w:t>con</w:t>
      </w:r>
      <w:r>
        <w:rPr>
          <w:spacing w:val="-16"/>
        </w:rPr>
        <w:t> </w:t>
      </w:r>
      <w:r>
        <w:rPr/>
        <w:t>iniciativas</w:t>
      </w:r>
      <w:r>
        <w:rPr>
          <w:spacing w:val="-17"/>
        </w:rPr>
        <w:t> </w:t>
      </w:r>
      <w:r>
        <w:rPr/>
        <w:t>locales</w:t>
      </w:r>
      <w:r>
        <w:rPr>
          <w:spacing w:val="-17"/>
        </w:rPr>
        <w:t> </w:t>
      </w:r>
      <w:r>
        <w:rPr/>
        <w:t>tres</w:t>
      </w:r>
      <w:r>
        <w:rPr>
          <w:spacing w:val="-17"/>
        </w:rPr>
        <w:t> </w:t>
      </w:r>
      <w:r>
        <w:rPr/>
        <w:t>estrategias</w:t>
      </w:r>
      <w:r>
        <w:rPr>
          <w:spacing w:val="-17"/>
        </w:rPr>
        <w:t> </w:t>
      </w:r>
      <w:r>
        <w:rPr/>
        <w:t>sectoriales federales, sobresale además un sector estatal que implementa ocho esquemas</w:t>
      </w:r>
      <w:r>
        <w:rPr>
          <w:spacing w:val="-15"/>
        </w:rPr>
        <w:t> </w:t>
      </w:r>
      <w:r>
        <w:rPr/>
        <w:t>propios,</w:t>
      </w:r>
      <w:r>
        <w:rPr>
          <w:spacing w:val="-14"/>
        </w:rPr>
        <w:t> </w:t>
      </w:r>
      <w:r>
        <w:rPr/>
        <w:t>y</w:t>
      </w:r>
      <w:r>
        <w:rPr>
          <w:spacing w:val="-14"/>
        </w:rPr>
        <w:t> </w:t>
      </w:r>
      <w:r>
        <w:rPr/>
        <w:t>agrupa</w:t>
      </w:r>
      <w:r>
        <w:rPr>
          <w:spacing w:val="-15"/>
        </w:rPr>
        <w:t> </w:t>
      </w:r>
      <w:r>
        <w:rPr/>
        <w:t>sus</w:t>
      </w:r>
      <w:r>
        <w:rPr>
          <w:spacing w:val="-14"/>
        </w:rPr>
        <w:t> </w:t>
      </w:r>
      <w:r>
        <w:rPr/>
        <w:t>programas</w:t>
      </w:r>
      <w:r>
        <w:rPr>
          <w:spacing w:val="-15"/>
        </w:rPr>
        <w:t> </w:t>
      </w:r>
      <w:r>
        <w:rPr/>
        <w:t>de</w:t>
      </w:r>
      <w:r>
        <w:rPr>
          <w:spacing w:val="-14"/>
        </w:rPr>
        <w:t> </w:t>
      </w:r>
      <w:r>
        <w:rPr/>
        <w:t>manera</w:t>
      </w:r>
      <w:r>
        <w:rPr>
          <w:spacing w:val="-15"/>
        </w:rPr>
        <w:t> </w:t>
      </w:r>
      <w:r>
        <w:rPr/>
        <w:t>mayoritariamente asistencial con algunos esquemas de desarrollo comunitario en capacidades y en</w:t>
      </w:r>
      <w:r>
        <w:rPr>
          <w:spacing w:val="-7"/>
        </w:rPr>
        <w:t> </w:t>
      </w:r>
      <w:r>
        <w:rPr/>
        <w:t>organización.</w:t>
      </w:r>
    </w:p>
    <w:p>
      <w:pPr>
        <w:pStyle w:val="BodyText"/>
        <w:spacing w:before="11"/>
        <w:rPr>
          <w:sz w:val="21"/>
        </w:rPr>
      </w:pPr>
    </w:p>
    <w:p>
      <w:pPr>
        <w:pStyle w:val="BodyText"/>
        <w:spacing w:line="232" w:lineRule="auto"/>
        <w:ind w:left="684" w:right="107"/>
        <w:jc w:val="both"/>
      </w:pPr>
      <w:r>
        <w:rPr/>
        <w:t>Jalisco se encuentran cuatro sectores estatales que  implementan  varios esquemas propios, la clasificación general de los programas es mayoritariamente</w:t>
      </w:r>
      <w:r>
        <w:rPr>
          <w:spacing w:val="-23"/>
        </w:rPr>
        <w:t> </w:t>
      </w:r>
      <w:r>
        <w:rPr/>
        <w:t>asistencial</w:t>
      </w:r>
      <w:r>
        <w:rPr>
          <w:spacing w:val="-22"/>
        </w:rPr>
        <w:t> </w:t>
      </w:r>
      <w:r>
        <w:rPr/>
        <w:t>con</w:t>
      </w:r>
      <w:r>
        <w:rPr>
          <w:spacing w:val="-22"/>
        </w:rPr>
        <w:t> </w:t>
      </w:r>
      <w:r>
        <w:rPr/>
        <w:t>sólo</w:t>
      </w:r>
      <w:r>
        <w:rPr>
          <w:spacing w:val="-21"/>
        </w:rPr>
        <w:t> </w:t>
      </w:r>
      <w:r>
        <w:rPr/>
        <w:t>algunos</w:t>
      </w:r>
      <w:r>
        <w:rPr>
          <w:spacing w:val="-22"/>
        </w:rPr>
        <w:t> </w:t>
      </w:r>
      <w:r>
        <w:rPr/>
        <w:t>de</w:t>
      </w:r>
      <w:r>
        <w:rPr>
          <w:spacing w:val="-22"/>
        </w:rPr>
        <w:t> </w:t>
      </w:r>
      <w:r>
        <w:rPr/>
        <w:t>desarrollo</w:t>
      </w:r>
      <w:r>
        <w:rPr>
          <w:spacing w:val="-22"/>
        </w:rPr>
        <w:t> </w:t>
      </w:r>
      <w:r>
        <w:rPr/>
        <w:t>comunitario en</w:t>
      </w:r>
      <w:r>
        <w:rPr>
          <w:spacing w:val="-1"/>
        </w:rPr>
        <w:t> </w:t>
      </w:r>
      <w:r>
        <w:rPr/>
        <w:t>capacidades.</w:t>
      </w:r>
    </w:p>
    <w:p>
      <w:pPr>
        <w:spacing w:after="0" w:line="232" w:lineRule="auto"/>
        <w:jc w:val="both"/>
        <w:sectPr>
          <w:pgSz w:w="9360" w:h="13040"/>
          <w:pgMar w:header="531" w:footer="515" w:top="940" w:bottom="700" w:left="1300" w:right="740"/>
        </w:sectPr>
      </w:pPr>
    </w:p>
    <w:p>
      <w:pPr>
        <w:pStyle w:val="BodyText"/>
        <w:rPr>
          <w:sz w:val="20"/>
        </w:rPr>
      </w:pPr>
    </w:p>
    <w:p>
      <w:pPr>
        <w:pStyle w:val="BodyText"/>
        <w:spacing w:before="1"/>
        <w:rPr>
          <w:sz w:val="29"/>
        </w:rPr>
      </w:pPr>
    </w:p>
    <w:p>
      <w:pPr>
        <w:pStyle w:val="BodyText"/>
        <w:spacing w:before="70"/>
        <w:ind w:left="110" w:right="116"/>
        <w:jc w:val="both"/>
      </w:pPr>
      <w:r>
        <w:rPr/>
        <w:t>En resumen, el desempeño de los gobiernos estatales analizados en uso de   la escala de evaluación denominada </w:t>
      </w:r>
      <w:r>
        <w:rPr>
          <w:i/>
        </w:rPr>
        <w:t>la coordinación estatal de las políticas </w:t>
      </w:r>
      <w:r>
        <w:rPr>
          <w:i/>
        </w:rPr>
        <w:t>redistributivas </w:t>
      </w:r>
      <w:r>
        <w:rPr/>
        <w:t>alcanzó el promedio de 2.16. Sobre estos antecedentes, los siguientes apartados desarrollan la evaluación subsidiaria del gobierno del Estado de</w:t>
      </w:r>
      <w:r>
        <w:rPr>
          <w:spacing w:val="-9"/>
        </w:rPr>
        <w:t> </w:t>
      </w:r>
      <w:r>
        <w:rPr/>
        <w:t>Hidalgo.</w:t>
      </w:r>
    </w:p>
    <w:p>
      <w:pPr>
        <w:pStyle w:val="BodyText"/>
        <w:spacing w:before="3"/>
      </w:pPr>
    </w:p>
    <w:p>
      <w:pPr>
        <w:pStyle w:val="Heading3"/>
        <w:ind w:left="110"/>
      </w:pPr>
      <w:r>
        <w:rPr/>
        <w:t>La asociación estratégica general, la sectorial y la intergubernamental.</w:t>
      </w:r>
    </w:p>
    <w:p>
      <w:pPr>
        <w:pStyle w:val="BodyText"/>
        <w:spacing w:before="3"/>
        <w:rPr>
          <w:b/>
        </w:rPr>
      </w:pPr>
    </w:p>
    <w:p>
      <w:pPr>
        <w:pStyle w:val="BodyText"/>
        <w:ind w:left="110" w:right="114"/>
        <w:jc w:val="both"/>
      </w:pPr>
      <w:r>
        <w:rPr/>
        <w:t>Durante</w:t>
      </w:r>
      <w:r>
        <w:rPr>
          <w:spacing w:val="-12"/>
        </w:rPr>
        <w:t> </w:t>
      </w:r>
      <w:r>
        <w:rPr/>
        <w:t>la</w:t>
      </w:r>
      <w:r>
        <w:rPr>
          <w:spacing w:val="-12"/>
        </w:rPr>
        <w:t> </w:t>
      </w:r>
      <w:r>
        <w:rPr/>
        <w:t>administración</w:t>
      </w:r>
      <w:r>
        <w:rPr>
          <w:spacing w:val="-13"/>
        </w:rPr>
        <w:t> </w:t>
      </w:r>
      <w:r>
        <w:rPr/>
        <w:t>estatal</w:t>
      </w:r>
      <w:r>
        <w:rPr>
          <w:spacing w:val="-12"/>
        </w:rPr>
        <w:t> </w:t>
      </w:r>
      <w:r>
        <w:rPr/>
        <w:t>2005-2011,</w:t>
      </w:r>
      <w:r>
        <w:rPr>
          <w:spacing w:val="-12"/>
        </w:rPr>
        <w:t> </w:t>
      </w:r>
      <w:r>
        <w:rPr/>
        <w:t>la</w:t>
      </w:r>
      <w:r>
        <w:rPr>
          <w:spacing w:val="-12"/>
        </w:rPr>
        <w:t> </w:t>
      </w:r>
      <w:r>
        <w:rPr/>
        <w:t>asociación</w:t>
      </w:r>
      <w:r>
        <w:rPr>
          <w:spacing w:val="-12"/>
        </w:rPr>
        <w:t> </w:t>
      </w:r>
      <w:r>
        <w:rPr/>
        <w:t>estratégica</w:t>
      </w:r>
      <w:r>
        <w:rPr>
          <w:spacing w:val="-13"/>
        </w:rPr>
        <w:t> </w:t>
      </w:r>
      <w:r>
        <w:rPr/>
        <w:t>general de la política social sólo puede describirse como un intento de coordinación según el funcionamiento efímero del Comité de Desarrollo Social del Estado de Hidalgo. Desde la misma sesión de instalación, el 30 de septiembre de 2009, surgió la dificultad de coordinar al comité mismo pues quedó formado por</w:t>
      </w:r>
      <w:r>
        <w:rPr>
          <w:spacing w:val="-11"/>
        </w:rPr>
        <w:t> </w:t>
      </w:r>
      <w:r>
        <w:rPr/>
        <w:t>ciento</w:t>
      </w:r>
      <w:r>
        <w:rPr>
          <w:spacing w:val="-11"/>
        </w:rPr>
        <w:t> </w:t>
      </w:r>
      <w:r>
        <w:rPr/>
        <w:t>treinta</w:t>
      </w:r>
      <w:r>
        <w:rPr>
          <w:spacing w:val="-11"/>
        </w:rPr>
        <w:t> </w:t>
      </w:r>
      <w:r>
        <w:rPr/>
        <w:t>y</w:t>
      </w:r>
      <w:r>
        <w:rPr>
          <w:spacing w:val="-11"/>
        </w:rPr>
        <w:t> </w:t>
      </w:r>
      <w:r>
        <w:rPr/>
        <w:t>dos</w:t>
      </w:r>
      <w:r>
        <w:rPr>
          <w:spacing w:val="-11"/>
        </w:rPr>
        <w:t> </w:t>
      </w:r>
      <w:r>
        <w:rPr/>
        <w:t>integrantes:</w:t>
      </w:r>
      <w:r>
        <w:rPr>
          <w:spacing w:val="-11"/>
        </w:rPr>
        <w:t> </w:t>
      </w:r>
      <w:r>
        <w:rPr/>
        <w:t>el</w:t>
      </w:r>
      <w:r>
        <w:rPr>
          <w:spacing w:val="-11"/>
        </w:rPr>
        <w:t> </w:t>
      </w:r>
      <w:r>
        <w:rPr/>
        <w:t>gobernador</w:t>
      </w:r>
      <w:r>
        <w:rPr>
          <w:spacing w:val="-11"/>
        </w:rPr>
        <w:t> </w:t>
      </w:r>
      <w:r>
        <w:rPr/>
        <w:t>del</w:t>
      </w:r>
      <w:r>
        <w:rPr>
          <w:spacing w:val="-11"/>
        </w:rPr>
        <w:t> </w:t>
      </w:r>
      <w:r>
        <w:rPr/>
        <w:t>estado</w:t>
      </w:r>
      <w:r>
        <w:rPr>
          <w:spacing w:val="-11"/>
        </w:rPr>
        <w:t> </w:t>
      </w:r>
      <w:r>
        <w:rPr/>
        <w:t>como</w:t>
      </w:r>
      <w:r>
        <w:rPr>
          <w:spacing w:val="-11"/>
        </w:rPr>
        <w:t> </w:t>
      </w:r>
      <w:r>
        <w:rPr/>
        <w:t>presidente, el</w:t>
      </w:r>
      <w:r>
        <w:rPr>
          <w:spacing w:val="-7"/>
        </w:rPr>
        <w:t> </w:t>
      </w:r>
      <w:r>
        <w:rPr/>
        <w:t>secretario</w:t>
      </w:r>
      <w:r>
        <w:rPr>
          <w:spacing w:val="-6"/>
        </w:rPr>
        <w:t> </w:t>
      </w:r>
      <w:r>
        <w:rPr/>
        <w:t>de</w:t>
      </w:r>
      <w:r>
        <w:rPr>
          <w:spacing w:val="-7"/>
        </w:rPr>
        <w:t> </w:t>
      </w:r>
      <w:r>
        <w:rPr/>
        <w:t>desarrollo</w:t>
      </w:r>
      <w:r>
        <w:rPr>
          <w:spacing w:val="-7"/>
        </w:rPr>
        <w:t> </w:t>
      </w:r>
      <w:r>
        <w:rPr/>
        <w:t>social</w:t>
      </w:r>
      <w:r>
        <w:rPr>
          <w:spacing w:val="-7"/>
        </w:rPr>
        <w:t> </w:t>
      </w:r>
      <w:r>
        <w:rPr/>
        <w:t>como</w:t>
      </w:r>
      <w:r>
        <w:rPr>
          <w:spacing w:val="-7"/>
        </w:rPr>
        <w:t> </w:t>
      </w:r>
      <w:r>
        <w:rPr/>
        <w:t>presidente</w:t>
      </w:r>
      <w:r>
        <w:rPr>
          <w:spacing w:val="-7"/>
        </w:rPr>
        <w:t> </w:t>
      </w:r>
      <w:r>
        <w:rPr/>
        <w:t>suplente,</w:t>
      </w:r>
      <w:r>
        <w:rPr>
          <w:spacing w:val="-6"/>
        </w:rPr>
        <w:t> </w:t>
      </w:r>
      <w:r>
        <w:rPr/>
        <w:t>los</w:t>
      </w:r>
      <w:r>
        <w:rPr>
          <w:spacing w:val="-7"/>
        </w:rPr>
        <w:t> </w:t>
      </w:r>
      <w:r>
        <w:rPr/>
        <w:t>secretarios</w:t>
      </w:r>
      <w:r>
        <w:rPr>
          <w:spacing w:val="-6"/>
        </w:rPr>
        <w:t> </w:t>
      </w:r>
      <w:r>
        <w:rPr/>
        <w:t>del gobierno</w:t>
      </w:r>
      <w:r>
        <w:rPr>
          <w:spacing w:val="-10"/>
        </w:rPr>
        <w:t> </w:t>
      </w:r>
      <w:r>
        <w:rPr/>
        <w:t>estatal</w:t>
      </w:r>
      <w:r>
        <w:rPr>
          <w:spacing w:val="-10"/>
        </w:rPr>
        <w:t> </w:t>
      </w:r>
      <w:r>
        <w:rPr/>
        <w:t>como</w:t>
      </w:r>
      <w:r>
        <w:rPr>
          <w:spacing w:val="-10"/>
        </w:rPr>
        <w:t> </w:t>
      </w:r>
      <w:r>
        <w:rPr/>
        <w:t>consejeros</w:t>
      </w:r>
      <w:r>
        <w:rPr>
          <w:spacing w:val="-10"/>
        </w:rPr>
        <w:t> </w:t>
      </w:r>
      <w:r>
        <w:rPr/>
        <w:t>secretarios,</w:t>
      </w:r>
      <w:r>
        <w:rPr>
          <w:spacing w:val="-9"/>
        </w:rPr>
        <w:t> </w:t>
      </w:r>
      <w:r>
        <w:rPr/>
        <w:t>los</w:t>
      </w:r>
      <w:r>
        <w:rPr>
          <w:spacing w:val="-10"/>
        </w:rPr>
        <w:t> </w:t>
      </w:r>
      <w:r>
        <w:rPr/>
        <w:t>ochenta</w:t>
      </w:r>
      <w:r>
        <w:rPr>
          <w:spacing w:val="-10"/>
        </w:rPr>
        <w:t> </w:t>
      </w:r>
      <w:r>
        <w:rPr/>
        <w:t>y</w:t>
      </w:r>
      <w:r>
        <w:rPr>
          <w:spacing w:val="-10"/>
        </w:rPr>
        <w:t> </w:t>
      </w:r>
      <w:r>
        <w:rPr/>
        <w:t>cuatro</w:t>
      </w:r>
      <w:r>
        <w:rPr>
          <w:spacing w:val="-10"/>
        </w:rPr>
        <w:t> </w:t>
      </w:r>
      <w:r>
        <w:rPr/>
        <w:t>presidentes municipales del estado como consejeros municipales, los delegados de dependencias federales como consejeros delegados, diputados locales en función de sus comisiones como consejeros diputados, representantes de    las cámaras de la industria de la construcción, representantes de la sociedad civil (colegio de economistas y colegio de ciencias políticas y</w:t>
      </w:r>
      <w:r>
        <w:rPr>
          <w:spacing w:val="-23"/>
        </w:rPr>
        <w:t> </w:t>
      </w:r>
      <w:r>
        <w:rPr/>
        <w:t>administración pública), representantes del sector educativo (Universidad Politécnica del Municipio de Francisco. I. Madero, Universidad Tecnológica de Tulancingo y el Instituto Tecnológico y de Estudios Superiores de Monterrey), y representantes del Sistema Estatal para el Desarrollo Integral de la Familia (DIF)</w:t>
      </w:r>
      <w:r>
        <w:rPr>
          <w:position w:val="8"/>
          <w:sz w:val="13"/>
        </w:rPr>
        <w:t>153</w:t>
      </w:r>
      <w:r>
        <w:rPr/>
        <w:t>.</w:t>
      </w:r>
    </w:p>
    <w:p>
      <w:pPr>
        <w:pStyle w:val="BodyText"/>
      </w:pPr>
    </w:p>
    <w:p>
      <w:pPr>
        <w:pStyle w:val="BodyText"/>
        <w:ind w:left="110" w:right="114"/>
        <w:jc w:val="both"/>
      </w:pPr>
      <w:r>
        <w:rPr/>
        <w:t>En esta primera sesión se abordaron asuntos muy puntuales con referencia a los programas de adultos mayores y a un programa del Instituto Hidalguense de las Mujeres</w:t>
      </w:r>
      <w:r>
        <w:rPr>
          <w:position w:val="8"/>
          <w:sz w:val="13"/>
        </w:rPr>
        <w:t>154</w:t>
      </w:r>
      <w:r>
        <w:rPr/>
        <w:t>. Pese a que quedó estipulado sesionar por lo menos dos veces al año, la segunda y última reunión se celebró casi quince meses después, el 13 de diciembre de 2010</w:t>
      </w:r>
      <w:r>
        <w:rPr>
          <w:position w:val="8"/>
          <w:sz w:val="13"/>
        </w:rPr>
        <w:t>155</w:t>
      </w:r>
      <w:r>
        <w:rPr/>
        <w:t>. Sin embargo, cabe destacar que se incluyó un problema toral en esa agenda de fin de sexenio, pues se acordó la creación de tres subcomités para formular las propuestas programáticas  </w:t>
      </w:r>
      <w:r>
        <w:rPr>
          <w:spacing w:val="55"/>
        </w:rPr>
        <w:t> </w:t>
      </w:r>
      <w:r>
        <w:rPr/>
        <w:t>del</w:t>
      </w:r>
    </w:p>
    <w:p>
      <w:pPr>
        <w:pStyle w:val="BodyText"/>
        <w:spacing w:before="1"/>
        <w:rPr>
          <w:sz w:val="11"/>
        </w:rPr>
      </w:pPr>
      <w:r>
        <w:rPr/>
        <w:pict>
          <v:line style="position:absolute;mso-position-horizontal-relative:page;mso-position-vertical-relative:paragraph;z-index:2896;mso-wrap-distance-left:0;mso-wrap-distance-right:0" from="42.519699pt,8.864048pt" to="114.519699pt,8.864048pt" stroked="true" strokeweight="1pt" strokecolor="#000000">
            <w10:wrap type="topAndBottom"/>
          </v:line>
        </w:pict>
      </w:r>
    </w:p>
    <w:p>
      <w:pPr>
        <w:spacing w:line="200" w:lineRule="exact" w:before="1"/>
        <w:ind w:left="393" w:right="0" w:hanging="284"/>
        <w:jc w:val="left"/>
        <w:rPr>
          <w:sz w:val="18"/>
        </w:rPr>
      </w:pPr>
      <w:r>
        <w:rPr>
          <w:position w:val="7"/>
          <w:sz w:val="11"/>
        </w:rPr>
        <w:t>153 </w:t>
      </w:r>
      <w:r>
        <w:rPr>
          <w:sz w:val="18"/>
        </w:rPr>
        <w:t>Información proporcionada para esta investigación por personal de la secretaría de desarrollo social del Estado de Hidalgo, 16 de noviembre del 2010.</w:t>
      </w:r>
    </w:p>
    <w:p>
      <w:pPr>
        <w:spacing w:line="206" w:lineRule="exact" w:before="27"/>
        <w:ind w:left="110" w:right="0" w:firstLine="0"/>
        <w:jc w:val="left"/>
        <w:rPr>
          <w:i/>
          <w:sz w:val="18"/>
        </w:rPr>
      </w:pPr>
      <w:r>
        <w:rPr>
          <w:w w:val="105"/>
          <w:position w:val="7"/>
          <w:sz w:val="11"/>
        </w:rPr>
        <w:t>154  </w:t>
      </w:r>
      <w:r>
        <w:rPr>
          <w:i/>
          <w:w w:val="105"/>
          <w:sz w:val="18"/>
        </w:rPr>
        <w:t>Ibídem.</w:t>
      </w:r>
    </w:p>
    <w:p>
      <w:pPr>
        <w:spacing w:line="200" w:lineRule="exact" w:before="7"/>
        <w:ind w:left="393" w:right="0" w:hanging="284"/>
        <w:jc w:val="left"/>
        <w:rPr>
          <w:sz w:val="18"/>
        </w:rPr>
      </w:pPr>
      <w:r>
        <w:rPr>
          <w:position w:val="7"/>
          <w:sz w:val="11"/>
        </w:rPr>
        <w:t>155 </w:t>
      </w:r>
      <w:r>
        <w:rPr>
          <w:sz w:val="18"/>
        </w:rPr>
        <w:t>Información proporcionada para esta investigación por personal de la secretaría de desarrollo social del Estado de Hidalgo, 15 de diciembre del 2010.</w:t>
      </w:r>
    </w:p>
    <w:p>
      <w:pPr>
        <w:spacing w:after="0" w:line="200" w:lineRule="exact"/>
        <w:jc w:val="left"/>
        <w:rPr>
          <w:sz w:val="18"/>
        </w:rPr>
        <w:sectPr>
          <w:pgSz w:w="9360" w:h="13040"/>
          <w:pgMar w:header="547" w:footer="515" w:top="720" w:bottom="700" w:left="740" w:right="1300"/>
        </w:sectPr>
      </w:pPr>
    </w:p>
    <w:p>
      <w:pPr>
        <w:pStyle w:val="BodyText"/>
        <w:spacing w:before="11"/>
        <w:rPr>
          <w:sz w:val="29"/>
        </w:rPr>
      </w:pPr>
    </w:p>
    <w:p>
      <w:pPr>
        <w:pStyle w:val="BodyText"/>
        <w:spacing w:before="70"/>
        <w:ind w:left="117" w:right="107"/>
        <w:jc w:val="both"/>
      </w:pPr>
      <w:r>
        <w:rPr/>
        <w:t>ejercicio 2011 en materia de asistencia social, infraestructura y equipamiento respectivamente; evitando así la duplicidad de programas y acciones</w:t>
      </w:r>
      <w:r>
        <w:rPr>
          <w:position w:val="8"/>
          <w:sz w:val="13"/>
        </w:rPr>
        <w:t>156</w:t>
      </w:r>
      <w:r>
        <w:rPr/>
        <w:t>.</w:t>
      </w:r>
    </w:p>
    <w:p>
      <w:pPr>
        <w:pStyle w:val="BodyText"/>
        <w:spacing w:before="6"/>
        <w:rPr>
          <w:sz w:val="22"/>
        </w:rPr>
      </w:pPr>
    </w:p>
    <w:p>
      <w:pPr>
        <w:pStyle w:val="BodyText"/>
        <w:spacing w:line="235" w:lineRule="auto"/>
        <w:ind w:left="117" w:right="106"/>
        <w:jc w:val="both"/>
      </w:pPr>
      <w:r>
        <w:rPr/>
        <w:t>Más allá de la Coordinación General de la Política Social, el esquema de coordinación</w:t>
      </w:r>
      <w:r>
        <w:rPr>
          <w:spacing w:val="-5"/>
        </w:rPr>
        <w:t> </w:t>
      </w:r>
      <w:r>
        <w:rPr/>
        <w:t>que</w:t>
      </w:r>
      <w:r>
        <w:rPr>
          <w:spacing w:val="-4"/>
        </w:rPr>
        <w:t> </w:t>
      </w:r>
      <w:r>
        <w:rPr/>
        <w:t>más</w:t>
      </w:r>
      <w:r>
        <w:rPr>
          <w:spacing w:val="-4"/>
        </w:rPr>
        <w:t> </w:t>
      </w:r>
      <w:r>
        <w:rPr/>
        <w:t>se</w:t>
      </w:r>
      <w:r>
        <w:rPr>
          <w:spacing w:val="-4"/>
        </w:rPr>
        <w:t> </w:t>
      </w:r>
      <w:r>
        <w:rPr/>
        <w:t>repite</w:t>
      </w:r>
      <w:r>
        <w:rPr>
          <w:spacing w:val="-4"/>
        </w:rPr>
        <w:t> </w:t>
      </w:r>
      <w:r>
        <w:rPr/>
        <w:t>en</w:t>
      </w:r>
      <w:r>
        <w:rPr>
          <w:spacing w:val="-4"/>
        </w:rPr>
        <w:t> </w:t>
      </w:r>
      <w:r>
        <w:rPr/>
        <w:t>el</w:t>
      </w:r>
      <w:r>
        <w:rPr>
          <w:spacing w:val="-4"/>
        </w:rPr>
        <w:t> </w:t>
      </w:r>
      <w:r>
        <w:rPr/>
        <w:t>gobierno</w:t>
      </w:r>
      <w:r>
        <w:rPr>
          <w:spacing w:val="-4"/>
        </w:rPr>
        <w:t> </w:t>
      </w:r>
      <w:r>
        <w:rPr/>
        <w:t>hidalguense</w:t>
      </w:r>
      <w:r>
        <w:rPr>
          <w:spacing w:val="-4"/>
        </w:rPr>
        <w:t> </w:t>
      </w:r>
      <w:r>
        <w:rPr/>
        <w:t>es</w:t>
      </w:r>
      <w:r>
        <w:rPr>
          <w:spacing w:val="-4"/>
        </w:rPr>
        <w:t> </w:t>
      </w:r>
      <w:r>
        <w:rPr/>
        <w:t>aquel</w:t>
      </w:r>
      <w:r>
        <w:rPr>
          <w:spacing w:val="-4"/>
        </w:rPr>
        <w:t> </w:t>
      </w:r>
      <w:r>
        <w:rPr/>
        <w:t>en</w:t>
      </w:r>
      <w:r>
        <w:rPr>
          <w:spacing w:val="-4"/>
        </w:rPr>
        <w:t> </w:t>
      </w:r>
      <w:r>
        <w:rPr/>
        <w:t>el</w:t>
      </w:r>
      <w:r>
        <w:rPr>
          <w:spacing w:val="-4"/>
        </w:rPr>
        <w:t> </w:t>
      </w:r>
      <w:r>
        <w:rPr/>
        <w:t>cual una dependencia convoca a otras para que participen en la implementación de sus estrategias y programas. Se considera que el caso más completo es    el que ha diseñado el Instituto Hidalguense de las Mujeres, pues contempla lo que ellos denominan mecanismos de adelanto de acuerdo a la siguiente clasificación:</w:t>
      </w:r>
      <w:r>
        <w:rPr>
          <w:spacing w:val="-15"/>
        </w:rPr>
        <w:t> </w:t>
      </w:r>
      <w:r>
        <w:rPr/>
        <w:t>a)</w:t>
      </w:r>
      <w:r>
        <w:rPr>
          <w:spacing w:val="-15"/>
        </w:rPr>
        <w:t> </w:t>
      </w:r>
      <w:r>
        <w:rPr/>
        <w:t>subcomité</w:t>
      </w:r>
      <w:r>
        <w:rPr>
          <w:spacing w:val="-15"/>
        </w:rPr>
        <w:t> </w:t>
      </w:r>
      <w:r>
        <w:rPr/>
        <w:t>de</w:t>
      </w:r>
      <w:r>
        <w:rPr>
          <w:spacing w:val="-15"/>
        </w:rPr>
        <w:t> </w:t>
      </w:r>
      <w:r>
        <w:rPr/>
        <w:t>equidad</w:t>
      </w:r>
      <w:r>
        <w:rPr>
          <w:spacing w:val="-15"/>
        </w:rPr>
        <w:t> </w:t>
      </w:r>
      <w:r>
        <w:rPr/>
        <w:t>y</w:t>
      </w:r>
      <w:r>
        <w:rPr>
          <w:spacing w:val="-15"/>
        </w:rPr>
        <w:t> </w:t>
      </w:r>
      <w:r>
        <w:rPr/>
        <w:t>género</w:t>
      </w:r>
      <w:r>
        <w:rPr>
          <w:spacing w:val="-15"/>
        </w:rPr>
        <w:t> </w:t>
      </w:r>
      <w:r>
        <w:rPr/>
        <w:t>del</w:t>
      </w:r>
      <w:r>
        <w:rPr>
          <w:spacing w:val="-15"/>
        </w:rPr>
        <w:t> </w:t>
      </w:r>
      <w:r>
        <w:rPr/>
        <w:t>Comité</w:t>
      </w:r>
      <w:r>
        <w:rPr>
          <w:spacing w:val="-15"/>
        </w:rPr>
        <w:t> </w:t>
      </w:r>
      <w:r>
        <w:rPr/>
        <w:t>de</w:t>
      </w:r>
      <w:r>
        <w:rPr>
          <w:spacing w:val="-15"/>
        </w:rPr>
        <w:t> </w:t>
      </w:r>
      <w:r>
        <w:rPr/>
        <w:t>Planeación</w:t>
      </w:r>
      <w:r>
        <w:rPr>
          <w:spacing w:val="-15"/>
        </w:rPr>
        <w:t> </w:t>
      </w:r>
      <w:r>
        <w:rPr/>
        <w:t>para el Desarrollo del Estado de Hidalgo (COPLADEHI), el cual involucra a las secretarías estatales, institutos estatales, poder judicial del estado, Congreso Estatal, organizaciones no gubernamentales, representantes de la academia, delegaciones federales y representantes de partidos políticos; b) programa estatal de igualdad; c) sistema estatal para la atención, sanción y</w:t>
      </w:r>
      <w:r>
        <w:rPr>
          <w:spacing w:val="-32"/>
        </w:rPr>
        <w:t> </w:t>
      </w:r>
      <w:r>
        <w:rPr/>
        <w:t>erradicación de la violencia contra las mujeres</w:t>
      </w:r>
      <w:r>
        <w:rPr>
          <w:position w:val="8"/>
          <w:sz w:val="13"/>
        </w:rPr>
        <w:t>157</w:t>
      </w:r>
      <w:r>
        <w:rPr/>
        <w:t>; que a su vez incluye representantes de  la secretaría de gobierno, la Secretaría de Desarrollo Social, la Secretaría de Salud,</w:t>
      </w:r>
      <w:r>
        <w:rPr>
          <w:spacing w:val="-16"/>
        </w:rPr>
        <w:t> </w:t>
      </w:r>
      <w:r>
        <w:rPr/>
        <w:t>la</w:t>
      </w:r>
      <w:r>
        <w:rPr>
          <w:spacing w:val="-16"/>
        </w:rPr>
        <w:t> </w:t>
      </w:r>
      <w:r>
        <w:rPr/>
        <w:t>Secretaría</w:t>
      </w:r>
      <w:r>
        <w:rPr>
          <w:spacing w:val="-16"/>
        </w:rPr>
        <w:t> </w:t>
      </w:r>
      <w:r>
        <w:rPr/>
        <w:t>de</w:t>
      </w:r>
      <w:r>
        <w:rPr>
          <w:spacing w:val="-16"/>
        </w:rPr>
        <w:t> </w:t>
      </w:r>
      <w:r>
        <w:rPr/>
        <w:t>Educación,</w:t>
      </w:r>
      <w:r>
        <w:rPr>
          <w:spacing w:val="-17"/>
        </w:rPr>
        <w:t> </w:t>
      </w:r>
      <w:r>
        <w:rPr/>
        <w:t>la</w:t>
      </w:r>
      <w:r>
        <w:rPr>
          <w:spacing w:val="-16"/>
        </w:rPr>
        <w:t> </w:t>
      </w:r>
      <w:r>
        <w:rPr/>
        <w:t>Secretaría</w:t>
      </w:r>
      <w:r>
        <w:rPr>
          <w:spacing w:val="-16"/>
        </w:rPr>
        <w:t> </w:t>
      </w:r>
      <w:r>
        <w:rPr/>
        <w:t>de</w:t>
      </w:r>
      <w:r>
        <w:rPr>
          <w:spacing w:val="-16"/>
        </w:rPr>
        <w:t> </w:t>
      </w:r>
      <w:r>
        <w:rPr/>
        <w:t>Seguridad</w:t>
      </w:r>
      <w:r>
        <w:rPr>
          <w:spacing w:val="-16"/>
        </w:rPr>
        <w:t> </w:t>
      </w:r>
      <w:r>
        <w:rPr/>
        <w:t>Pública,</w:t>
      </w:r>
      <w:r>
        <w:rPr>
          <w:spacing w:val="-16"/>
        </w:rPr>
        <w:t> </w:t>
      </w:r>
      <w:r>
        <w:rPr/>
        <w:t>el</w:t>
      </w:r>
      <w:r>
        <w:rPr>
          <w:spacing w:val="-16"/>
        </w:rPr>
        <w:t> </w:t>
      </w:r>
      <w:r>
        <w:rPr/>
        <w:t>poder judicial del estado, los tribunales estatales, el Congreso Estatal y la</w:t>
      </w:r>
      <w:r>
        <w:rPr>
          <w:spacing w:val="-32"/>
        </w:rPr>
        <w:t> </w:t>
      </w:r>
      <w:r>
        <w:rPr/>
        <w:t>Comisión Estatal de Derechos Humanos; d) las sesenta y cinco instancias municipales de las mujeres; e) las unidades institucionales de género, entre las que se encuentran las de la Secretaría de Educación, la Secretaría de Agricultura,   la Secretaría de la Contraloría, la Secretaría de Finanzas, la Secretaría de Desarrollo Social, la Secretaría de Turismo, la Secretaría de Economía y la Secretaría de Salud; y f) redes sociales comunitarias e</w:t>
      </w:r>
      <w:r>
        <w:rPr>
          <w:spacing w:val="-18"/>
        </w:rPr>
        <w:t> </w:t>
      </w:r>
      <w:r>
        <w:rPr/>
        <w:t>institucionales</w:t>
      </w:r>
      <w:r>
        <w:rPr>
          <w:position w:val="8"/>
          <w:sz w:val="13"/>
        </w:rPr>
        <w:t>158</w:t>
      </w:r>
      <w:r>
        <w:rPr/>
        <w:t>.</w:t>
      </w:r>
    </w:p>
    <w:p>
      <w:pPr>
        <w:pStyle w:val="BodyText"/>
        <w:spacing w:before="10"/>
        <w:rPr>
          <w:sz w:val="22"/>
        </w:rPr>
      </w:pPr>
    </w:p>
    <w:p>
      <w:pPr>
        <w:pStyle w:val="BodyText"/>
        <w:spacing w:line="260" w:lineRule="exact"/>
        <w:ind w:left="117" w:right="107"/>
        <w:jc w:val="both"/>
      </w:pPr>
      <w:r>
        <w:rPr/>
        <w:pict>
          <v:line style="position:absolute;mso-position-horizontal-relative:page;mso-position-vertical-relative:paragraph;z-index:2920;mso-wrap-distance-left:0;mso-wrap-distance-right:0" from="70.866096pt,124.361092pt" to="142.866096pt,124.361092pt" stroked="true" strokeweight="1pt" strokecolor="#000000">
            <w10:wrap type="topAndBottom"/>
          </v:line>
        </w:pict>
      </w:r>
      <w:r>
        <w:rPr/>
        <w:t>Un caso menos completo, aunque de mayor dinamismo en virtud del activismo político de la primera dama del estado, se centra en el Sistema Estatal para el Desarrollo Integral de la Familia (DIF), el cual, en acciones específicas,</w:t>
      </w:r>
      <w:r>
        <w:rPr>
          <w:spacing w:val="-10"/>
        </w:rPr>
        <w:t> </w:t>
      </w:r>
      <w:r>
        <w:rPr/>
        <w:t>establecen</w:t>
      </w:r>
      <w:r>
        <w:rPr>
          <w:spacing w:val="-10"/>
        </w:rPr>
        <w:t> </w:t>
      </w:r>
      <w:r>
        <w:rPr/>
        <w:t>convenios</w:t>
      </w:r>
      <w:r>
        <w:rPr>
          <w:spacing w:val="-10"/>
        </w:rPr>
        <w:t> </w:t>
      </w:r>
      <w:r>
        <w:rPr/>
        <w:t>de</w:t>
      </w:r>
      <w:r>
        <w:rPr>
          <w:spacing w:val="-10"/>
        </w:rPr>
        <w:t> </w:t>
      </w:r>
      <w:r>
        <w:rPr/>
        <w:t>colaboración</w:t>
      </w:r>
      <w:r>
        <w:rPr>
          <w:spacing w:val="-10"/>
        </w:rPr>
        <w:t> </w:t>
      </w:r>
      <w:r>
        <w:rPr/>
        <w:t>con</w:t>
      </w:r>
      <w:r>
        <w:rPr>
          <w:spacing w:val="-10"/>
        </w:rPr>
        <w:t> </w:t>
      </w:r>
      <w:r>
        <w:rPr/>
        <w:t>las</w:t>
      </w:r>
      <w:r>
        <w:rPr>
          <w:spacing w:val="-10"/>
        </w:rPr>
        <w:t> </w:t>
      </w:r>
      <w:r>
        <w:rPr/>
        <w:t>secretarías</w:t>
      </w:r>
      <w:r>
        <w:rPr>
          <w:spacing w:val="-10"/>
        </w:rPr>
        <w:t> </w:t>
      </w:r>
      <w:r>
        <w:rPr/>
        <w:t>estatales para el desarrollo de sus principales líneas de acción: la alimentaria y la      de salud. La tendencia fue iniciada durante la administración estatal 1999- 2005 con el establecimiento del Consejo Estatal Alimentario y Nutricional, mismo que en el sexenio 2005-2011 pasó a ser coordinado por el sector  salud</w:t>
      </w:r>
      <w:r>
        <w:rPr>
          <w:spacing w:val="29"/>
        </w:rPr>
        <w:t> </w:t>
      </w:r>
      <w:r>
        <w:rPr/>
        <w:t>estatal,</w:t>
      </w:r>
      <w:r>
        <w:rPr>
          <w:spacing w:val="28"/>
        </w:rPr>
        <w:t> </w:t>
      </w:r>
      <w:r>
        <w:rPr/>
        <w:t>quedando</w:t>
      </w:r>
      <w:r>
        <w:rPr>
          <w:spacing w:val="29"/>
        </w:rPr>
        <w:t> </w:t>
      </w:r>
      <w:r>
        <w:rPr/>
        <w:t>como</w:t>
      </w:r>
      <w:r>
        <w:rPr>
          <w:spacing w:val="29"/>
        </w:rPr>
        <w:t> </w:t>
      </w:r>
      <w:r>
        <w:rPr/>
        <w:t>integrantes</w:t>
      </w:r>
      <w:r>
        <w:rPr>
          <w:spacing w:val="28"/>
        </w:rPr>
        <w:t> </w:t>
      </w:r>
      <w:r>
        <w:rPr/>
        <w:t>honorarios</w:t>
      </w:r>
      <w:r>
        <w:rPr>
          <w:spacing w:val="29"/>
        </w:rPr>
        <w:t> </w:t>
      </w:r>
      <w:r>
        <w:rPr/>
        <w:t>la</w:t>
      </w:r>
      <w:r>
        <w:rPr>
          <w:spacing w:val="29"/>
        </w:rPr>
        <w:t> </w:t>
      </w:r>
      <w:r>
        <w:rPr/>
        <w:t>presidenta</w:t>
      </w:r>
      <w:r>
        <w:rPr>
          <w:spacing w:val="29"/>
        </w:rPr>
        <w:t> </w:t>
      </w:r>
      <w:r>
        <w:rPr/>
        <w:t>del</w:t>
      </w:r>
      <w:r>
        <w:rPr>
          <w:spacing w:val="29"/>
        </w:rPr>
        <w:t> </w:t>
      </w:r>
      <w:r>
        <w:rPr/>
        <w:t>DIF</w:t>
      </w:r>
    </w:p>
    <w:p>
      <w:pPr>
        <w:spacing w:line="194" w:lineRule="exact" w:before="0"/>
        <w:ind w:left="117" w:right="0" w:firstLine="0"/>
        <w:jc w:val="both"/>
        <w:rPr>
          <w:i/>
          <w:sz w:val="18"/>
        </w:rPr>
      </w:pPr>
      <w:r>
        <w:rPr>
          <w:w w:val="105"/>
          <w:position w:val="7"/>
          <w:sz w:val="11"/>
        </w:rPr>
        <w:t>156  </w:t>
      </w:r>
      <w:r>
        <w:rPr>
          <w:i/>
          <w:w w:val="105"/>
          <w:sz w:val="18"/>
        </w:rPr>
        <w:t>Ibídem.</w:t>
      </w:r>
    </w:p>
    <w:p>
      <w:pPr>
        <w:spacing w:line="200" w:lineRule="exact" w:before="7"/>
        <w:ind w:left="400" w:right="0" w:hanging="284"/>
        <w:jc w:val="left"/>
        <w:rPr>
          <w:sz w:val="18"/>
        </w:rPr>
      </w:pPr>
      <w:r>
        <w:rPr>
          <w:position w:val="7"/>
          <w:sz w:val="11"/>
        </w:rPr>
        <w:t>157 </w:t>
      </w:r>
      <w:r>
        <w:rPr>
          <w:sz w:val="18"/>
        </w:rPr>
        <w:t>El marco normativo correspondiente es la ley de acceso de las mujeres a una vida libre de violencia, cuyo reglamento está en proceso de elaboración.</w:t>
      </w:r>
    </w:p>
    <w:p>
      <w:pPr>
        <w:spacing w:line="200" w:lineRule="exact" w:before="0"/>
        <w:ind w:left="400" w:right="0" w:hanging="284"/>
        <w:jc w:val="left"/>
        <w:rPr>
          <w:sz w:val="18"/>
        </w:rPr>
      </w:pPr>
      <w:r>
        <w:rPr>
          <w:position w:val="7"/>
          <w:sz w:val="11"/>
        </w:rPr>
        <w:t>158 </w:t>
      </w:r>
      <w:r>
        <w:rPr>
          <w:sz w:val="18"/>
        </w:rPr>
        <w:t>Información proporcionada para esta investigación en entrevista con la directora del Instituto Hidalguense de las Mujeres, 14 de octubre del 2010.</w:t>
      </w:r>
    </w:p>
    <w:p>
      <w:pPr>
        <w:spacing w:after="0" w:line="200" w:lineRule="exact"/>
        <w:jc w:val="left"/>
        <w:rPr>
          <w:sz w:val="18"/>
        </w:rPr>
        <w:sectPr>
          <w:pgSz w:w="9360" w:h="13040"/>
          <w:pgMar w:header="531" w:footer="515" w:top="940" w:bottom="700" w:left="1300" w:right="740"/>
        </w:sectPr>
      </w:pPr>
    </w:p>
    <w:p>
      <w:pPr>
        <w:pStyle w:val="BodyText"/>
        <w:rPr>
          <w:sz w:val="20"/>
        </w:rPr>
      </w:pPr>
    </w:p>
    <w:p>
      <w:pPr>
        <w:pStyle w:val="BodyText"/>
        <w:spacing w:before="1"/>
        <w:rPr>
          <w:sz w:val="29"/>
        </w:rPr>
      </w:pPr>
    </w:p>
    <w:p>
      <w:pPr>
        <w:pStyle w:val="BodyText"/>
        <w:spacing w:line="235" w:lineRule="auto" w:before="75"/>
        <w:ind w:left="110" w:right="114"/>
        <w:jc w:val="both"/>
      </w:pPr>
      <w:r>
        <w:rPr/>
        <w:t>y el mismo gobernador del estado</w:t>
      </w:r>
      <w:r>
        <w:rPr>
          <w:position w:val="8"/>
          <w:sz w:val="13"/>
        </w:rPr>
        <w:t>159</w:t>
      </w:r>
      <w:r>
        <w:rPr/>
        <w:t>. Durante el ejercicio 2010, el principal programa alimentario de diseño estatal involucraba ya personal operativo de todas las secretarías estatales a manera de promotores. Las jornadas médicas representan otra línea de acción en la cual iniciaron interacciones operativas el sector salud y el DIF estatales a partir del sexenio 2005-2011</w:t>
      </w:r>
      <w:r>
        <w:rPr>
          <w:position w:val="8"/>
          <w:sz w:val="13"/>
        </w:rPr>
        <w:t>160</w:t>
      </w:r>
      <w:r>
        <w:rPr/>
        <w:t>.</w:t>
      </w:r>
    </w:p>
    <w:p>
      <w:pPr>
        <w:pStyle w:val="BodyText"/>
        <w:spacing w:before="7"/>
        <w:rPr>
          <w:sz w:val="22"/>
        </w:rPr>
      </w:pPr>
    </w:p>
    <w:p>
      <w:pPr>
        <w:pStyle w:val="BodyText"/>
        <w:spacing w:line="235" w:lineRule="auto" w:before="1"/>
        <w:ind w:left="110" w:right="114"/>
        <w:jc w:val="both"/>
      </w:pPr>
      <w:r>
        <w:rPr/>
        <w:t>Otros casos reflejan una actividad muy moderada. La Secretaría de Salud cuenta</w:t>
      </w:r>
      <w:r>
        <w:rPr>
          <w:spacing w:val="-11"/>
        </w:rPr>
        <w:t> </w:t>
      </w:r>
      <w:r>
        <w:rPr/>
        <w:t>con</w:t>
      </w:r>
      <w:r>
        <w:rPr>
          <w:spacing w:val="-11"/>
        </w:rPr>
        <w:t> </w:t>
      </w:r>
      <w:r>
        <w:rPr/>
        <w:t>un</w:t>
      </w:r>
      <w:r>
        <w:rPr>
          <w:spacing w:val="-11"/>
        </w:rPr>
        <w:t> </w:t>
      </w:r>
      <w:r>
        <w:rPr/>
        <w:t>subcomité</w:t>
      </w:r>
      <w:r>
        <w:rPr>
          <w:spacing w:val="-10"/>
        </w:rPr>
        <w:t> </w:t>
      </w:r>
      <w:r>
        <w:rPr/>
        <w:t>de</w:t>
      </w:r>
      <w:r>
        <w:rPr>
          <w:spacing w:val="-11"/>
        </w:rPr>
        <w:t> </w:t>
      </w:r>
      <w:r>
        <w:rPr/>
        <w:t>planeación</w:t>
      </w:r>
      <w:r>
        <w:rPr>
          <w:spacing w:val="-11"/>
        </w:rPr>
        <w:t> </w:t>
      </w:r>
      <w:r>
        <w:rPr/>
        <w:t>del</w:t>
      </w:r>
      <w:r>
        <w:rPr>
          <w:spacing w:val="-11"/>
        </w:rPr>
        <w:t> </w:t>
      </w:r>
      <w:r>
        <w:rPr/>
        <w:t>sector</w:t>
      </w:r>
      <w:r>
        <w:rPr>
          <w:spacing w:val="-10"/>
        </w:rPr>
        <w:t> </w:t>
      </w:r>
      <w:r>
        <w:rPr/>
        <w:t>salud,</w:t>
      </w:r>
      <w:r>
        <w:rPr>
          <w:spacing w:val="-10"/>
        </w:rPr>
        <w:t> </w:t>
      </w:r>
      <w:r>
        <w:rPr/>
        <w:t>el</w:t>
      </w:r>
      <w:r>
        <w:rPr>
          <w:spacing w:val="-11"/>
        </w:rPr>
        <w:t> </w:t>
      </w:r>
      <w:r>
        <w:rPr/>
        <w:t>cual</w:t>
      </w:r>
      <w:r>
        <w:rPr>
          <w:spacing w:val="-11"/>
        </w:rPr>
        <w:t> </w:t>
      </w:r>
      <w:r>
        <w:rPr/>
        <w:t>sesiona</w:t>
      </w:r>
      <w:r>
        <w:rPr>
          <w:spacing w:val="-10"/>
        </w:rPr>
        <w:t> </w:t>
      </w:r>
      <w:r>
        <w:rPr/>
        <w:t>cuatro veces al año, lo coordinan el gobernador del estado y el secretario de</w:t>
      </w:r>
      <w:r>
        <w:rPr>
          <w:spacing w:val="-40"/>
        </w:rPr>
        <w:t> </w:t>
      </w:r>
      <w:r>
        <w:rPr/>
        <w:t>salud, y convoca a todas las instancias de salud tanto públicas como privadas. Según la expresión de uno de sus integrantes, su agenda se compone de </w:t>
      </w:r>
      <w:r>
        <w:rPr>
          <w:i/>
        </w:rPr>
        <w:t>asuntos que </w:t>
      </w:r>
      <w:r>
        <w:rPr>
          <w:i/>
        </w:rPr>
        <w:t>van saliendo</w:t>
      </w:r>
      <w:r>
        <w:rPr/>
        <w:t>. A manera de ejemplo, en las sesiones próximas a octubre del 2010</w:t>
      </w:r>
      <w:r>
        <w:rPr>
          <w:spacing w:val="-12"/>
        </w:rPr>
        <w:t> </w:t>
      </w:r>
      <w:r>
        <w:rPr/>
        <w:t>se</w:t>
      </w:r>
      <w:r>
        <w:rPr>
          <w:spacing w:val="-12"/>
        </w:rPr>
        <w:t> </w:t>
      </w:r>
      <w:r>
        <w:rPr/>
        <w:t>había</w:t>
      </w:r>
      <w:r>
        <w:rPr>
          <w:spacing w:val="-11"/>
        </w:rPr>
        <w:t> </w:t>
      </w:r>
      <w:r>
        <w:rPr/>
        <w:t>estado</w:t>
      </w:r>
      <w:r>
        <w:rPr>
          <w:spacing w:val="-12"/>
        </w:rPr>
        <w:t> </w:t>
      </w:r>
      <w:r>
        <w:rPr/>
        <w:t>exponiendo</w:t>
      </w:r>
      <w:r>
        <w:rPr>
          <w:spacing w:val="-12"/>
        </w:rPr>
        <w:t> </w:t>
      </w:r>
      <w:r>
        <w:rPr/>
        <w:t>el</w:t>
      </w:r>
      <w:r>
        <w:rPr>
          <w:spacing w:val="-12"/>
        </w:rPr>
        <w:t> </w:t>
      </w:r>
      <w:r>
        <w:rPr/>
        <w:t>plan</w:t>
      </w:r>
      <w:r>
        <w:rPr>
          <w:spacing w:val="-12"/>
        </w:rPr>
        <w:t> </w:t>
      </w:r>
      <w:r>
        <w:rPr/>
        <w:t>maestro</w:t>
      </w:r>
      <w:r>
        <w:rPr>
          <w:spacing w:val="-12"/>
        </w:rPr>
        <w:t> </w:t>
      </w:r>
      <w:r>
        <w:rPr/>
        <w:t>de</w:t>
      </w:r>
      <w:r>
        <w:rPr>
          <w:spacing w:val="-12"/>
        </w:rPr>
        <w:t> </w:t>
      </w:r>
      <w:r>
        <w:rPr/>
        <w:t>infraestructura</w:t>
      </w:r>
      <w:r>
        <w:rPr>
          <w:spacing w:val="-13"/>
        </w:rPr>
        <w:t> </w:t>
      </w:r>
      <w:r>
        <w:rPr/>
        <w:t>con</w:t>
      </w:r>
      <w:r>
        <w:rPr>
          <w:spacing w:val="-12"/>
        </w:rPr>
        <w:t> </w:t>
      </w:r>
      <w:r>
        <w:rPr/>
        <w:t>objeto de coordinar la construcción de edificios de salud en el estado, en una sesión anterior</w:t>
      </w:r>
      <w:r>
        <w:rPr>
          <w:spacing w:val="-9"/>
        </w:rPr>
        <w:t> </w:t>
      </w:r>
      <w:r>
        <w:rPr/>
        <w:t>a</w:t>
      </w:r>
      <w:r>
        <w:rPr>
          <w:spacing w:val="-8"/>
        </w:rPr>
        <w:t> </w:t>
      </w:r>
      <w:r>
        <w:rPr/>
        <w:t>esa</w:t>
      </w:r>
      <w:r>
        <w:rPr>
          <w:spacing w:val="-8"/>
        </w:rPr>
        <w:t> </w:t>
      </w:r>
      <w:r>
        <w:rPr/>
        <w:t>época</w:t>
      </w:r>
      <w:r>
        <w:rPr>
          <w:spacing w:val="-9"/>
        </w:rPr>
        <w:t> </w:t>
      </w:r>
      <w:r>
        <w:rPr/>
        <w:t>se</w:t>
      </w:r>
      <w:r>
        <w:rPr>
          <w:spacing w:val="-8"/>
        </w:rPr>
        <w:t> </w:t>
      </w:r>
      <w:r>
        <w:rPr/>
        <w:t>dio</w:t>
      </w:r>
      <w:r>
        <w:rPr>
          <w:spacing w:val="-8"/>
        </w:rPr>
        <w:t> </w:t>
      </w:r>
      <w:r>
        <w:rPr/>
        <w:t>una</w:t>
      </w:r>
      <w:r>
        <w:rPr>
          <w:spacing w:val="-8"/>
        </w:rPr>
        <w:t> </w:t>
      </w:r>
      <w:r>
        <w:rPr/>
        <w:t>plática</w:t>
      </w:r>
      <w:r>
        <w:rPr>
          <w:spacing w:val="-8"/>
        </w:rPr>
        <w:t> </w:t>
      </w:r>
      <w:r>
        <w:rPr/>
        <w:t>informativa</w:t>
      </w:r>
      <w:r>
        <w:rPr>
          <w:spacing w:val="-9"/>
        </w:rPr>
        <w:t> </w:t>
      </w:r>
      <w:r>
        <w:rPr/>
        <w:t>sobre</w:t>
      </w:r>
      <w:r>
        <w:rPr>
          <w:spacing w:val="-8"/>
        </w:rPr>
        <w:t> </w:t>
      </w:r>
      <w:r>
        <w:rPr/>
        <w:t>seguro</w:t>
      </w:r>
      <w:r>
        <w:rPr>
          <w:spacing w:val="-8"/>
        </w:rPr>
        <w:t> </w:t>
      </w:r>
      <w:r>
        <w:rPr/>
        <w:t>popular</w:t>
      </w:r>
      <w:r>
        <w:rPr>
          <w:position w:val="8"/>
          <w:sz w:val="13"/>
        </w:rPr>
        <w:t>161</w:t>
      </w:r>
      <w:r>
        <w:rPr/>
        <w:t>.</w:t>
      </w:r>
      <w:r>
        <w:rPr>
          <w:spacing w:val="-8"/>
        </w:rPr>
        <w:t> </w:t>
      </w:r>
      <w:r>
        <w:rPr/>
        <w:t>En materia de atención a adultos en plenitud, la estrategia estatal contempla el funcionamiento</w:t>
      </w:r>
      <w:r>
        <w:rPr>
          <w:spacing w:val="-9"/>
        </w:rPr>
        <w:t> </w:t>
      </w:r>
      <w:r>
        <w:rPr/>
        <w:t>de</w:t>
      </w:r>
      <w:r>
        <w:rPr>
          <w:spacing w:val="-9"/>
        </w:rPr>
        <w:t> </w:t>
      </w:r>
      <w:r>
        <w:rPr/>
        <w:t>un</w:t>
      </w:r>
      <w:r>
        <w:rPr>
          <w:spacing w:val="-9"/>
        </w:rPr>
        <w:t> </w:t>
      </w:r>
      <w:r>
        <w:rPr/>
        <w:t>comité</w:t>
      </w:r>
      <w:r>
        <w:rPr>
          <w:spacing w:val="-9"/>
        </w:rPr>
        <w:t> </w:t>
      </w:r>
      <w:r>
        <w:rPr/>
        <w:t>especial</w:t>
      </w:r>
      <w:r>
        <w:rPr>
          <w:spacing w:val="-9"/>
        </w:rPr>
        <w:t> </w:t>
      </w:r>
      <w:r>
        <w:rPr/>
        <w:t>de</w:t>
      </w:r>
      <w:r>
        <w:rPr>
          <w:spacing w:val="-9"/>
        </w:rPr>
        <w:t> </w:t>
      </w:r>
      <w:r>
        <w:rPr/>
        <w:t>adultos</w:t>
      </w:r>
      <w:r>
        <w:rPr>
          <w:spacing w:val="-9"/>
        </w:rPr>
        <w:t> </w:t>
      </w:r>
      <w:r>
        <w:rPr/>
        <w:t>mayores,</w:t>
      </w:r>
      <w:r>
        <w:rPr>
          <w:spacing w:val="-9"/>
        </w:rPr>
        <w:t> </w:t>
      </w:r>
      <w:r>
        <w:rPr/>
        <w:t>el</w:t>
      </w:r>
      <w:r>
        <w:rPr>
          <w:spacing w:val="-9"/>
        </w:rPr>
        <w:t> </w:t>
      </w:r>
      <w:r>
        <w:rPr/>
        <w:t>cual</w:t>
      </w:r>
      <w:r>
        <w:rPr>
          <w:spacing w:val="-9"/>
        </w:rPr>
        <w:t> </w:t>
      </w:r>
      <w:r>
        <w:rPr/>
        <w:t>sesionó</w:t>
      </w:r>
      <w:r>
        <w:rPr>
          <w:spacing w:val="-8"/>
        </w:rPr>
        <w:t> </w:t>
      </w:r>
      <w:r>
        <w:rPr/>
        <w:t>dos veces durante el sexenio 2005-2011, la primera de ellas para su instalación y la segunda para convenir con el DIF estatal la delimitación de sus funciones, haciendo nuevamente evidente la duplicidad programática. Al respecto, cabe señalar que en el sector salud existe otro comité de adultos mayores, cuya misión se inscribe dentro de la especialidad</w:t>
      </w:r>
      <w:r>
        <w:rPr>
          <w:spacing w:val="1"/>
        </w:rPr>
        <w:t> </w:t>
      </w:r>
      <w:r>
        <w:rPr/>
        <w:t>geriátrica</w:t>
      </w:r>
      <w:r>
        <w:rPr>
          <w:position w:val="8"/>
          <w:sz w:val="13"/>
        </w:rPr>
        <w:t>162</w:t>
      </w:r>
      <w:r>
        <w:rPr/>
        <w:t>.</w:t>
      </w:r>
    </w:p>
    <w:p>
      <w:pPr>
        <w:pStyle w:val="BodyText"/>
        <w:spacing w:before="7"/>
        <w:rPr>
          <w:sz w:val="22"/>
        </w:rPr>
      </w:pPr>
    </w:p>
    <w:p>
      <w:pPr>
        <w:pStyle w:val="BodyText"/>
        <w:spacing w:line="235" w:lineRule="auto" w:before="1"/>
        <w:ind w:left="110" w:right="115"/>
        <w:jc w:val="both"/>
      </w:pPr>
      <w:r>
        <w:rPr/>
        <w:t>Una tercera tendencia de asociación se refiere a la participación voluntaria  de algunas dependencias estatales en ámbitos intergubernamentales especializados</w:t>
      </w:r>
      <w:r>
        <w:rPr>
          <w:spacing w:val="-14"/>
        </w:rPr>
        <w:t> </w:t>
      </w:r>
      <w:r>
        <w:rPr/>
        <w:t>para</w:t>
      </w:r>
      <w:r>
        <w:rPr>
          <w:spacing w:val="-13"/>
        </w:rPr>
        <w:t> </w:t>
      </w:r>
      <w:r>
        <w:rPr/>
        <w:t>cierto</w:t>
      </w:r>
      <w:r>
        <w:rPr>
          <w:spacing w:val="-13"/>
        </w:rPr>
        <w:t> </w:t>
      </w:r>
      <w:r>
        <w:rPr/>
        <w:t>tipo</w:t>
      </w:r>
      <w:r>
        <w:rPr>
          <w:spacing w:val="-13"/>
        </w:rPr>
        <w:t> </w:t>
      </w:r>
      <w:r>
        <w:rPr/>
        <w:t>de</w:t>
      </w:r>
      <w:r>
        <w:rPr>
          <w:spacing w:val="-13"/>
        </w:rPr>
        <w:t> </w:t>
      </w:r>
      <w:r>
        <w:rPr/>
        <w:t>política</w:t>
      </w:r>
      <w:r>
        <w:rPr>
          <w:spacing w:val="-13"/>
        </w:rPr>
        <w:t> </w:t>
      </w:r>
      <w:r>
        <w:rPr/>
        <w:t>social.</w:t>
      </w:r>
      <w:r>
        <w:rPr>
          <w:spacing w:val="-12"/>
        </w:rPr>
        <w:t> </w:t>
      </w:r>
      <w:r>
        <w:rPr/>
        <w:t>Como</w:t>
      </w:r>
      <w:r>
        <w:rPr>
          <w:spacing w:val="-13"/>
        </w:rPr>
        <w:t> </w:t>
      </w:r>
      <w:r>
        <w:rPr/>
        <w:t>caso</w:t>
      </w:r>
      <w:r>
        <w:rPr>
          <w:spacing w:val="-13"/>
        </w:rPr>
        <w:t> </w:t>
      </w:r>
      <w:r>
        <w:rPr/>
        <w:t>más</w:t>
      </w:r>
      <w:r>
        <w:rPr>
          <w:spacing w:val="-13"/>
        </w:rPr>
        <w:t> </w:t>
      </w:r>
      <w:r>
        <w:rPr/>
        <w:t>destacado,</w:t>
      </w:r>
      <w:r>
        <w:rPr>
          <w:spacing w:val="-13"/>
        </w:rPr>
        <w:t> </w:t>
      </w:r>
      <w:r>
        <w:rPr/>
        <w:t>la Junta</w:t>
      </w:r>
      <w:r>
        <w:rPr>
          <w:spacing w:val="-9"/>
        </w:rPr>
        <w:t> </w:t>
      </w:r>
      <w:r>
        <w:rPr/>
        <w:t>General</w:t>
      </w:r>
      <w:r>
        <w:rPr>
          <w:spacing w:val="-8"/>
        </w:rPr>
        <w:t> </w:t>
      </w:r>
      <w:r>
        <w:rPr/>
        <w:t>de</w:t>
      </w:r>
      <w:r>
        <w:rPr>
          <w:spacing w:val="-22"/>
        </w:rPr>
        <w:t> </w:t>
      </w:r>
      <w:r>
        <w:rPr/>
        <w:t>Asistencia</w:t>
      </w:r>
      <w:r>
        <w:rPr>
          <w:spacing w:val="-8"/>
        </w:rPr>
        <w:t> </w:t>
      </w:r>
      <w:r>
        <w:rPr/>
        <w:t>Privada</w:t>
      </w:r>
      <w:r>
        <w:rPr>
          <w:spacing w:val="-9"/>
        </w:rPr>
        <w:t> </w:t>
      </w:r>
      <w:r>
        <w:rPr/>
        <w:t>del</w:t>
      </w:r>
      <w:r>
        <w:rPr>
          <w:spacing w:val="-9"/>
        </w:rPr>
        <w:t> </w:t>
      </w:r>
      <w:r>
        <w:rPr/>
        <w:t>Estado</w:t>
      </w:r>
      <w:r>
        <w:rPr>
          <w:spacing w:val="-9"/>
        </w:rPr>
        <w:t> </w:t>
      </w:r>
      <w:r>
        <w:rPr/>
        <w:t>de</w:t>
      </w:r>
      <w:r>
        <w:rPr>
          <w:spacing w:val="-9"/>
        </w:rPr>
        <w:t> </w:t>
      </w:r>
      <w:r>
        <w:rPr/>
        <w:t>Hidalgo</w:t>
      </w:r>
      <w:r>
        <w:rPr>
          <w:spacing w:val="-8"/>
        </w:rPr>
        <w:t> </w:t>
      </w:r>
      <w:r>
        <w:rPr/>
        <w:t>(JGAPEH)</w:t>
      </w:r>
      <w:r>
        <w:rPr>
          <w:spacing w:val="-9"/>
        </w:rPr>
        <w:t> </w:t>
      </w:r>
      <w:r>
        <w:rPr/>
        <w:t>realiza actividades al interior de la </w:t>
      </w:r>
      <w:r>
        <w:rPr>
          <w:i/>
        </w:rPr>
        <w:t>coordinación nacional de juntas de asistencia </w:t>
      </w:r>
      <w:r>
        <w:rPr>
          <w:i/>
        </w:rPr>
        <w:t>privada y organismos análogos</w:t>
      </w:r>
      <w:r>
        <w:rPr/>
        <w:t>, organización que agrupa a las juntas de quince estados fuera del liderazgo federal, pues su presidencia tiene una duración bianual y queda a cargo de los mismos representantes   </w:t>
      </w:r>
      <w:r>
        <w:rPr>
          <w:spacing w:val="26"/>
        </w:rPr>
        <w:t> </w:t>
      </w:r>
      <w:r>
        <w:rPr/>
        <w:t>estatales</w:t>
      </w:r>
      <w:r>
        <w:rPr>
          <w:position w:val="8"/>
          <w:sz w:val="13"/>
        </w:rPr>
        <w:t>163</w:t>
      </w:r>
      <w:r>
        <w:rPr/>
        <w:t>.</w:t>
      </w:r>
    </w:p>
    <w:p>
      <w:pPr>
        <w:pStyle w:val="BodyText"/>
        <w:spacing w:before="9"/>
        <w:rPr>
          <w:sz w:val="12"/>
        </w:rPr>
      </w:pPr>
      <w:r>
        <w:rPr/>
        <w:pict>
          <v:line style="position:absolute;mso-position-horizontal-relative:page;mso-position-vertical-relative:paragraph;z-index:2944;mso-wrap-distance-left:0;mso-wrap-distance-right:0" from="42.519699pt,9.824795pt" to="114.519699pt,9.824795pt" stroked="true" strokeweight="1pt" strokecolor="#000000">
            <w10:wrap type="topAndBottom"/>
          </v:line>
        </w:pict>
      </w:r>
    </w:p>
    <w:p>
      <w:pPr>
        <w:spacing w:line="200" w:lineRule="exact" w:before="1"/>
        <w:ind w:left="393" w:right="115" w:hanging="284"/>
        <w:jc w:val="both"/>
        <w:rPr>
          <w:sz w:val="18"/>
        </w:rPr>
      </w:pPr>
      <w:r>
        <w:rPr>
          <w:position w:val="7"/>
          <w:sz w:val="11"/>
        </w:rPr>
        <w:t>159 </w:t>
      </w:r>
      <w:r>
        <w:rPr>
          <w:sz w:val="18"/>
        </w:rPr>
        <w:t>Información proporcionada para esta investigación por la subdirectora de planeación institucional</w:t>
      </w:r>
      <w:r>
        <w:rPr>
          <w:spacing w:val="-8"/>
          <w:sz w:val="18"/>
        </w:rPr>
        <w:t> </w:t>
      </w:r>
      <w:r>
        <w:rPr>
          <w:sz w:val="18"/>
        </w:rPr>
        <w:t>del</w:t>
      </w:r>
      <w:r>
        <w:rPr>
          <w:spacing w:val="-7"/>
          <w:sz w:val="18"/>
        </w:rPr>
        <w:t> </w:t>
      </w:r>
      <w:r>
        <w:rPr>
          <w:sz w:val="18"/>
        </w:rPr>
        <w:t>Sistema</w:t>
      </w:r>
      <w:r>
        <w:rPr>
          <w:spacing w:val="-7"/>
          <w:sz w:val="18"/>
        </w:rPr>
        <w:t> </w:t>
      </w:r>
      <w:r>
        <w:rPr>
          <w:sz w:val="18"/>
        </w:rPr>
        <w:t>Estatal</w:t>
      </w:r>
      <w:r>
        <w:rPr>
          <w:spacing w:val="-8"/>
          <w:sz w:val="18"/>
        </w:rPr>
        <w:t> </w:t>
      </w:r>
      <w:r>
        <w:rPr>
          <w:sz w:val="18"/>
        </w:rPr>
        <w:t>para</w:t>
      </w:r>
      <w:r>
        <w:rPr>
          <w:spacing w:val="-7"/>
          <w:sz w:val="18"/>
        </w:rPr>
        <w:t> </w:t>
      </w:r>
      <w:r>
        <w:rPr>
          <w:sz w:val="18"/>
        </w:rPr>
        <w:t>el</w:t>
      </w:r>
      <w:r>
        <w:rPr>
          <w:spacing w:val="-8"/>
          <w:sz w:val="18"/>
        </w:rPr>
        <w:t> </w:t>
      </w:r>
      <w:r>
        <w:rPr>
          <w:sz w:val="18"/>
        </w:rPr>
        <w:t>Desarrollo</w:t>
      </w:r>
      <w:r>
        <w:rPr>
          <w:spacing w:val="-7"/>
          <w:sz w:val="18"/>
        </w:rPr>
        <w:t> </w:t>
      </w:r>
      <w:r>
        <w:rPr>
          <w:sz w:val="18"/>
        </w:rPr>
        <w:t>Integral</w:t>
      </w:r>
      <w:r>
        <w:rPr>
          <w:spacing w:val="-7"/>
          <w:sz w:val="18"/>
        </w:rPr>
        <w:t> </w:t>
      </w:r>
      <w:r>
        <w:rPr>
          <w:sz w:val="18"/>
        </w:rPr>
        <w:t>de</w:t>
      </w:r>
      <w:r>
        <w:rPr>
          <w:spacing w:val="-7"/>
          <w:sz w:val="18"/>
        </w:rPr>
        <w:t> </w:t>
      </w:r>
      <w:r>
        <w:rPr>
          <w:sz w:val="18"/>
        </w:rPr>
        <w:t>la</w:t>
      </w:r>
      <w:r>
        <w:rPr>
          <w:spacing w:val="-8"/>
          <w:sz w:val="18"/>
        </w:rPr>
        <w:t> </w:t>
      </w:r>
      <w:r>
        <w:rPr>
          <w:sz w:val="18"/>
        </w:rPr>
        <w:t>Familia</w:t>
      </w:r>
      <w:r>
        <w:rPr>
          <w:spacing w:val="-7"/>
          <w:sz w:val="18"/>
        </w:rPr>
        <w:t> </w:t>
      </w:r>
      <w:r>
        <w:rPr>
          <w:sz w:val="18"/>
        </w:rPr>
        <w:t>(DIF),</w:t>
      </w:r>
      <w:r>
        <w:rPr>
          <w:spacing w:val="-7"/>
          <w:sz w:val="18"/>
        </w:rPr>
        <w:t> </w:t>
      </w:r>
      <w:r>
        <w:rPr>
          <w:sz w:val="18"/>
        </w:rPr>
        <w:t>13</w:t>
      </w:r>
      <w:r>
        <w:rPr>
          <w:spacing w:val="-8"/>
          <w:sz w:val="18"/>
        </w:rPr>
        <w:t> </w:t>
      </w:r>
      <w:r>
        <w:rPr>
          <w:sz w:val="18"/>
        </w:rPr>
        <w:t>de</w:t>
      </w:r>
      <w:r>
        <w:rPr>
          <w:spacing w:val="-7"/>
          <w:sz w:val="18"/>
        </w:rPr>
        <w:t> </w:t>
      </w:r>
      <w:r>
        <w:rPr>
          <w:sz w:val="18"/>
        </w:rPr>
        <w:t>enero</w:t>
      </w:r>
      <w:r>
        <w:rPr>
          <w:spacing w:val="-8"/>
          <w:sz w:val="18"/>
        </w:rPr>
        <w:t> </w:t>
      </w:r>
      <w:r>
        <w:rPr>
          <w:sz w:val="18"/>
        </w:rPr>
        <w:t>del 2011.</w:t>
      </w:r>
    </w:p>
    <w:p>
      <w:pPr>
        <w:spacing w:line="193" w:lineRule="exact" w:before="0"/>
        <w:ind w:left="110" w:right="0" w:firstLine="0"/>
        <w:jc w:val="left"/>
        <w:rPr>
          <w:i/>
          <w:sz w:val="18"/>
        </w:rPr>
      </w:pPr>
      <w:r>
        <w:rPr>
          <w:w w:val="105"/>
          <w:position w:val="7"/>
          <w:sz w:val="11"/>
        </w:rPr>
        <w:t>160  </w:t>
      </w:r>
      <w:r>
        <w:rPr>
          <w:i/>
          <w:w w:val="105"/>
          <w:sz w:val="18"/>
        </w:rPr>
        <w:t>Ibídem.</w:t>
      </w:r>
    </w:p>
    <w:p>
      <w:pPr>
        <w:spacing w:line="200" w:lineRule="exact" w:before="7"/>
        <w:ind w:left="393" w:right="115" w:hanging="284"/>
        <w:jc w:val="both"/>
        <w:rPr>
          <w:sz w:val="18"/>
        </w:rPr>
      </w:pPr>
      <w:r>
        <w:rPr>
          <w:position w:val="7"/>
          <w:sz w:val="11"/>
        </w:rPr>
        <w:t>161 </w:t>
      </w:r>
      <w:r>
        <w:rPr>
          <w:sz w:val="18"/>
        </w:rPr>
        <w:t>Información proporcionada para esta investigación por el director de planeación del sector salud estatal, 18 de octubre del</w:t>
      </w:r>
      <w:r>
        <w:rPr>
          <w:spacing w:val="-5"/>
          <w:sz w:val="18"/>
        </w:rPr>
        <w:t> </w:t>
      </w:r>
      <w:r>
        <w:rPr>
          <w:sz w:val="18"/>
        </w:rPr>
        <w:t>2010.</w:t>
      </w:r>
    </w:p>
    <w:p>
      <w:pPr>
        <w:spacing w:line="200" w:lineRule="exact" w:before="0"/>
        <w:ind w:left="393" w:right="115" w:hanging="284"/>
        <w:jc w:val="both"/>
        <w:rPr>
          <w:sz w:val="18"/>
        </w:rPr>
      </w:pPr>
      <w:r>
        <w:rPr>
          <w:position w:val="7"/>
          <w:sz w:val="11"/>
        </w:rPr>
        <w:t>162 </w:t>
      </w:r>
      <w:r>
        <w:rPr>
          <w:sz w:val="18"/>
        </w:rPr>
        <w:t>Información proporcionada para esta investigación en entrevista con personal del instituto para la atención de los adultos mayores, 10 de noviembre del 2010.</w:t>
      </w:r>
    </w:p>
    <w:p>
      <w:pPr>
        <w:spacing w:line="200" w:lineRule="exact" w:before="0"/>
        <w:ind w:left="393" w:right="115" w:hanging="284"/>
        <w:jc w:val="both"/>
        <w:rPr>
          <w:sz w:val="18"/>
        </w:rPr>
      </w:pPr>
      <w:r>
        <w:rPr>
          <w:position w:val="7"/>
          <w:sz w:val="11"/>
        </w:rPr>
        <w:t>163 </w:t>
      </w:r>
      <w:r>
        <w:rPr>
          <w:sz w:val="18"/>
        </w:rPr>
        <w:t>Información proporcionada para esta investigación por el coordinador de la Junta General de Asistencia Privada del Estado de Hidalgo (JGAPEH), 19 de enero del 2011.</w:t>
      </w:r>
    </w:p>
    <w:p>
      <w:pPr>
        <w:spacing w:after="0" w:line="200" w:lineRule="exact"/>
        <w:jc w:val="both"/>
        <w:rPr>
          <w:sz w:val="18"/>
        </w:rPr>
        <w:sectPr>
          <w:pgSz w:w="9360" w:h="13040"/>
          <w:pgMar w:header="547" w:footer="515" w:top="720" w:bottom="700" w:left="740" w:right="1300"/>
        </w:sectPr>
      </w:pPr>
    </w:p>
    <w:p>
      <w:pPr>
        <w:pStyle w:val="BodyText"/>
        <w:spacing w:before="11"/>
        <w:rPr>
          <w:sz w:val="29"/>
        </w:rPr>
      </w:pPr>
    </w:p>
    <w:p>
      <w:pPr>
        <w:pStyle w:val="BodyText"/>
        <w:spacing w:line="260" w:lineRule="exact" w:before="77"/>
        <w:ind w:left="117" w:right="109"/>
        <w:jc w:val="both"/>
      </w:pPr>
      <w:r>
        <w:rPr/>
        <w:t>En general, en ninguno de los tres tipos de asociación estratégica aludidos se noto la existencia de evaluación en el sentido subsidiario.</w:t>
      </w:r>
    </w:p>
    <w:p>
      <w:pPr>
        <w:pStyle w:val="BodyText"/>
        <w:rPr>
          <w:sz w:val="22"/>
        </w:rPr>
      </w:pPr>
    </w:p>
    <w:p>
      <w:pPr>
        <w:pStyle w:val="Heading3"/>
      </w:pPr>
      <w:r>
        <w:rPr/>
        <w:t>El Instituto para la Atención de los Adultos Mayores (IAAM).</w:t>
      </w:r>
    </w:p>
    <w:p>
      <w:pPr>
        <w:pStyle w:val="BodyText"/>
        <w:spacing w:before="6"/>
        <w:rPr>
          <w:b/>
          <w:sz w:val="22"/>
        </w:rPr>
      </w:pPr>
    </w:p>
    <w:p>
      <w:pPr>
        <w:pStyle w:val="BodyText"/>
        <w:spacing w:line="235" w:lineRule="auto" w:before="1"/>
        <w:ind w:left="117" w:right="107"/>
        <w:jc w:val="both"/>
      </w:pPr>
      <w:r>
        <w:rPr/>
        <w:t>Este órgano desconcentrado actualmente no ejerce programas federales descentralizados. En el pasado reciente, durante los años 2003 y 2004, se ejecutaron</w:t>
      </w:r>
      <w:r>
        <w:rPr>
          <w:spacing w:val="-5"/>
        </w:rPr>
        <w:t> </w:t>
      </w:r>
      <w:r>
        <w:rPr/>
        <w:t>recursos</w:t>
      </w:r>
      <w:r>
        <w:rPr>
          <w:spacing w:val="-5"/>
        </w:rPr>
        <w:t> </w:t>
      </w:r>
      <w:r>
        <w:rPr/>
        <w:t>federales</w:t>
      </w:r>
      <w:r>
        <w:rPr>
          <w:spacing w:val="-5"/>
        </w:rPr>
        <w:t> </w:t>
      </w:r>
      <w:r>
        <w:rPr/>
        <w:t>para</w:t>
      </w:r>
      <w:r>
        <w:rPr>
          <w:spacing w:val="-5"/>
        </w:rPr>
        <w:t> </w:t>
      </w:r>
      <w:r>
        <w:rPr/>
        <w:t>aplicarse</w:t>
      </w:r>
      <w:r>
        <w:rPr>
          <w:spacing w:val="-5"/>
        </w:rPr>
        <w:t> </w:t>
      </w:r>
      <w:r>
        <w:rPr/>
        <w:t>en</w:t>
      </w:r>
      <w:r>
        <w:rPr>
          <w:spacing w:val="-5"/>
        </w:rPr>
        <w:t> </w:t>
      </w:r>
      <w:r>
        <w:rPr/>
        <w:t>un</w:t>
      </w:r>
      <w:r>
        <w:rPr>
          <w:spacing w:val="-5"/>
        </w:rPr>
        <w:t> </w:t>
      </w:r>
      <w:r>
        <w:rPr>
          <w:i/>
        </w:rPr>
        <w:t>programa</w:t>
      </w:r>
      <w:r>
        <w:rPr>
          <w:i/>
          <w:spacing w:val="-5"/>
        </w:rPr>
        <w:t> </w:t>
      </w:r>
      <w:r>
        <w:rPr>
          <w:i/>
        </w:rPr>
        <w:t>de</w:t>
      </w:r>
      <w:r>
        <w:rPr>
          <w:i/>
          <w:spacing w:val="-5"/>
        </w:rPr>
        <w:t> </w:t>
      </w:r>
      <w:r>
        <w:rPr>
          <w:i/>
        </w:rPr>
        <w:t>estímulos</w:t>
      </w:r>
      <w:r>
        <w:rPr>
          <w:i/>
          <w:spacing w:val="-5"/>
        </w:rPr>
        <w:t> </w:t>
      </w:r>
      <w:r>
        <w:rPr/>
        <w:t>que benefició a seiscientos adultos mayores, el cual consistió en habilitar talleres (carpintería,</w:t>
      </w:r>
      <w:r>
        <w:rPr>
          <w:spacing w:val="-30"/>
        </w:rPr>
        <w:t> </w:t>
      </w:r>
      <w:r>
        <w:rPr/>
        <w:t>panadería,</w:t>
      </w:r>
      <w:r>
        <w:rPr>
          <w:spacing w:val="-30"/>
        </w:rPr>
        <w:t> </w:t>
      </w:r>
      <w:r>
        <w:rPr/>
        <w:t>curtidos</w:t>
      </w:r>
      <w:r>
        <w:rPr>
          <w:spacing w:val="-30"/>
        </w:rPr>
        <w:t> </w:t>
      </w:r>
      <w:r>
        <w:rPr/>
        <w:t>de</w:t>
      </w:r>
      <w:r>
        <w:rPr>
          <w:spacing w:val="-30"/>
        </w:rPr>
        <w:t> </w:t>
      </w:r>
      <w:r>
        <w:rPr/>
        <w:t>piel,</w:t>
      </w:r>
      <w:r>
        <w:rPr>
          <w:spacing w:val="-30"/>
        </w:rPr>
        <w:t> </w:t>
      </w:r>
      <w:r>
        <w:rPr/>
        <w:t>tallado</w:t>
      </w:r>
      <w:r>
        <w:rPr>
          <w:spacing w:val="-31"/>
        </w:rPr>
        <w:t> </w:t>
      </w:r>
      <w:r>
        <w:rPr/>
        <w:t>de</w:t>
      </w:r>
      <w:r>
        <w:rPr>
          <w:spacing w:val="-30"/>
        </w:rPr>
        <w:t> </w:t>
      </w:r>
      <w:r>
        <w:rPr/>
        <w:t>madera,</w:t>
      </w:r>
      <w:r>
        <w:rPr>
          <w:spacing w:val="-30"/>
        </w:rPr>
        <w:t> </w:t>
      </w:r>
      <w:r>
        <w:rPr>
          <w:spacing w:val="4"/>
        </w:rPr>
        <w:t>ycorteyconfección) </w:t>
      </w:r>
      <w:r>
        <w:rPr/>
        <w:t>que</w:t>
      </w:r>
      <w:r>
        <w:rPr>
          <w:spacing w:val="-10"/>
        </w:rPr>
        <w:t> </w:t>
      </w:r>
      <w:r>
        <w:rPr/>
        <w:t>además</w:t>
      </w:r>
      <w:r>
        <w:rPr>
          <w:spacing w:val="-10"/>
        </w:rPr>
        <w:t> </w:t>
      </w:r>
      <w:r>
        <w:rPr/>
        <w:t>contaban</w:t>
      </w:r>
      <w:r>
        <w:rPr>
          <w:spacing w:val="-10"/>
        </w:rPr>
        <w:t> </w:t>
      </w:r>
      <w:r>
        <w:rPr/>
        <w:t>con</w:t>
      </w:r>
      <w:r>
        <w:rPr>
          <w:spacing w:val="-10"/>
        </w:rPr>
        <w:t> </w:t>
      </w:r>
      <w:r>
        <w:rPr/>
        <w:t>atención</w:t>
      </w:r>
      <w:r>
        <w:rPr>
          <w:spacing w:val="-10"/>
        </w:rPr>
        <w:t> </w:t>
      </w:r>
      <w:r>
        <w:rPr/>
        <w:t>médica</w:t>
      </w:r>
      <w:r>
        <w:rPr>
          <w:spacing w:val="-10"/>
        </w:rPr>
        <w:t> </w:t>
      </w:r>
      <w:r>
        <w:rPr/>
        <w:t>y</w:t>
      </w:r>
      <w:r>
        <w:rPr>
          <w:spacing w:val="-10"/>
        </w:rPr>
        <w:t> </w:t>
      </w:r>
      <w:r>
        <w:rPr/>
        <w:t>odontológica.</w:t>
      </w:r>
      <w:r>
        <w:rPr>
          <w:spacing w:val="-22"/>
        </w:rPr>
        <w:t> </w:t>
      </w:r>
      <w:r>
        <w:rPr/>
        <w:t>A</w:t>
      </w:r>
      <w:r>
        <w:rPr>
          <w:spacing w:val="-22"/>
        </w:rPr>
        <w:t> </w:t>
      </w:r>
      <w:r>
        <w:rPr/>
        <w:t>los</w:t>
      </w:r>
      <w:r>
        <w:rPr>
          <w:spacing w:val="-10"/>
        </w:rPr>
        <w:t> </w:t>
      </w:r>
      <w:r>
        <w:rPr/>
        <w:t>beneficiarios se les pagaba ochocientos pesos mensuales durante su capacitación y al final se les otorgaba equipo para que pudieran emprender un negocio propio. La inversión en el programa durante el año 2003 fue de diez millones de pesos, en 2004 se redujo a cuatro millones de pesos en virtud de que se eliminaron los</w:t>
      </w:r>
      <w:r>
        <w:rPr>
          <w:spacing w:val="-6"/>
        </w:rPr>
        <w:t> </w:t>
      </w:r>
      <w:r>
        <w:rPr/>
        <w:t>incentivos</w:t>
      </w:r>
      <w:r>
        <w:rPr>
          <w:spacing w:val="-6"/>
        </w:rPr>
        <w:t> </w:t>
      </w:r>
      <w:r>
        <w:rPr/>
        <w:t>y</w:t>
      </w:r>
      <w:r>
        <w:rPr>
          <w:spacing w:val="-6"/>
        </w:rPr>
        <w:t> </w:t>
      </w:r>
      <w:r>
        <w:rPr/>
        <w:t>la</w:t>
      </w:r>
      <w:r>
        <w:rPr>
          <w:spacing w:val="-6"/>
        </w:rPr>
        <w:t> </w:t>
      </w:r>
      <w:r>
        <w:rPr/>
        <w:t>entrega</w:t>
      </w:r>
      <w:r>
        <w:rPr>
          <w:spacing w:val="-6"/>
        </w:rPr>
        <w:t> </w:t>
      </w:r>
      <w:r>
        <w:rPr/>
        <w:t>final</w:t>
      </w:r>
      <w:r>
        <w:rPr>
          <w:spacing w:val="-6"/>
        </w:rPr>
        <w:t> </w:t>
      </w:r>
      <w:r>
        <w:rPr/>
        <w:t>de</w:t>
      </w:r>
      <w:r>
        <w:rPr>
          <w:spacing w:val="-6"/>
        </w:rPr>
        <w:t> </w:t>
      </w:r>
      <w:r>
        <w:rPr/>
        <w:t>equipo.</w:t>
      </w:r>
      <w:r>
        <w:rPr>
          <w:spacing w:val="-6"/>
        </w:rPr>
        <w:t> </w:t>
      </w:r>
      <w:r>
        <w:rPr/>
        <w:t>El</w:t>
      </w:r>
      <w:r>
        <w:rPr>
          <w:spacing w:val="-6"/>
        </w:rPr>
        <w:t> </w:t>
      </w:r>
      <w:r>
        <w:rPr/>
        <w:t>programa</w:t>
      </w:r>
      <w:r>
        <w:rPr>
          <w:spacing w:val="-6"/>
        </w:rPr>
        <w:t> </w:t>
      </w:r>
      <w:r>
        <w:rPr/>
        <w:t>incluyó</w:t>
      </w:r>
      <w:r>
        <w:rPr>
          <w:spacing w:val="-6"/>
        </w:rPr>
        <w:t> </w:t>
      </w:r>
      <w:r>
        <w:rPr/>
        <w:t>la</w:t>
      </w:r>
      <w:r>
        <w:rPr>
          <w:spacing w:val="-6"/>
        </w:rPr>
        <w:t> </w:t>
      </w:r>
      <w:r>
        <w:rPr/>
        <w:t>apertura</w:t>
      </w:r>
      <w:r>
        <w:rPr>
          <w:spacing w:val="-6"/>
        </w:rPr>
        <w:t> </w:t>
      </w:r>
      <w:r>
        <w:rPr/>
        <w:t>de talleres</w:t>
      </w:r>
      <w:r>
        <w:rPr>
          <w:spacing w:val="-6"/>
        </w:rPr>
        <w:t> </w:t>
      </w:r>
      <w:r>
        <w:rPr/>
        <w:t>en</w:t>
      </w:r>
      <w:r>
        <w:rPr>
          <w:spacing w:val="-18"/>
        </w:rPr>
        <w:t> </w:t>
      </w:r>
      <w:r>
        <w:rPr/>
        <w:t>Actopan,</w:t>
      </w:r>
      <w:r>
        <w:rPr>
          <w:spacing w:val="-5"/>
        </w:rPr>
        <w:t> </w:t>
      </w:r>
      <w:r>
        <w:rPr/>
        <w:t>Pachuca,</w:t>
      </w:r>
      <w:r>
        <w:rPr>
          <w:spacing w:val="-17"/>
        </w:rPr>
        <w:t> </w:t>
      </w:r>
      <w:r>
        <w:rPr/>
        <w:t>Atitalaquia,</w:t>
      </w:r>
      <w:r>
        <w:rPr>
          <w:spacing w:val="-9"/>
        </w:rPr>
        <w:t> </w:t>
      </w:r>
      <w:r>
        <w:rPr/>
        <w:t>Tula,</w:t>
      </w:r>
      <w:r>
        <w:rPr>
          <w:spacing w:val="-10"/>
        </w:rPr>
        <w:t> </w:t>
      </w:r>
      <w:r>
        <w:rPr/>
        <w:t>Tlahuelilpan</w:t>
      </w:r>
      <w:r>
        <w:rPr>
          <w:spacing w:val="-6"/>
        </w:rPr>
        <w:t> </w:t>
      </w:r>
      <w:r>
        <w:rPr/>
        <w:t>y</w:t>
      </w:r>
      <w:r>
        <w:rPr>
          <w:spacing w:val="-10"/>
        </w:rPr>
        <w:t> </w:t>
      </w:r>
      <w:r>
        <w:rPr/>
        <w:t>Tulancingo</w:t>
      </w:r>
      <w:r>
        <w:rPr>
          <w:position w:val="8"/>
          <w:sz w:val="13"/>
        </w:rPr>
        <w:t>164</w:t>
      </w:r>
      <w:r>
        <w:rPr/>
        <w:t>.</w:t>
      </w:r>
    </w:p>
    <w:p>
      <w:pPr>
        <w:pStyle w:val="BodyText"/>
        <w:spacing w:before="7"/>
        <w:rPr>
          <w:sz w:val="22"/>
        </w:rPr>
      </w:pPr>
    </w:p>
    <w:p>
      <w:pPr>
        <w:pStyle w:val="BodyText"/>
        <w:spacing w:line="235" w:lineRule="auto" w:before="1"/>
        <w:ind w:left="117" w:right="107"/>
        <w:jc w:val="both"/>
      </w:pPr>
      <w:r>
        <w:rPr/>
        <w:t>A</w:t>
      </w:r>
      <w:r>
        <w:rPr>
          <w:spacing w:val="-42"/>
        </w:rPr>
        <w:t> </w:t>
      </w:r>
      <w:r>
        <w:rPr/>
        <w:t>cambio de no ejercer esquemas federales descentralizados, el Instituto para la Atención de los Adultos Mayores ejecutó en 2010 veintitrés esquemas de diseño propio, de los cuales, nueve fueron acciones de capacidades (39.13% del total de acciones, cinco de capacidades directas y cuatro de capacidades indirectas), una de oportunidades de ingreso (4.34% del total de acciones), ninguna</w:t>
      </w:r>
      <w:r>
        <w:rPr>
          <w:spacing w:val="-6"/>
        </w:rPr>
        <w:t> </w:t>
      </w:r>
      <w:r>
        <w:rPr/>
        <w:t>de</w:t>
      </w:r>
      <w:r>
        <w:rPr>
          <w:spacing w:val="-6"/>
        </w:rPr>
        <w:t> </w:t>
      </w:r>
      <w:r>
        <w:rPr/>
        <w:t>patrimonio,</w:t>
      </w:r>
      <w:r>
        <w:rPr>
          <w:spacing w:val="-6"/>
        </w:rPr>
        <w:t> </w:t>
      </w:r>
      <w:r>
        <w:rPr/>
        <w:t>y</w:t>
      </w:r>
      <w:r>
        <w:rPr>
          <w:spacing w:val="-6"/>
        </w:rPr>
        <w:t> </w:t>
      </w:r>
      <w:r>
        <w:rPr/>
        <w:t>trece</w:t>
      </w:r>
      <w:r>
        <w:rPr>
          <w:spacing w:val="-7"/>
        </w:rPr>
        <w:t> </w:t>
      </w:r>
      <w:r>
        <w:rPr/>
        <w:t>de</w:t>
      </w:r>
      <w:r>
        <w:rPr>
          <w:spacing w:val="-6"/>
        </w:rPr>
        <w:t> </w:t>
      </w:r>
      <w:r>
        <w:rPr/>
        <w:t>asistencia</w:t>
      </w:r>
      <w:r>
        <w:rPr>
          <w:spacing w:val="-7"/>
        </w:rPr>
        <w:t> </w:t>
      </w:r>
      <w:r>
        <w:rPr/>
        <w:t>(56.52%</w:t>
      </w:r>
      <w:r>
        <w:rPr>
          <w:spacing w:val="-6"/>
        </w:rPr>
        <w:t> </w:t>
      </w:r>
      <w:r>
        <w:rPr/>
        <w:t>del</w:t>
      </w:r>
      <w:r>
        <w:rPr>
          <w:spacing w:val="-6"/>
        </w:rPr>
        <w:t> </w:t>
      </w:r>
      <w:r>
        <w:rPr/>
        <w:t>total</w:t>
      </w:r>
      <w:r>
        <w:rPr>
          <w:spacing w:val="-7"/>
        </w:rPr>
        <w:t> </w:t>
      </w:r>
      <w:r>
        <w:rPr/>
        <w:t>de</w:t>
      </w:r>
      <w:r>
        <w:rPr>
          <w:spacing w:val="-6"/>
        </w:rPr>
        <w:t> </w:t>
      </w:r>
      <w:r>
        <w:rPr/>
        <w:t>acciones)</w:t>
      </w:r>
      <w:r>
        <w:rPr>
          <w:position w:val="8"/>
          <w:sz w:val="13"/>
        </w:rPr>
        <w:t>165</w:t>
      </w:r>
      <w:r>
        <w:rPr/>
        <w:t>.</w:t>
      </w:r>
    </w:p>
    <w:p>
      <w:pPr>
        <w:pStyle w:val="BodyText"/>
        <w:spacing w:before="10"/>
        <w:rPr>
          <w:sz w:val="22"/>
        </w:rPr>
      </w:pPr>
    </w:p>
    <w:p>
      <w:pPr>
        <w:pStyle w:val="BodyText"/>
        <w:spacing w:line="260" w:lineRule="exact"/>
        <w:ind w:left="117" w:right="107"/>
        <w:jc w:val="both"/>
      </w:pPr>
      <w:r>
        <w:rPr/>
        <w:t>Las acciones de capacidades directas fueron: 1) </w:t>
      </w:r>
      <w:r>
        <w:rPr>
          <w:i/>
        </w:rPr>
        <w:t>envejecimiento activo</w:t>
      </w:r>
      <w:r>
        <w:rPr/>
        <w:t>, establece estrategias enmarcadas en la gerontología comunitaria para que los adultos mayores alcancen el máximo de salud, bienestar y calidad de vida en forma</w:t>
      </w:r>
      <w:r>
        <w:rPr>
          <w:spacing w:val="-14"/>
        </w:rPr>
        <w:t> </w:t>
      </w:r>
      <w:r>
        <w:rPr/>
        <w:t>acorde</w:t>
      </w:r>
      <w:r>
        <w:rPr>
          <w:spacing w:val="-14"/>
        </w:rPr>
        <w:t> </w:t>
      </w:r>
      <w:r>
        <w:rPr/>
        <w:t>a</w:t>
      </w:r>
      <w:r>
        <w:rPr>
          <w:spacing w:val="-14"/>
        </w:rPr>
        <w:t> </w:t>
      </w:r>
      <w:r>
        <w:rPr/>
        <w:t>su</w:t>
      </w:r>
      <w:r>
        <w:rPr>
          <w:spacing w:val="-14"/>
        </w:rPr>
        <w:t> </w:t>
      </w:r>
      <w:r>
        <w:rPr/>
        <w:t>contexto</w:t>
      </w:r>
      <w:r>
        <w:rPr>
          <w:spacing w:val="-15"/>
        </w:rPr>
        <w:t> </w:t>
      </w:r>
      <w:r>
        <w:rPr/>
        <w:t>sociocultural;</w:t>
      </w:r>
      <w:r>
        <w:rPr>
          <w:spacing w:val="-13"/>
        </w:rPr>
        <w:t> </w:t>
      </w:r>
      <w:r>
        <w:rPr/>
        <w:t>2)</w:t>
      </w:r>
      <w:r>
        <w:rPr>
          <w:spacing w:val="-14"/>
        </w:rPr>
        <w:t> </w:t>
      </w:r>
      <w:r>
        <w:rPr>
          <w:i/>
        </w:rPr>
        <w:t>terapia</w:t>
      </w:r>
      <w:r>
        <w:rPr>
          <w:i/>
          <w:spacing w:val="-15"/>
        </w:rPr>
        <w:t> </w:t>
      </w:r>
      <w:r>
        <w:rPr>
          <w:i/>
        </w:rPr>
        <w:t>ocupacional</w:t>
      </w:r>
      <w:r>
        <w:rPr/>
        <w:t>,</w:t>
      </w:r>
      <w:r>
        <w:rPr>
          <w:spacing w:val="-14"/>
        </w:rPr>
        <w:t> </w:t>
      </w:r>
      <w:r>
        <w:rPr/>
        <w:t>proporciona cursos-talleres</w:t>
      </w:r>
      <w:r>
        <w:rPr>
          <w:spacing w:val="-10"/>
        </w:rPr>
        <w:t> </w:t>
      </w:r>
      <w:r>
        <w:rPr/>
        <w:t>de</w:t>
      </w:r>
      <w:r>
        <w:rPr>
          <w:spacing w:val="-9"/>
        </w:rPr>
        <w:t> </w:t>
      </w:r>
      <w:r>
        <w:rPr/>
        <w:t>tres</w:t>
      </w:r>
      <w:r>
        <w:rPr>
          <w:spacing w:val="-9"/>
        </w:rPr>
        <w:t> </w:t>
      </w:r>
      <w:r>
        <w:rPr/>
        <w:t>meses</w:t>
      </w:r>
      <w:r>
        <w:rPr>
          <w:spacing w:val="-9"/>
        </w:rPr>
        <w:t> </w:t>
      </w:r>
      <w:r>
        <w:rPr/>
        <w:t>en</w:t>
      </w:r>
      <w:r>
        <w:rPr>
          <w:spacing w:val="-9"/>
        </w:rPr>
        <w:t> </w:t>
      </w:r>
      <w:r>
        <w:rPr/>
        <w:t>carpintería,</w:t>
      </w:r>
      <w:r>
        <w:rPr>
          <w:spacing w:val="-10"/>
        </w:rPr>
        <w:t> </w:t>
      </w:r>
      <w:r>
        <w:rPr/>
        <w:t>panes</w:t>
      </w:r>
      <w:r>
        <w:rPr>
          <w:spacing w:val="-9"/>
        </w:rPr>
        <w:t> </w:t>
      </w:r>
      <w:r>
        <w:rPr/>
        <w:t>y</w:t>
      </w:r>
      <w:r>
        <w:rPr>
          <w:spacing w:val="-9"/>
        </w:rPr>
        <w:t> </w:t>
      </w:r>
      <w:r>
        <w:rPr/>
        <w:t>pasteles,</w:t>
      </w:r>
      <w:r>
        <w:rPr>
          <w:spacing w:val="-9"/>
        </w:rPr>
        <w:t> </w:t>
      </w:r>
      <w:r>
        <w:rPr/>
        <w:t>bisutería,</w:t>
      </w:r>
      <w:r>
        <w:rPr>
          <w:spacing w:val="-9"/>
        </w:rPr>
        <w:t> </w:t>
      </w:r>
      <w:r>
        <w:rPr/>
        <w:t>tallado en madera, entre otros; 3) </w:t>
      </w:r>
      <w:r>
        <w:rPr>
          <w:i/>
        </w:rPr>
        <w:t>campaña permanente de prevención de</w:t>
      </w:r>
      <w:r>
        <w:rPr>
          <w:i/>
          <w:spacing w:val="-37"/>
        </w:rPr>
        <w:t> </w:t>
      </w:r>
      <w:r>
        <w:rPr>
          <w:i/>
        </w:rPr>
        <w:t>accidentes</w:t>
      </w:r>
      <w:r>
        <w:rPr/>
        <w:t>, cursos</w:t>
      </w:r>
      <w:r>
        <w:rPr>
          <w:spacing w:val="-16"/>
        </w:rPr>
        <w:t> </w:t>
      </w:r>
      <w:r>
        <w:rPr/>
        <w:t>y</w:t>
      </w:r>
      <w:r>
        <w:rPr>
          <w:spacing w:val="-16"/>
        </w:rPr>
        <w:t> </w:t>
      </w:r>
      <w:r>
        <w:rPr/>
        <w:t>talleres</w:t>
      </w:r>
      <w:r>
        <w:rPr>
          <w:spacing w:val="-16"/>
        </w:rPr>
        <w:t> </w:t>
      </w:r>
      <w:r>
        <w:rPr/>
        <w:t>que</w:t>
      </w:r>
      <w:r>
        <w:rPr>
          <w:spacing w:val="-16"/>
        </w:rPr>
        <w:t> </w:t>
      </w:r>
      <w:r>
        <w:rPr/>
        <w:t>orientan</w:t>
      </w:r>
      <w:r>
        <w:rPr>
          <w:spacing w:val="-16"/>
        </w:rPr>
        <w:t> </w:t>
      </w:r>
      <w:r>
        <w:rPr/>
        <w:t>a</w:t>
      </w:r>
      <w:r>
        <w:rPr>
          <w:spacing w:val="-16"/>
        </w:rPr>
        <w:t> </w:t>
      </w:r>
      <w:r>
        <w:rPr/>
        <w:t>los</w:t>
      </w:r>
      <w:r>
        <w:rPr>
          <w:spacing w:val="-16"/>
        </w:rPr>
        <w:t> </w:t>
      </w:r>
      <w:r>
        <w:rPr/>
        <w:t>adultos</w:t>
      </w:r>
      <w:r>
        <w:rPr>
          <w:spacing w:val="-16"/>
        </w:rPr>
        <w:t> </w:t>
      </w:r>
      <w:r>
        <w:rPr/>
        <w:t>mayores</w:t>
      </w:r>
      <w:r>
        <w:rPr>
          <w:spacing w:val="-16"/>
        </w:rPr>
        <w:t> </w:t>
      </w:r>
      <w:r>
        <w:rPr/>
        <w:t>acerca</w:t>
      </w:r>
      <w:r>
        <w:rPr>
          <w:spacing w:val="-16"/>
        </w:rPr>
        <w:t> </w:t>
      </w:r>
      <w:r>
        <w:rPr/>
        <w:t>del</w:t>
      </w:r>
      <w:r>
        <w:rPr>
          <w:spacing w:val="-16"/>
        </w:rPr>
        <w:t> </w:t>
      </w:r>
      <w:r>
        <w:rPr/>
        <w:t>riesgo</w:t>
      </w:r>
      <w:r>
        <w:rPr>
          <w:spacing w:val="-16"/>
        </w:rPr>
        <w:t> </w:t>
      </w:r>
      <w:r>
        <w:rPr/>
        <w:t>latente</w:t>
      </w:r>
      <w:r>
        <w:rPr>
          <w:spacing w:val="-16"/>
        </w:rPr>
        <w:t> </w:t>
      </w:r>
      <w:r>
        <w:rPr/>
        <w:t>de accidentes</w:t>
      </w:r>
      <w:r>
        <w:rPr>
          <w:spacing w:val="-10"/>
        </w:rPr>
        <w:t> </w:t>
      </w:r>
      <w:r>
        <w:rPr/>
        <w:t>a</w:t>
      </w:r>
      <w:r>
        <w:rPr>
          <w:spacing w:val="-9"/>
        </w:rPr>
        <w:t> </w:t>
      </w:r>
      <w:r>
        <w:rPr/>
        <w:t>los</w:t>
      </w:r>
      <w:r>
        <w:rPr>
          <w:spacing w:val="-10"/>
        </w:rPr>
        <w:t> </w:t>
      </w:r>
      <w:r>
        <w:rPr/>
        <w:t>que</w:t>
      </w:r>
      <w:r>
        <w:rPr>
          <w:spacing w:val="-9"/>
        </w:rPr>
        <w:t> </w:t>
      </w:r>
      <w:r>
        <w:rPr/>
        <w:t>están</w:t>
      </w:r>
      <w:r>
        <w:rPr>
          <w:spacing w:val="-10"/>
        </w:rPr>
        <w:t> </w:t>
      </w:r>
      <w:r>
        <w:rPr/>
        <w:t>expuestos;</w:t>
      </w:r>
      <w:r>
        <w:rPr>
          <w:spacing w:val="-10"/>
        </w:rPr>
        <w:t> </w:t>
      </w:r>
      <w:r>
        <w:rPr/>
        <w:t>4)</w:t>
      </w:r>
      <w:r>
        <w:rPr>
          <w:spacing w:val="-10"/>
        </w:rPr>
        <w:t> </w:t>
      </w:r>
      <w:r>
        <w:rPr>
          <w:i/>
        </w:rPr>
        <w:t>taller</w:t>
      </w:r>
      <w:r>
        <w:rPr>
          <w:i/>
          <w:spacing w:val="-10"/>
        </w:rPr>
        <w:t> </w:t>
      </w:r>
      <w:r>
        <w:rPr>
          <w:i/>
        </w:rPr>
        <w:t>de</w:t>
      </w:r>
      <w:r>
        <w:rPr>
          <w:i/>
          <w:spacing w:val="-9"/>
        </w:rPr>
        <w:t> </w:t>
      </w:r>
      <w:r>
        <w:rPr>
          <w:i/>
        </w:rPr>
        <w:t>expresión</w:t>
      </w:r>
      <w:r>
        <w:rPr>
          <w:i/>
          <w:spacing w:val="-10"/>
        </w:rPr>
        <w:t> </w:t>
      </w:r>
      <w:r>
        <w:rPr>
          <w:i/>
        </w:rPr>
        <w:t>artística</w:t>
      </w:r>
      <w:r>
        <w:rPr>
          <w:i/>
          <w:spacing w:val="-10"/>
        </w:rPr>
        <w:t> </w:t>
      </w:r>
      <w:r>
        <w:rPr>
          <w:i/>
        </w:rPr>
        <w:t>y</w:t>
      </w:r>
      <w:r>
        <w:rPr>
          <w:i/>
          <w:spacing w:val="-9"/>
        </w:rPr>
        <w:t> </w:t>
      </w:r>
      <w:r>
        <w:rPr>
          <w:i/>
        </w:rPr>
        <w:t>cultural </w:t>
      </w:r>
      <w:r>
        <w:rPr>
          <w:i/>
        </w:rPr>
        <w:t>papelnonos</w:t>
      </w:r>
      <w:r>
        <w:rPr/>
        <w:t>,</w:t>
      </w:r>
      <w:r>
        <w:rPr>
          <w:spacing w:val="-10"/>
        </w:rPr>
        <w:t> </w:t>
      </w:r>
      <w:r>
        <w:rPr/>
        <w:t>actividades</w:t>
      </w:r>
      <w:r>
        <w:rPr>
          <w:spacing w:val="-10"/>
        </w:rPr>
        <w:t> </w:t>
      </w:r>
      <w:r>
        <w:rPr/>
        <w:t>de</w:t>
      </w:r>
      <w:r>
        <w:rPr>
          <w:spacing w:val="-10"/>
        </w:rPr>
        <w:t> </w:t>
      </w:r>
      <w:r>
        <w:rPr/>
        <w:t>reflexión</w:t>
      </w:r>
      <w:r>
        <w:rPr>
          <w:spacing w:val="-10"/>
        </w:rPr>
        <w:t> </w:t>
      </w:r>
      <w:r>
        <w:rPr/>
        <w:t>y</w:t>
      </w:r>
      <w:r>
        <w:rPr>
          <w:spacing w:val="-10"/>
        </w:rPr>
        <w:t> </w:t>
      </w:r>
      <w:r>
        <w:rPr/>
        <w:t>expresión</w:t>
      </w:r>
      <w:r>
        <w:rPr>
          <w:spacing w:val="-10"/>
        </w:rPr>
        <w:t> </w:t>
      </w:r>
      <w:r>
        <w:rPr/>
        <w:t>para</w:t>
      </w:r>
      <w:r>
        <w:rPr>
          <w:spacing w:val="-10"/>
        </w:rPr>
        <w:t> </w:t>
      </w:r>
      <w:r>
        <w:rPr/>
        <w:t>favorecer</w:t>
      </w:r>
      <w:r>
        <w:rPr>
          <w:spacing w:val="-10"/>
        </w:rPr>
        <w:t> </w:t>
      </w:r>
      <w:r>
        <w:rPr/>
        <w:t>la</w:t>
      </w:r>
      <w:r>
        <w:rPr>
          <w:spacing w:val="-10"/>
        </w:rPr>
        <w:t> </w:t>
      </w:r>
      <w:r>
        <w:rPr/>
        <w:t>relación</w:t>
      </w:r>
      <w:r>
        <w:rPr>
          <w:spacing w:val="-10"/>
        </w:rPr>
        <w:t> </w:t>
      </w:r>
      <w:r>
        <w:rPr/>
        <w:t>de los</w:t>
      </w:r>
      <w:r>
        <w:rPr>
          <w:spacing w:val="-8"/>
        </w:rPr>
        <w:t> </w:t>
      </w:r>
      <w:r>
        <w:rPr/>
        <w:t>adultos</w:t>
      </w:r>
      <w:r>
        <w:rPr>
          <w:spacing w:val="-9"/>
        </w:rPr>
        <w:t> </w:t>
      </w:r>
      <w:r>
        <w:rPr/>
        <w:t>mayores</w:t>
      </w:r>
      <w:r>
        <w:rPr>
          <w:spacing w:val="-9"/>
        </w:rPr>
        <w:t> </w:t>
      </w:r>
      <w:r>
        <w:rPr/>
        <w:t>con</w:t>
      </w:r>
      <w:r>
        <w:rPr>
          <w:spacing w:val="-8"/>
        </w:rPr>
        <w:t> </w:t>
      </w:r>
      <w:r>
        <w:rPr/>
        <w:t>grupos</w:t>
      </w:r>
      <w:r>
        <w:rPr>
          <w:spacing w:val="-8"/>
        </w:rPr>
        <w:t> </w:t>
      </w:r>
      <w:r>
        <w:rPr/>
        <w:t>de</w:t>
      </w:r>
      <w:r>
        <w:rPr>
          <w:spacing w:val="-8"/>
        </w:rPr>
        <w:t> </w:t>
      </w:r>
      <w:r>
        <w:rPr/>
        <w:t>individuos</w:t>
      </w:r>
      <w:r>
        <w:rPr>
          <w:spacing w:val="-9"/>
        </w:rPr>
        <w:t> </w:t>
      </w:r>
      <w:r>
        <w:rPr/>
        <w:t>que</w:t>
      </w:r>
      <w:r>
        <w:rPr>
          <w:spacing w:val="-8"/>
        </w:rPr>
        <w:t> </w:t>
      </w:r>
      <w:r>
        <w:rPr/>
        <w:t>le</w:t>
      </w:r>
      <w:r>
        <w:rPr>
          <w:spacing w:val="-8"/>
        </w:rPr>
        <w:t> </w:t>
      </w:r>
      <w:r>
        <w:rPr/>
        <w:t>permitan</w:t>
      </w:r>
      <w:r>
        <w:rPr>
          <w:spacing w:val="-8"/>
        </w:rPr>
        <w:t> </w:t>
      </w:r>
      <w:r>
        <w:rPr/>
        <w:t>tener</w:t>
      </w:r>
      <w:r>
        <w:rPr>
          <w:spacing w:val="-9"/>
        </w:rPr>
        <w:t> </w:t>
      </w:r>
      <w:r>
        <w:rPr/>
        <w:t>seguridad</w:t>
      </w:r>
    </w:p>
    <w:p>
      <w:pPr>
        <w:pStyle w:val="BodyText"/>
        <w:spacing w:before="10"/>
        <w:rPr>
          <w:sz w:val="16"/>
        </w:rPr>
      </w:pPr>
    </w:p>
    <w:p>
      <w:pPr>
        <w:spacing w:line="200" w:lineRule="exact" w:before="0"/>
        <w:ind w:left="400" w:right="108" w:hanging="284"/>
        <w:jc w:val="both"/>
        <w:rPr>
          <w:sz w:val="18"/>
        </w:rPr>
      </w:pPr>
      <w:r>
        <w:rPr>
          <w:position w:val="7"/>
          <w:sz w:val="11"/>
        </w:rPr>
        <w:t>164 </w:t>
      </w:r>
      <w:r>
        <w:rPr>
          <w:sz w:val="18"/>
        </w:rPr>
        <w:t>Información proporcionada para esta investigación en entrevista con personal del instituto para la atención de los adultos mayores, 10 de noviembre del 2010.</w:t>
      </w:r>
    </w:p>
    <w:p>
      <w:pPr>
        <w:spacing w:line="200" w:lineRule="exact" w:before="0"/>
        <w:ind w:left="400" w:right="108" w:hanging="284"/>
        <w:jc w:val="both"/>
        <w:rPr>
          <w:sz w:val="18"/>
        </w:rPr>
      </w:pPr>
      <w:r>
        <w:rPr>
          <w:position w:val="7"/>
          <w:sz w:val="11"/>
        </w:rPr>
        <w:t>165 </w:t>
      </w:r>
      <w:r>
        <w:rPr>
          <w:sz w:val="18"/>
        </w:rPr>
        <w:t>Porcentajes calculados por el autor con información proporcionada para esta investigación en entrevista con personal del instituto para la atención de los adultos mayores, 10 de noviembre del 2010.</w:t>
      </w:r>
    </w:p>
    <w:p>
      <w:pPr>
        <w:spacing w:after="0" w:line="200" w:lineRule="exact"/>
        <w:jc w:val="both"/>
        <w:rPr>
          <w:sz w:val="18"/>
        </w:rPr>
        <w:sectPr>
          <w:footerReference w:type="even" r:id="rId202"/>
          <w:footerReference w:type="default" r:id="rId203"/>
          <w:pgSz w:w="9360" w:h="13040"/>
          <w:pgMar w:footer="1122" w:header="547" w:top="940" w:bottom="1320" w:left="1300" w:right="740"/>
        </w:sectPr>
      </w:pPr>
    </w:p>
    <w:p>
      <w:pPr>
        <w:pStyle w:val="BodyText"/>
        <w:rPr>
          <w:sz w:val="20"/>
        </w:rPr>
      </w:pPr>
    </w:p>
    <w:p>
      <w:pPr>
        <w:pStyle w:val="BodyText"/>
        <w:spacing w:before="1"/>
        <w:rPr>
          <w:sz w:val="29"/>
        </w:rPr>
      </w:pPr>
    </w:p>
    <w:p>
      <w:pPr>
        <w:pStyle w:val="BodyText"/>
        <w:spacing w:before="70"/>
        <w:ind w:left="110" w:right="115"/>
        <w:jc w:val="both"/>
      </w:pPr>
      <w:r>
        <w:rPr/>
        <w:t>y pertenencia en su ámbito de acción; y 5) </w:t>
      </w:r>
      <w:r>
        <w:rPr>
          <w:i/>
        </w:rPr>
        <w:t>autoempleo</w:t>
      </w:r>
      <w:r>
        <w:rPr/>
        <w:t>, gestión de becas de capacitación a través del servicio nacional de empleo</w:t>
      </w:r>
      <w:r>
        <w:rPr>
          <w:position w:val="8"/>
          <w:sz w:val="13"/>
        </w:rPr>
        <w:t>166</w:t>
      </w:r>
      <w:r>
        <w:rPr/>
        <w:t>.</w:t>
      </w:r>
    </w:p>
    <w:p>
      <w:pPr>
        <w:pStyle w:val="BodyText"/>
        <w:spacing w:before="2"/>
      </w:pPr>
    </w:p>
    <w:p>
      <w:pPr>
        <w:spacing w:before="1"/>
        <w:ind w:left="110" w:right="114" w:firstLine="0"/>
        <w:jc w:val="both"/>
        <w:rPr>
          <w:sz w:val="23"/>
        </w:rPr>
      </w:pPr>
      <w:r>
        <w:rPr>
          <w:sz w:val="23"/>
        </w:rPr>
        <w:t>Otras acciones de capacidades, consideradas indirectas porque no aplican directamente a la capacidad del adulto mayor sino al entorno social que potencialmente</w:t>
      </w:r>
      <w:r>
        <w:rPr>
          <w:spacing w:val="-10"/>
          <w:sz w:val="23"/>
        </w:rPr>
        <w:t> </w:t>
      </w:r>
      <w:r>
        <w:rPr>
          <w:sz w:val="23"/>
        </w:rPr>
        <w:t>le</w:t>
      </w:r>
      <w:r>
        <w:rPr>
          <w:spacing w:val="-10"/>
          <w:sz w:val="23"/>
        </w:rPr>
        <w:t> </w:t>
      </w:r>
      <w:r>
        <w:rPr>
          <w:sz w:val="23"/>
        </w:rPr>
        <w:t>beneficia,</w:t>
      </w:r>
      <w:r>
        <w:rPr>
          <w:spacing w:val="-10"/>
          <w:sz w:val="23"/>
        </w:rPr>
        <w:t> </w:t>
      </w:r>
      <w:r>
        <w:rPr>
          <w:sz w:val="23"/>
        </w:rPr>
        <w:t>fueron:</w:t>
      </w:r>
      <w:r>
        <w:rPr>
          <w:spacing w:val="-10"/>
          <w:sz w:val="23"/>
        </w:rPr>
        <w:t> </w:t>
      </w:r>
      <w:r>
        <w:rPr>
          <w:sz w:val="23"/>
        </w:rPr>
        <w:t>a)</w:t>
      </w:r>
      <w:r>
        <w:rPr>
          <w:spacing w:val="-10"/>
          <w:sz w:val="23"/>
        </w:rPr>
        <w:t> </w:t>
      </w:r>
      <w:r>
        <w:rPr>
          <w:i/>
          <w:sz w:val="23"/>
        </w:rPr>
        <w:t>formación</w:t>
      </w:r>
      <w:r>
        <w:rPr>
          <w:i/>
          <w:spacing w:val="-11"/>
          <w:sz w:val="23"/>
        </w:rPr>
        <w:t> </w:t>
      </w:r>
      <w:r>
        <w:rPr>
          <w:i/>
          <w:sz w:val="23"/>
        </w:rPr>
        <w:t>de</w:t>
      </w:r>
      <w:r>
        <w:rPr>
          <w:i/>
          <w:spacing w:val="-10"/>
          <w:sz w:val="23"/>
        </w:rPr>
        <w:t> </w:t>
      </w:r>
      <w:r>
        <w:rPr>
          <w:i/>
          <w:sz w:val="23"/>
        </w:rPr>
        <w:t>familiares</w:t>
      </w:r>
      <w:r>
        <w:rPr>
          <w:i/>
          <w:spacing w:val="-10"/>
          <w:sz w:val="23"/>
        </w:rPr>
        <w:t> </w:t>
      </w:r>
      <w:r>
        <w:rPr>
          <w:i/>
          <w:sz w:val="23"/>
        </w:rPr>
        <w:t>cuidadores</w:t>
      </w:r>
      <w:r>
        <w:rPr>
          <w:i/>
          <w:spacing w:val="-10"/>
          <w:sz w:val="23"/>
        </w:rPr>
        <w:t> </w:t>
      </w:r>
      <w:r>
        <w:rPr>
          <w:i/>
          <w:sz w:val="23"/>
        </w:rPr>
        <w:t>de </w:t>
      </w:r>
      <w:r>
        <w:rPr>
          <w:i/>
          <w:sz w:val="23"/>
        </w:rPr>
        <w:t>adultos</w:t>
      </w:r>
      <w:r>
        <w:rPr>
          <w:i/>
          <w:spacing w:val="-26"/>
          <w:sz w:val="23"/>
        </w:rPr>
        <w:t> </w:t>
      </w:r>
      <w:r>
        <w:rPr>
          <w:i/>
          <w:sz w:val="23"/>
        </w:rPr>
        <w:t>mayores</w:t>
      </w:r>
      <w:r>
        <w:rPr>
          <w:i/>
          <w:spacing w:val="-26"/>
          <w:sz w:val="23"/>
        </w:rPr>
        <w:t> </w:t>
      </w:r>
      <w:r>
        <w:rPr>
          <w:i/>
          <w:sz w:val="23"/>
        </w:rPr>
        <w:t>con</w:t>
      </w:r>
      <w:r>
        <w:rPr>
          <w:i/>
          <w:spacing w:val="-26"/>
          <w:sz w:val="23"/>
        </w:rPr>
        <w:t> </w:t>
      </w:r>
      <w:r>
        <w:rPr>
          <w:i/>
          <w:sz w:val="23"/>
        </w:rPr>
        <w:t>alzheimer</w:t>
      </w:r>
      <w:r>
        <w:rPr>
          <w:sz w:val="23"/>
        </w:rPr>
        <w:t>,</w:t>
      </w:r>
      <w:r>
        <w:rPr>
          <w:spacing w:val="-26"/>
          <w:sz w:val="23"/>
        </w:rPr>
        <w:t> </w:t>
      </w:r>
      <w:r>
        <w:rPr>
          <w:sz w:val="23"/>
        </w:rPr>
        <w:t>b)</w:t>
      </w:r>
      <w:r>
        <w:rPr>
          <w:spacing w:val="-26"/>
          <w:sz w:val="23"/>
        </w:rPr>
        <w:t> </w:t>
      </w:r>
      <w:r>
        <w:rPr>
          <w:i/>
          <w:sz w:val="23"/>
        </w:rPr>
        <w:t>por</w:t>
      </w:r>
      <w:r>
        <w:rPr>
          <w:i/>
          <w:spacing w:val="-26"/>
          <w:sz w:val="23"/>
        </w:rPr>
        <w:t> </w:t>
      </w:r>
      <w:r>
        <w:rPr>
          <w:i/>
          <w:sz w:val="23"/>
        </w:rPr>
        <w:t>un</w:t>
      </w:r>
      <w:r>
        <w:rPr>
          <w:i/>
          <w:spacing w:val="-26"/>
          <w:sz w:val="23"/>
        </w:rPr>
        <w:t> </w:t>
      </w:r>
      <w:r>
        <w:rPr>
          <w:i/>
          <w:sz w:val="23"/>
        </w:rPr>
        <w:t>trato</w:t>
      </w:r>
      <w:r>
        <w:rPr>
          <w:i/>
          <w:spacing w:val="-26"/>
          <w:sz w:val="23"/>
        </w:rPr>
        <w:t> </w:t>
      </w:r>
      <w:r>
        <w:rPr>
          <w:i/>
          <w:sz w:val="23"/>
        </w:rPr>
        <w:t>digno</w:t>
      </w:r>
      <w:r>
        <w:rPr>
          <w:i/>
          <w:spacing w:val="-26"/>
          <w:sz w:val="23"/>
        </w:rPr>
        <w:t> </w:t>
      </w:r>
      <w:r>
        <w:rPr>
          <w:i/>
          <w:sz w:val="23"/>
        </w:rPr>
        <w:t>para</w:t>
      </w:r>
      <w:r>
        <w:rPr>
          <w:i/>
          <w:spacing w:val="-26"/>
          <w:sz w:val="23"/>
        </w:rPr>
        <w:t> </w:t>
      </w:r>
      <w:r>
        <w:rPr>
          <w:i/>
          <w:sz w:val="23"/>
        </w:rPr>
        <w:t>los</w:t>
      </w:r>
      <w:r>
        <w:rPr>
          <w:i/>
          <w:spacing w:val="-26"/>
          <w:sz w:val="23"/>
        </w:rPr>
        <w:t> </w:t>
      </w:r>
      <w:r>
        <w:rPr>
          <w:i/>
          <w:sz w:val="23"/>
        </w:rPr>
        <w:t>adultos</w:t>
      </w:r>
      <w:r>
        <w:rPr>
          <w:i/>
          <w:spacing w:val="-26"/>
          <w:sz w:val="23"/>
        </w:rPr>
        <w:t> </w:t>
      </w:r>
      <w:r>
        <w:rPr>
          <w:i/>
          <w:sz w:val="23"/>
        </w:rPr>
        <w:t>mayores</w:t>
      </w:r>
      <w:r>
        <w:rPr>
          <w:sz w:val="23"/>
        </w:rPr>
        <w:t>,</w:t>
      </w:r>
    </w:p>
    <w:p>
      <w:pPr>
        <w:pStyle w:val="ListParagraph"/>
        <w:numPr>
          <w:ilvl w:val="0"/>
          <w:numId w:val="8"/>
        </w:numPr>
        <w:tabs>
          <w:tab w:pos="331" w:val="left" w:leader="none"/>
        </w:tabs>
        <w:spacing w:line="240" w:lineRule="auto" w:before="1" w:after="0"/>
        <w:ind w:left="110" w:right="115" w:firstLine="0"/>
        <w:jc w:val="both"/>
        <w:rPr>
          <w:sz w:val="23"/>
        </w:rPr>
      </w:pPr>
      <w:r>
        <w:rPr>
          <w:i/>
          <w:sz w:val="23"/>
        </w:rPr>
        <w:t>encuentros</w:t>
      </w:r>
      <w:r>
        <w:rPr>
          <w:i/>
          <w:spacing w:val="-19"/>
          <w:sz w:val="23"/>
        </w:rPr>
        <w:t> </w:t>
      </w:r>
      <w:r>
        <w:rPr>
          <w:i/>
          <w:sz w:val="23"/>
        </w:rPr>
        <w:t>integracionales</w:t>
      </w:r>
      <w:r>
        <w:rPr>
          <w:i/>
          <w:spacing w:val="-20"/>
          <w:sz w:val="23"/>
        </w:rPr>
        <w:t> </w:t>
      </w:r>
      <w:r>
        <w:rPr>
          <w:i/>
          <w:sz w:val="23"/>
        </w:rPr>
        <w:t>en</w:t>
      </w:r>
      <w:r>
        <w:rPr>
          <w:i/>
          <w:spacing w:val="-19"/>
          <w:sz w:val="23"/>
        </w:rPr>
        <w:t> </w:t>
      </w:r>
      <w:r>
        <w:rPr>
          <w:i/>
          <w:sz w:val="23"/>
        </w:rPr>
        <w:t>escuelas</w:t>
      </w:r>
      <w:r>
        <w:rPr>
          <w:i/>
          <w:spacing w:val="-19"/>
          <w:sz w:val="23"/>
        </w:rPr>
        <w:t> </w:t>
      </w:r>
      <w:r>
        <w:rPr>
          <w:i/>
          <w:sz w:val="23"/>
        </w:rPr>
        <w:t>y</w:t>
      </w:r>
      <w:r>
        <w:rPr>
          <w:i/>
          <w:spacing w:val="-19"/>
          <w:sz w:val="23"/>
        </w:rPr>
        <w:t> </w:t>
      </w:r>
      <w:r>
        <w:rPr>
          <w:i/>
          <w:sz w:val="23"/>
        </w:rPr>
        <w:t>otros</w:t>
      </w:r>
      <w:r>
        <w:rPr>
          <w:i/>
          <w:spacing w:val="-19"/>
          <w:sz w:val="23"/>
        </w:rPr>
        <w:t> </w:t>
      </w:r>
      <w:r>
        <w:rPr>
          <w:i/>
          <w:sz w:val="23"/>
        </w:rPr>
        <w:t>espacios</w:t>
      </w:r>
      <w:r>
        <w:rPr>
          <w:i/>
          <w:spacing w:val="-19"/>
          <w:sz w:val="23"/>
        </w:rPr>
        <w:t> </w:t>
      </w:r>
      <w:r>
        <w:rPr>
          <w:i/>
          <w:sz w:val="23"/>
        </w:rPr>
        <w:t>de</w:t>
      </w:r>
      <w:r>
        <w:rPr>
          <w:i/>
          <w:spacing w:val="-19"/>
          <w:sz w:val="23"/>
        </w:rPr>
        <w:t> </w:t>
      </w:r>
      <w:r>
        <w:rPr>
          <w:i/>
          <w:sz w:val="23"/>
        </w:rPr>
        <w:t>convivencia</w:t>
      </w:r>
      <w:r>
        <w:rPr>
          <w:i/>
          <w:spacing w:val="-20"/>
          <w:sz w:val="23"/>
        </w:rPr>
        <w:t> </w:t>
      </w:r>
      <w:r>
        <w:rPr>
          <w:sz w:val="23"/>
        </w:rPr>
        <w:t>para crear</w:t>
      </w:r>
      <w:r>
        <w:rPr>
          <w:spacing w:val="-5"/>
          <w:sz w:val="23"/>
        </w:rPr>
        <w:t> </w:t>
      </w:r>
      <w:r>
        <w:rPr>
          <w:sz w:val="23"/>
        </w:rPr>
        <w:t>intercambio</w:t>
      </w:r>
      <w:r>
        <w:rPr>
          <w:spacing w:val="-5"/>
          <w:sz w:val="23"/>
        </w:rPr>
        <w:t> </w:t>
      </w:r>
      <w:r>
        <w:rPr>
          <w:sz w:val="23"/>
        </w:rPr>
        <w:t>de</w:t>
      </w:r>
      <w:r>
        <w:rPr>
          <w:spacing w:val="-5"/>
          <w:sz w:val="23"/>
        </w:rPr>
        <w:t> </w:t>
      </w:r>
      <w:r>
        <w:rPr>
          <w:sz w:val="23"/>
        </w:rPr>
        <w:t>saberes</w:t>
      </w:r>
      <w:r>
        <w:rPr>
          <w:spacing w:val="-4"/>
          <w:sz w:val="23"/>
        </w:rPr>
        <w:t> </w:t>
      </w:r>
      <w:r>
        <w:rPr>
          <w:sz w:val="23"/>
        </w:rPr>
        <w:t>y</w:t>
      </w:r>
      <w:r>
        <w:rPr>
          <w:spacing w:val="-5"/>
          <w:sz w:val="23"/>
        </w:rPr>
        <w:t> </w:t>
      </w:r>
      <w:r>
        <w:rPr>
          <w:sz w:val="23"/>
        </w:rPr>
        <w:t>experiencias,</w:t>
      </w:r>
      <w:r>
        <w:rPr>
          <w:spacing w:val="-5"/>
          <w:sz w:val="23"/>
        </w:rPr>
        <w:t> </w:t>
      </w:r>
      <w:r>
        <w:rPr>
          <w:sz w:val="23"/>
        </w:rPr>
        <w:t>y</w:t>
      </w:r>
      <w:r>
        <w:rPr>
          <w:spacing w:val="-5"/>
          <w:sz w:val="23"/>
        </w:rPr>
        <w:t> </w:t>
      </w:r>
      <w:r>
        <w:rPr>
          <w:sz w:val="23"/>
        </w:rPr>
        <w:t>d)</w:t>
      </w:r>
      <w:r>
        <w:rPr>
          <w:spacing w:val="-5"/>
          <w:sz w:val="23"/>
        </w:rPr>
        <w:t> </w:t>
      </w:r>
      <w:r>
        <w:rPr>
          <w:i/>
          <w:sz w:val="23"/>
        </w:rPr>
        <w:t>investigación</w:t>
      </w:r>
      <w:r>
        <w:rPr>
          <w:i/>
          <w:spacing w:val="-5"/>
          <w:sz w:val="23"/>
        </w:rPr>
        <w:t> </w:t>
      </w:r>
      <w:r>
        <w:rPr>
          <w:i/>
          <w:sz w:val="23"/>
        </w:rPr>
        <w:t>gerontológica </w:t>
      </w:r>
      <w:r>
        <w:rPr>
          <w:sz w:val="23"/>
        </w:rPr>
        <w:t>para realizar un diagnóstico de la población adulta</w:t>
      </w:r>
      <w:r>
        <w:rPr>
          <w:spacing w:val="3"/>
          <w:sz w:val="23"/>
        </w:rPr>
        <w:t> </w:t>
      </w:r>
      <w:r>
        <w:rPr>
          <w:sz w:val="23"/>
        </w:rPr>
        <w:t>mayor</w:t>
      </w:r>
      <w:r>
        <w:rPr>
          <w:position w:val="8"/>
          <w:sz w:val="13"/>
        </w:rPr>
        <w:t>167</w:t>
      </w:r>
      <w:r>
        <w:rPr>
          <w:sz w:val="23"/>
        </w:rPr>
        <w:t>.</w:t>
      </w:r>
    </w:p>
    <w:p>
      <w:pPr>
        <w:pStyle w:val="BodyText"/>
        <w:spacing w:before="2"/>
      </w:pPr>
    </w:p>
    <w:p>
      <w:pPr>
        <w:pStyle w:val="BodyText"/>
        <w:ind w:left="110" w:right="114"/>
        <w:jc w:val="both"/>
      </w:pPr>
      <w:r>
        <w:rPr/>
        <w:pict>
          <v:line style="position:absolute;mso-position-horizontal-relative:page;mso-position-vertical-relative:paragraph;z-index:2968;mso-wrap-distance-left:0;mso-wrap-distance-right:0" from="42.519699pt,232.288223pt" to="114.519699pt,232.288223pt" stroked="true" strokeweight="1pt" strokecolor="#000000">
            <w10:wrap type="topAndBottom"/>
          </v:line>
        </w:pict>
      </w:r>
      <w:r>
        <w:rPr/>
        <w:t>La única acción de oportunidades de ingreso se refiere al funcionamiento    de una </w:t>
      </w:r>
      <w:r>
        <w:rPr>
          <w:i/>
        </w:rPr>
        <w:t>bolsa de trabajo</w:t>
      </w:r>
      <w:r>
        <w:rPr>
          <w:position w:val="8"/>
          <w:sz w:val="13"/>
        </w:rPr>
        <w:t>168</w:t>
      </w:r>
      <w:r>
        <w:rPr/>
        <w:t>. En contraste, el rubro más extenso fue el de asistencia:</w:t>
      </w:r>
      <w:r>
        <w:rPr>
          <w:spacing w:val="-13"/>
        </w:rPr>
        <w:t> </w:t>
      </w:r>
      <w:r>
        <w:rPr/>
        <w:t>1)</w:t>
      </w:r>
      <w:r>
        <w:rPr>
          <w:spacing w:val="-12"/>
        </w:rPr>
        <w:t> </w:t>
      </w:r>
      <w:r>
        <w:rPr>
          <w:i/>
        </w:rPr>
        <w:t>casa</w:t>
      </w:r>
      <w:r>
        <w:rPr>
          <w:i/>
          <w:spacing w:val="-12"/>
        </w:rPr>
        <w:t> </w:t>
      </w:r>
      <w:r>
        <w:rPr>
          <w:i/>
        </w:rPr>
        <w:t>de</w:t>
      </w:r>
      <w:r>
        <w:rPr>
          <w:i/>
          <w:spacing w:val="-12"/>
        </w:rPr>
        <w:t> </w:t>
      </w:r>
      <w:r>
        <w:rPr>
          <w:i/>
        </w:rPr>
        <w:t>día</w:t>
      </w:r>
      <w:r>
        <w:rPr/>
        <w:t>,</w:t>
      </w:r>
      <w:r>
        <w:rPr>
          <w:spacing w:val="-12"/>
        </w:rPr>
        <w:t> </w:t>
      </w:r>
      <w:r>
        <w:rPr/>
        <w:t>ubicadas</w:t>
      </w:r>
      <w:r>
        <w:rPr>
          <w:spacing w:val="-12"/>
        </w:rPr>
        <w:t> </w:t>
      </w:r>
      <w:r>
        <w:rPr/>
        <w:t>en</w:t>
      </w:r>
      <w:r>
        <w:rPr>
          <w:spacing w:val="-12"/>
        </w:rPr>
        <w:t> </w:t>
      </w:r>
      <w:r>
        <w:rPr/>
        <w:t>los</w:t>
      </w:r>
      <w:r>
        <w:rPr>
          <w:spacing w:val="-12"/>
        </w:rPr>
        <w:t> </w:t>
      </w:r>
      <w:r>
        <w:rPr/>
        <w:t>municipios</w:t>
      </w:r>
      <w:r>
        <w:rPr>
          <w:spacing w:val="-13"/>
        </w:rPr>
        <w:t> </w:t>
      </w:r>
      <w:r>
        <w:rPr/>
        <w:t>de</w:t>
      </w:r>
      <w:r>
        <w:rPr>
          <w:spacing w:val="-25"/>
        </w:rPr>
        <w:t> </w:t>
      </w:r>
      <w:r>
        <w:rPr/>
        <w:t>Actopan,</w:t>
      </w:r>
      <w:r>
        <w:rPr>
          <w:spacing w:val="-24"/>
        </w:rPr>
        <w:t> </w:t>
      </w:r>
      <w:r>
        <w:rPr/>
        <w:t>Atitalaquia, Tlahuelilpan,</w:t>
      </w:r>
      <w:r>
        <w:rPr>
          <w:spacing w:val="-24"/>
        </w:rPr>
        <w:t> </w:t>
      </w:r>
      <w:r>
        <w:rPr/>
        <w:t>Tula,</w:t>
      </w:r>
      <w:r>
        <w:rPr>
          <w:spacing w:val="-20"/>
        </w:rPr>
        <w:t> </w:t>
      </w:r>
      <w:r>
        <w:rPr/>
        <w:t>Pachuca,</w:t>
      </w:r>
      <w:r>
        <w:rPr>
          <w:spacing w:val="-22"/>
        </w:rPr>
        <w:t> </w:t>
      </w:r>
      <w:r>
        <w:rPr/>
        <w:t>Tepeapulco,</w:t>
      </w:r>
      <w:r>
        <w:rPr>
          <w:spacing w:val="-23"/>
        </w:rPr>
        <w:t> </w:t>
      </w:r>
      <w:r>
        <w:rPr/>
        <w:t>Tulancingo,</w:t>
      </w:r>
      <w:r>
        <w:rPr>
          <w:spacing w:val="-20"/>
        </w:rPr>
        <w:t> </w:t>
      </w:r>
      <w:r>
        <w:rPr/>
        <w:t>Huejutla</w:t>
      </w:r>
      <w:r>
        <w:rPr>
          <w:spacing w:val="-19"/>
        </w:rPr>
        <w:t> </w:t>
      </w:r>
      <w:r>
        <w:rPr/>
        <w:t>y</w:t>
      </w:r>
      <w:r>
        <w:rPr>
          <w:spacing w:val="-20"/>
        </w:rPr>
        <w:t> </w:t>
      </w:r>
      <w:r>
        <w:rPr/>
        <w:t>Zacualtipan; son instalaciones que ofrecen programas relacionados con la recreación, la cultura y la salud; 2) </w:t>
      </w:r>
      <w:r>
        <w:rPr>
          <w:i/>
        </w:rPr>
        <w:t>unidades móviles gerontológicas</w:t>
      </w:r>
      <w:r>
        <w:rPr/>
        <w:t>, dos unidades acercan los servicios de salud a los sujetos que viven en localidades de alta y muy alta</w:t>
      </w:r>
      <w:r>
        <w:rPr>
          <w:spacing w:val="-10"/>
        </w:rPr>
        <w:t> </w:t>
      </w:r>
      <w:r>
        <w:rPr/>
        <w:t>marginación;</w:t>
      </w:r>
      <w:r>
        <w:rPr>
          <w:spacing w:val="-10"/>
        </w:rPr>
        <w:t> </w:t>
      </w:r>
      <w:r>
        <w:rPr/>
        <w:t>3)</w:t>
      </w:r>
      <w:r>
        <w:rPr>
          <w:spacing w:val="-10"/>
        </w:rPr>
        <w:t> </w:t>
      </w:r>
      <w:r>
        <w:rPr>
          <w:i/>
        </w:rPr>
        <w:t>laboratorio</w:t>
      </w:r>
      <w:r>
        <w:rPr>
          <w:i/>
          <w:spacing w:val="-11"/>
        </w:rPr>
        <w:t> </w:t>
      </w:r>
      <w:r>
        <w:rPr>
          <w:i/>
        </w:rPr>
        <w:t>dental</w:t>
      </w:r>
      <w:r>
        <w:rPr>
          <w:i/>
          <w:spacing w:val="-10"/>
        </w:rPr>
        <w:t> </w:t>
      </w:r>
      <w:r>
        <w:rPr>
          <w:i/>
        </w:rPr>
        <w:t>estatal</w:t>
      </w:r>
      <w:r>
        <w:rPr/>
        <w:t>,</w:t>
      </w:r>
      <w:r>
        <w:rPr>
          <w:spacing w:val="-10"/>
        </w:rPr>
        <w:t> </w:t>
      </w:r>
      <w:r>
        <w:rPr/>
        <w:t>ubicado</w:t>
      </w:r>
      <w:r>
        <w:rPr>
          <w:spacing w:val="-10"/>
        </w:rPr>
        <w:t> </w:t>
      </w:r>
      <w:r>
        <w:rPr/>
        <w:t>en</w:t>
      </w:r>
      <w:r>
        <w:rPr>
          <w:spacing w:val="-10"/>
        </w:rPr>
        <w:t> </w:t>
      </w:r>
      <w:r>
        <w:rPr/>
        <w:t>el</w:t>
      </w:r>
      <w:r>
        <w:rPr>
          <w:spacing w:val="-10"/>
        </w:rPr>
        <w:t> </w:t>
      </w:r>
      <w:r>
        <w:rPr/>
        <w:t>fraccionamiento Punta</w:t>
      </w:r>
      <w:r>
        <w:rPr>
          <w:spacing w:val="-31"/>
        </w:rPr>
        <w:t> </w:t>
      </w:r>
      <w:r>
        <w:rPr/>
        <w:t>Azul</w:t>
      </w:r>
      <w:r>
        <w:rPr>
          <w:spacing w:val="-19"/>
        </w:rPr>
        <w:t> </w:t>
      </w:r>
      <w:r>
        <w:rPr/>
        <w:t>de</w:t>
      </w:r>
      <w:r>
        <w:rPr>
          <w:spacing w:val="-19"/>
        </w:rPr>
        <w:t> </w:t>
      </w:r>
      <w:r>
        <w:rPr/>
        <w:t>Pachuca,</w:t>
      </w:r>
      <w:r>
        <w:rPr>
          <w:spacing w:val="-19"/>
        </w:rPr>
        <w:t> </w:t>
      </w:r>
      <w:r>
        <w:rPr/>
        <w:t>proporciona</w:t>
      </w:r>
      <w:r>
        <w:rPr>
          <w:spacing w:val="-19"/>
        </w:rPr>
        <w:t> </w:t>
      </w:r>
      <w:r>
        <w:rPr/>
        <w:t>prótesis</w:t>
      </w:r>
      <w:r>
        <w:rPr>
          <w:spacing w:val="-19"/>
        </w:rPr>
        <w:t> </w:t>
      </w:r>
      <w:r>
        <w:rPr/>
        <w:t>dentales;</w:t>
      </w:r>
      <w:r>
        <w:rPr>
          <w:spacing w:val="-19"/>
        </w:rPr>
        <w:t> </w:t>
      </w:r>
      <w:r>
        <w:rPr/>
        <w:t>4)</w:t>
      </w:r>
      <w:r>
        <w:rPr>
          <w:spacing w:val="-19"/>
        </w:rPr>
        <w:t> </w:t>
      </w:r>
      <w:r>
        <w:rPr>
          <w:i/>
        </w:rPr>
        <w:t>apoyos</w:t>
      </w:r>
      <w:r>
        <w:rPr>
          <w:i/>
          <w:spacing w:val="-19"/>
        </w:rPr>
        <w:t> </w:t>
      </w:r>
      <w:r>
        <w:rPr>
          <w:i/>
        </w:rPr>
        <w:t>asistenciales</w:t>
      </w:r>
      <w:r>
        <w:rPr/>
        <w:t>, distribuye</w:t>
      </w:r>
      <w:r>
        <w:rPr>
          <w:spacing w:val="-6"/>
        </w:rPr>
        <w:t> </w:t>
      </w:r>
      <w:r>
        <w:rPr/>
        <w:t>aparatos;</w:t>
      </w:r>
      <w:r>
        <w:rPr>
          <w:spacing w:val="-7"/>
        </w:rPr>
        <w:t> </w:t>
      </w:r>
      <w:r>
        <w:rPr/>
        <w:t>5)</w:t>
      </w:r>
      <w:r>
        <w:rPr>
          <w:spacing w:val="-6"/>
        </w:rPr>
        <w:t> </w:t>
      </w:r>
      <w:r>
        <w:rPr>
          <w:i/>
        </w:rPr>
        <w:t>atención</w:t>
      </w:r>
      <w:r>
        <w:rPr>
          <w:i/>
          <w:spacing w:val="-6"/>
        </w:rPr>
        <w:t> </w:t>
      </w:r>
      <w:r>
        <w:rPr>
          <w:i/>
        </w:rPr>
        <w:t>médica</w:t>
      </w:r>
      <w:r>
        <w:rPr/>
        <w:t>,</w:t>
      </w:r>
      <w:r>
        <w:rPr>
          <w:spacing w:val="-6"/>
        </w:rPr>
        <w:t> </w:t>
      </w:r>
      <w:r>
        <w:rPr/>
        <w:t>servicios</w:t>
      </w:r>
      <w:r>
        <w:rPr>
          <w:spacing w:val="-6"/>
        </w:rPr>
        <w:t> </w:t>
      </w:r>
      <w:r>
        <w:rPr/>
        <w:t>de</w:t>
      </w:r>
      <w:r>
        <w:rPr>
          <w:spacing w:val="-6"/>
        </w:rPr>
        <w:t> </w:t>
      </w:r>
      <w:r>
        <w:rPr/>
        <w:t>medicina</w:t>
      </w:r>
      <w:r>
        <w:rPr>
          <w:spacing w:val="-7"/>
        </w:rPr>
        <w:t> </w:t>
      </w:r>
      <w:r>
        <w:rPr/>
        <w:t>general,</w:t>
      </w:r>
      <w:r>
        <w:rPr>
          <w:spacing w:val="-6"/>
        </w:rPr>
        <w:t> </w:t>
      </w:r>
      <w:r>
        <w:rPr/>
        <w:t>odon- </w:t>
      </w:r>
      <w:r>
        <w:rPr>
          <w:spacing w:val="-4"/>
        </w:rPr>
        <w:t>tología, psicología, enfermería, nutrición, terapia física </w:t>
      </w:r>
      <w:r>
        <w:rPr/>
        <w:t>y </w:t>
      </w:r>
      <w:r>
        <w:rPr>
          <w:spacing w:val="-4"/>
        </w:rPr>
        <w:t>trabajo social; </w:t>
      </w:r>
      <w:r>
        <w:rPr/>
        <w:t>6) </w:t>
      </w:r>
      <w:r>
        <w:rPr>
          <w:i/>
          <w:spacing w:val="-4"/>
        </w:rPr>
        <w:t>cul-</w:t>
      </w:r>
      <w:r>
        <w:rPr>
          <w:i/>
          <w:spacing w:val="49"/>
        </w:rPr>
        <w:t> </w:t>
      </w:r>
      <w:r>
        <w:rPr>
          <w:i/>
        </w:rPr>
        <w:t>tura, recreación y deporte</w:t>
      </w:r>
      <w:r>
        <w:rPr/>
        <w:t>; organiza este tipo de actividades en espacios públicos;</w:t>
      </w:r>
      <w:r>
        <w:rPr>
          <w:spacing w:val="-15"/>
        </w:rPr>
        <w:t> </w:t>
      </w:r>
      <w:r>
        <w:rPr/>
        <w:t>7)</w:t>
      </w:r>
      <w:r>
        <w:rPr>
          <w:spacing w:val="-15"/>
        </w:rPr>
        <w:t> </w:t>
      </w:r>
      <w:r>
        <w:rPr>
          <w:i/>
        </w:rPr>
        <w:t>credencial</w:t>
      </w:r>
      <w:r>
        <w:rPr>
          <w:i/>
          <w:spacing w:val="-15"/>
        </w:rPr>
        <w:t> </w:t>
      </w:r>
      <w:r>
        <w:rPr>
          <w:i/>
        </w:rPr>
        <w:t>del</w:t>
      </w:r>
      <w:r>
        <w:rPr>
          <w:i/>
          <w:spacing w:val="-15"/>
        </w:rPr>
        <w:t> </w:t>
      </w:r>
      <w:r>
        <w:rPr>
          <w:i/>
        </w:rPr>
        <w:t>adulto</w:t>
      </w:r>
      <w:r>
        <w:rPr>
          <w:i/>
          <w:spacing w:val="-15"/>
        </w:rPr>
        <w:t> </w:t>
      </w:r>
      <w:r>
        <w:rPr>
          <w:i/>
        </w:rPr>
        <w:t>mayor</w:t>
      </w:r>
      <w:r>
        <w:rPr/>
        <w:t>,</w:t>
      </w:r>
      <w:r>
        <w:rPr>
          <w:spacing w:val="-15"/>
        </w:rPr>
        <w:t> </w:t>
      </w:r>
      <w:r>
        <w:rPr/>
        <w:t>permite</w:t>
      </w:r>
      <w:r>
        <w:rPr>
          <w:spacing w:val="-15"/>
        </w:rPr>
        <w:t> </w:t>
      </w:r>
      <w:r>
        <w:rPr/>
        <w:t>descuentos</w:t>
      </w:r>
      <w:r>
        <w:rPr>
          <w:spacing w:val="-15"/>
        </w:rPr>
        <w:t> </w:t>
      </w:r>
      <w:r>
        <w:rPr/>
        <w:t>en</w:t>
      </w:r>
      <w:r>
        <w:rPr>
          <w:spacing w:val="-15"/>
        </w:rPr>
        <w:t> </w:t>
      </w:r>
      <w:r>
        <w:rPr/>
        <w:t>determinados establecimientos comerciales; 8) </w:t>
      </w:r>
      <w:r>
        <w:rPr>
          <w:i/>
        </w:rPr>
        <w:t>asistencia jurídica</w:t>
      </w:r>
      <w:r>
        <w:rPr/>
        <w:t>, otorga asesoría legal; 9) </w:t>
      </w:r>
      <w:r>
        <w:rPr>
          <w:i/>
        </w:rPr>
        <w:t>redes formales de apoyo</w:t>
      </w:r>
      <w:r>
        <w:rPr/>
        <w:t>, directorio de instituciones de apoyo</w:t>
      </w:r>
      <w:r>
        <w:rPr>
          <w:position w:val="8"/>
          <w:sz w:val="13"/>
        </w:rPr>
        <w:t>169</w:t>
      </w:r>
      <w:r>
        <w:rPr/>
        <w:t>; 10) </w:t>
      </w:r>
      <w:r>
        <w:rPr>
          <w:i/>
        </w:rPr>
        <w:t>abuelo </w:t>
      </w:r>
      <w:r>
        <w:rPr>
          <w:i/>
        </w:rPr>
        <w:t>turista</w:t>
      </w:r>
      <w:r>
        <w:rPr/>
        <w:t>, brinda servicios turísticos sociales; </w:t>
      </w:r>
      <w:r>
        <w:rPr>
          <w:spacing w:val="-3"/>
        </w:rPr>
        <w:t>11) </w:t>
      </w:r>
      <w:r>
        <w:rPr>
          <w:i/>
        </w:rPr>
        <w:t>has mi vida digna</w:t>
      </w:r>
      <w:r>
        <w:rPr/>
        <w:t>, gestiona donaciones para otorgar apoyos destinados al mejoramiento de vivienda;</w:t>
      </w:r>
      <w:r>
        <w:rPr>
          <w:spacing w:val="20"/>
        </w:rPr>
        <w:t> </w:t>
      </w:r>
      <w:r>
        <w:rPr/>
        <w:t>12)</w:t>
      </w:r>
    </w:p>
    <w:p>
      <w:pPr>
        <w:spacing w:before="28"/>
        <w:ind w:left="110" w:right="0" w:firstLine="0"/>
        <w:jc w:val="left"/>
        <w:rPr>
          <w:i/>
          <w:sz w:val="18"/>
        </w:rPr>
      </w:pPr>
      <w:r>
        <w:rPr>
          <w:w w:val="105"/>
          <w:position w:val="7"/>
          <w:sz w:val="11"/>
        </w:rPr>
        <w:t>166  </w:t>
      </w:r>
      <w:r>
        <w:rPr>
          <w:i/>
          <w:w w:val="105"/>
          <w:sz w:val="18"/>
        </w:rPr>
        <w:t>Ibídem.</w:t>
      </w:r>
    </w:p>
    <w:p>
      <w:pPr>
        <w:spacing w:before="28"/>
        <w:ind w:left="110" w:right="0" w:firstLine="0"/>
        <w:jc w:val="left"/>
        <w:rPr>
          <w:i/>
          <w:sz w:val="18"/>
        </w:rPr>
      </w:pPr>
      <w:r>
        <w:rPr>
          <w:w w:val="105"/>
          <w:position w:val="7"/>
          <w:sz w:val="11"/>
        </w:rPr>
        <w:t>167  </w:t>
      </w:r>
      <w:r>
        <w:rPr>
          <w:i/>
          <w:w w:val="105"/>
          <w:sz w:val="18"/>
        </w:rPr>
        <w:t>Ibídem.</w:t>
      </w:r>
    </w:p>
    <w:p>
      <w:pPr>
        <w:spacing w:before="28"/>
        <w:ind w:left="110" w:right="0" w:firstLine="0"/>
        <w:jc w:val="left"/>
        <w:rPr>
          <w:i/>
          <w:sz w:val="18"/>
        </w:rPr>
      </w:pPr>
      <w:r>
        <w:rPr>
          <w:w w:val="105"/>
          <w:position w:val="7"/>
          <w:sz w:val="11"/>
        </w:rPr>
        <w:t>168  </w:t>
      </w:r>
      <w:r>
        <w:rPr>
          <w:i/>
          <w:w w:val="105"/>
          <w:sz w:val="18"/>
        </w:rPr>
        <w:t>Ibídem.</w:t>
      </w:r>
    </w:p>
    <w:p>
      <w:pPr>
        <w:spacing w:line="249" w:lineRule="auto" w:before="28"/>
        <w:ind w:left="393" w:right="114" w:hanging="284"/>
        <w:jc w:val="both"/>
        <w:rPr>
          <w:sz w:val="18"/>
        </w:rPr>
      </w:pPr>
      <w:r>
        <w:rPr>
          <w:position w:val="7"/>
          <w:sz w:val="11"/>
        </w:rPr>
        <w:t>169 </w:t>
      </w:r>
      <w:r>
        <w:rPr>
          <w:sz w:val="18"/>
        </w:rPr>
        <w:t>El Instituto para la Atención de Adultos Mayores ha promovido redes de gerontología comunitaria, con énfasis en la ayuda mutua, la autoayuda y la autogestión. En este caso, existen en el estado trescientos cincuenta y ocho grupos a los que se les ha instruido sobre     la medición de signos vitales, sobre la atención básica de sus padecimientos, y sobre la existencia</w:t>
      </w:r>
      <w:r>
        <w:rPr>
          <w:spacing w:val="-9"/>
          <w:sz w:val="18"/>
        </w:rPr>
        <w:t> </w:t>
      </w:r>
      <w:r>
        <w:rPr>
          <w:sz w:val="18"/>
        </w:rPr>
        <w:t>de</w:t>
      </w:r>
      <w:r>
        <w:rPr>
          <w:spacing w:val="-9"/>
          <w:sz w:val="18"/>
        </w:rPr>
        <w:t> </w:t>
      </w:r>
      <w:r>
        <w:rPr>
          <w:sz w:val="18"/>
        </w:rPr>
        <w:t>instituciones</w:t>
      </w:r>
      <w:r>
        <w:rPr>
          <w:spacing w:val="-9"/>
          <w:sz w:val="18"/>
        </w:rPr>
        <w:t> </w:t>
      </w:r>
      <w:r>
        <w:rPr>
          <w:sz w:val="18"/>
        </w:rPr>
        <w:t>formales</w:t>
      </w:r>
      <w:r>
        <w:rPr>
          <w:spacing w:val="-9"/>
          <w:sz w:val="18"/>
        </w:rPr>
        <w:t> </w:t>
      </w:r>
      <w:r>
        <w:rPr>
          <w:sz w:val="18"/>
        </w:rPr>
        <w:t>e</w:t>
      </w:r>
      <w:r>
        <w:rPr>
          <w:spacing w:val="-9"/>
          <w:sz w:val="18"/>
        </w:rPr>
        <w:t> </w:t>
      </w:r>
      <w:r>
        <w:rPr>
          <w:sz w:val="18"/>
        </w:rPr>
        <w:t>informales</w:t>
      </w:r>
      <w:r>
        <w:rPr>
          <w:spacing w:val="-9"/>
          <w:sz w:val="18"/>
        </w:rPr>
        <w:t> </w:t>
      </w:r>
      <w:r>
        <w:rPr>
          <w:sz w:val="18"/>
        </w:rPr>
        <w:t>de</w:t>
      </w:r>
      <w:r>
        <w:rPr>
          <w:spacing w:val="-9"/>
          <w:sz w:val="18"/>
        </w:rPr>
        <w:t> </w:t>
      </w:r>
      <w:r>
        <w:rPr>
          <w:sz w:val="18"/>
        </w:rPr>
        <w:t>apoyo.</w:t>
      </w:r>
      <w:r>
        <w:rPr>
          <w:spacing w:val="-9"/>
          <w:sz w:val="18"/>
        </w:rPr>
        <w:t> </w:t>
      </w:r>
      <w:r>
        <w:rPr>
          <w:sz w:val="18"/>
        </w:rPr>
        <w:t>Las</w:t>
      </w:r>
      <w:r>
        <w:rPr>
          <w:spacing w:val="-9"/>
          <w:sz w:val="18"/>
        </w:rPr>
        <w:t> </w:t>
      </w:r>
      <w:r>
        <w:rPr>
          <w:sz w:val="18"/>
        </w:rPr>
        <w:t>primeras</w:t>
      </w:r>
      <w:r>
        <w:rPr>
          <w:spacing w:val="-9"/>
          <w:sz w:val="18"/>
        </w:rPr>
        <w:t> </w:t>
      </w:r>
      <w:r>
        <w:rPr>
          <w:sz w:val="18"/>
        </w:rPr>
        <w:t>se</w:t>
      </w:r>
      <w:r>
        <w:rPr>
          <w:spacing w:val="-9"/>
          <w:sz w:val="18"/>
        </w:rPr>
        <w:t> </w:t>
      </w:r>
      <w:r>
        <w:rPr>
          <w:sz w:val="18"/>
        </w:rPr>
        <w:t>refieren</w:t>
      </w:r>
      <w:r>
        <w:rPr>
          <w:spacing w:val="-9"/>
          <w:sz w:val="18"/>
        </w:rPr>
        <w:t> </w:t>
      </w:r>
      <w:r>
        <w:rPr>
          <w:sz w:val="18"/>
        </w:rPr>
        <w:t>a</w:t>
      </w:r>
      <w:r>
        <w:rPr>
          <w:spacing w:val="-9"/>
          <w:sz w:val="18"/>
        </w:rPr>
        <w:t> </w:t>
      </w:r>
      <w:r>
        <w:rPr>
          <w:sz w:val="18"/>
        </w:rPr>
        <w:t>instancias gubernamentales, mientras que las segundas incluyen asociaciones civiles dedicadas a la atención de adultos mayores. Una tercera modalidad de organizaciones se refiere a redes de investigación que se han dedicado principalmente a conocer los tipos de apoyos para adultos mayores que se prestan por cada</w:t>
      </w:r>
      <w:r>
        <w:rPr>
          <w:spacing w:val="-3"/>
          <w:sz w:val="18"/>
        </w:rPr>
        <w:t> </w:t>
      </w:r>
      <w:r>
        <w:rPr>
          <w:sz w:val="18"/>
        </w:rPr>
        <w:t>municipio.</w:t>
      </w:r>
    </w:p>
    <w:p>
      <w:pPr>
        <w:spacing w:after="0" w:line="249" w:lineRule="auto"/>
        <w:jc w:val="both"/>
        <w:rPr>
          <w:sz w:val="18"/>
        </w:rPr>
        <w:sectPr>
          <w:pgSz w:w="9360" w:h="13040"/>
          <w:pgMar w:header="531" w:footer="515" w:top="720" w:bottom="700" w:left="740" w:right="1300"/>
        </w:sectPr>
      </w:pPr>
    </w:p>
    <w:p>
      <w:pPr>
        <w:pStyle w:val="BodyText"/>
        <w:spacing w:before="11"/>
        <w:rPr>
          <w:sz w:val="29"/>
        </w:rPr>
      </w:pPr>
    </w:p>
    <w:p>
      <w:pPr>
        <w:spacing w:before="70"/>
        <w:ind w:left="117" w:right="107" w:firstLine="0"/>
        <w:jc w:val="both"/>
        <w:rPr>
          <w:sz w:val="23"/>
        </w:rPr>
      </w:pPr>
      <w:r>
        <w:rPr>
          <w:i/>
          <w:sz w:val="23"/>
        </w:rPr>
        <w:t>unidad</w:t>
      </w:r>
      <w:r>
        <w:rPr>
          <w:i/>
          <w:spacing w:val="-16"/>
          <w:sz w:val="23"/>
        </w:rPr>
        <w:t> </w:t>
      </w:r>
      <w:r>
        <w:rPr>
          <w:i/>
          <w:sz w:val="23"/>
        </w:rPr>
        <w:t>de</w:t>
      </w:r>
      <w:r>
        <w:rPr>
          <w:i/>
          <w:spacing w:val="-16"/>
          <w:sz w:val="23"/>
        </w:rPr>
        <w:t> </w:t>
      </w:r>
      <w:r>
        <w:rPr>
          <w:i/>
          <w:sz w:val="23"/>
        </w:rPr>
        <w:t>memoria</w:t>
      </w:r>
      <w:r>
        <w:rPr>
          <w:sz w:val="23"/>
        </w:rPr>
        <w:t>,</w:t>
      </w:r>
      <w:r>
        <w:rPr>
          <w:spacing w:val="-16"/>
          <w:sz w:val="23"/>
        </w:rPr>
        <w:t> </w:t>
      </w:r>
      <w:r>
        <w:rPr>
          <w:sz w:val="23"/>
        </w:rPr>
        <w:t>evalúa</w:t>
      </w:r>
      <w:r>
        <w:rPr>
          <w:spacing w:val="-16"/>
          <w:sz w:val="23"/>
        </w:rPr>
        <w:t> </w:t>
      </w:r>
      <w:r>
        <w:rPr>
          <w:sz w:val="23"/>
        </w:rPr>
        <w:t>y</w:t>
      </w:r>
      <w:r>
        <w:rPr>
          <w:spacing w:val="-16"/>
          <w:sz w:val="23"/>
        </w:rPr>
        <w:t> </w:t>
      </w:r>
      <w:r>
        <w:rPr>
          <w:sz w:val="23"/>
        </w:rPr>
        <w:t>atiende</w:t>
      </w:r>
      <w:r>
        <w:rPr>
          <w:spacing w:val="-16"/>
          <w:sz w:val="23"/>
        </w:rPr>
        <w:t> </w:t>
      </w:r>
      <w:r>
        <w:rPr>
          <w:sz w:val="23"/>
        </w:rPr>
        <w:t>las</w:t>
      </w:r>
      <w:r>
        <w:rPr>
          <w:spacing w:val="-16"/>
          <w:sz w:val="23"/>
        </w:rPr>
        <w:t> </w:t>
      </w:r>
      <w:r>
        <w:rPr>
          <w:sz w:val="23"/>
        </w:rPr>
        <w:t>funciones</w:t>
      </w:r>
      <w:r>
        <w:rPr>
          <w:spacing w:val="-16"/>
          <w:sz w:val="23"/>
        </w:rPr>
        <w:t> </w:t>
      </w:r>
      <w:r>
        <w:rPr>
          <w:sz w:val="23"/>
        </w:rPr>
        <w:t>mentales;</w:t>
      </w:r>
      <w:r>
        <w:rPr>
          <w:spacing w:val="-16"/>
          <w:sz w:val="23"/>
        </w:rPr>
        <w:t> </w:t>
      </w:r>
      <w:r>
        <w:rPr>
          <w:sz w:val="23"/>
        </w:rPr>
        <w:t>y</w:t>
      </w:r>
      <w:r>
        <w:rPr>
          <w:spacing w:val="-16"/>
          <w:sz w:val="23"/>
        </w:rPr>
        <w:t> </w:t>
      </w:r>
      <w:r>
        <w:rPr>
          <w:sz w:val="23"/>
        </w:rPr>
        <w:t>13)</w:t>
      </w:r>
      <w:r>
        <w:rPr>
          <w:spacing w:val="-16"/>
          <w:sz w:val="23"/>
        </w:rPr>
        <w:t> </w:t>
      </w:r>
      <w:r>
        <w:rPr>
          <w:i/>
          <w:sz w:val="23"/>
        </w:rPr>
        <w:t>consultorio </w:t>
      </w:r>
      <w:r>
        <w:rPr>
          <w:i/>
          <w:sz w:val="23"/>
        </w:rPr>
        <w:t>y laboratorio óptico</w:t>
      </w:r>
      <w:r>
        <w:rPr>
          <w:sz w:val="23"/>
        </w:rPr>
        <w:t>, proporciona</w:t>
      </w:r>
      <w:r>
        <w:rPr>
          <w:spacing w:val="3"/>
          <w:sz w:val="23"/>
        </w:rPr>
        <w:t> </w:t>
      </w:r>
      <w:r>
        <w:rPr>
          <w:sz w:val="23"/>
        </w:rPr>
        <w:t>lentes</w:t>
      </w:r>
      <w:r>
        <w:rPr>
          <w:position w:val="8"/>
          <w:sz w:val="13"/>
        </w:rPr>
        <w:t>170</w:t>
      </w:r>
      <w:r>
        <w:rPr>
          <w:sz w:val="23"/>
        </w:rPr>
        <w:t>.</w:t>
      </w:r>
    </w:p>
    <w:p>
      <w:pPr>
        <w:pStyle w:val="BodyText"/>
        <w:spacing w:before="2"/>
        <w:rPr>
          <w:sz w:val="22"/>
        </w:rPr>
      </w:pPr>
    </w:p>
    <w:p>
      <w:pPr>
        <w:pStyle w:val="Heading3"/>
      </w:pPr>
      <w:r>
        <w:rPr/>
        <w:t>El Instituto Hidalguense de la Juventud (IHJ).</w:t>
      </w:r>
    </w:p>
    <w:p>
      <w:pPr>
        <w:pStyle w:val="BodyText"/>
        <w:spacing w:before="6"/>
        <w:rPr>
          <w:b/>
          <w:sz w:val="22"/>
        </w:rPr>
      </w:pPr>
    </w:p>
    <w:p>
      <w:pPr>
        <w:pStyle w:val="BodyText"/>
        <w:spacing w:line="235" w:lineRule="auto" w:before="1"/>
        <w:ind w:left="117" w:right="107"/>
        <w:jc w:val="both"/>
      </w:pPr>
      <w:r>
        <w:rPr/>
        <w:t>Los</w:t>
      </w:r>
      <w:r>
        <w:rPr>
          <w:spacing w:val="-6"/>
        </w:rPr>
        <w:t> </w:t>
      </w:r>
      <w:r>
        <w:rPr/>
        <w:t>esquemas</w:t>
      </w:r>
      <w:r>
        <w:rPr>
          <w:spacing w:val="-6"/>
        </w:rPr>
        <w:t> </w:t>
      </w:r>
      <w:r>
        <w:rPr/>
        <w:t>federales</w:t>
      </w:r>
      <w:r>
        <w:rPr>
          <w:spacing w:val="-6"/>
        </w:rPr>
        <w:t> </w:t>
      </w:r>
      <w:r>
        <w:rPr/>
        <w:t>descentralizados</w:t>
      </w:r>
      <w:r>
        <w:rPr>
          <w:spacing w:val="-6"/>
        </w:rPr>
        <w:t> </w:t>
      </w:r>
      <w:r>
        <w:rPr/>
        <w:t>que</w:t>
      </w:r>
      <w:r>
        <w:rPr>
          <w:spacing w:val="-6"/>
        </w:rPr>
        <w:t> </w:t>
      </w:r>
      <w:r>
        <w:rPr/>
        <w:t>ejecuta</w:t>
      </w:r>
      <w:r>
        <w:rPr>
          <w:spacing w:val="-6"/>
        </w:rPr>
        <w:t> </w:t>
      </w:r>
      <w:r>
        <w:rPr/>
        <w:t>el</w:t>
      </w:r>
      <w:r>
        <w:rPr>
          <w:spacing w:val="-6"/>
        </w:rPr>
        <w:t> </w:t>
      </w:r>
      <w:r>
        <w:rPr/>
        <w:t>Instituto</w:t>
      </w:r>
      <w:r>
        <w:rPr>
          <w:spacing w:val="-6"/>
        </w:rPr>
        <w:t> </w:t>
      </w:r>
      <w:r>
        <w:rPr/>
        <w:t>Hidalguense de la Juventud son dos, el primero de ellos se denomina </w:t>
      </w:r>
      <w:r>
        <w:rPr>
          <w:i/>
        </w:rPr>
        <w:t>espacios poder </w:t>
      </w:r>
      <w:r>
        <w:rPr>
          <w:i/>
        </w:rPr>
        <w:t>joven</w:t>
      </w:r>
      <w:r>
        <w:rPr/>
        <w:t>,</w:t>
      </w:r>
      <w:r>
        <w:rPr>
          <w:spacing w:val="-7"/>
        </w:rPr>
        <w:t> </w:t>
      </w:r>
      <w:r>
        <w:rPr/>
        <w:t>con</w:t>
      </w:r>
      <w:r>
        <w:rPr>
          <w:spacing w:val="-8"/>
        </w:rPr>
        <w:t> </w:t>
      </w:r>
      <w:r>
        <w:rPr/>
        <w:t>trece</w:t>
      </w:r>
      <w:r>
        <w:rPr>
          <w:spacing w:val="-7"/>
        </w:rPr>
        <w:t> </w:t>
      </w:r>
      <w:r>
        <w:rPr/>
        <w:t>establecimientos</w:t>
      </w:r>
      <w:r>
        <w:rPr>
          <w:spacing w:val="-8"/>
        </w:rPr>
        <w:t> </w:t>
      </w:r>
      <w:r>
        <w:rPr/>
        <w:t>en</w:t>
      </w:r>
      <w:r>
        <w:rPr>
          <w:spacing w:val="-7"/>
        </w:rPr>
        <w:t> </w:t>
      </w:r>
      <w:r>
        <w:rPr/>
        <w:t>el</w:t>
      </w:r>
      <w:r>
        <w:rPr>
          <w:spacing w:val="-7"/>
        </w:rPr>
        <w:t> </w:t>
      </w:r>
      <w:r>
        <w:rPr/>
        <w:t>estado</w:t>
      </w:r>
      <w:r>
        <w:rPr>
          <w:spacing w:val="-8"/>
        </w:rPr>
        <w:t> </w:t>
      </w:r>
      <w:r>
        <w:rPr/>
        <w:t>destinados</w:t>
      </w:r>
      <w:r>
        <w:rPr>
          <w:spacing w:val="-7"/>
        </w:rPr>
        <w:t> </w:t>
      </w:r>
      <w:r>
        <w:rPr/>
        <w:t>a</w:t>
      </w:r>
      <w:r>
        <w:rPr>
          <w:spacing w:val="-7"/>
        </w:rPr>
        <w:t> </w:t>
      </w:r>
      <w:r>
        <w:rPr/>
        <w:t>lograr</w:t>
      </w:r>
      <w:r>
        <w:rPr>
          <w:spacing w:val="-8"/>
        </w:rPr>
        <w:t> </w:t>
      </w:r>
      <w:r>
        <w:rPr/>
        <w:t>capacidades mediante la comunicación en la web, la lectura, la asesoría y el estímulo     de la creatividad. El otro programa se considera de carácter asistencial y se denomina </w:t>
      </w:r>
      <w:r>
        <w:rPr>
          <w:i/>
        </w:rPr>
        <w:t>línea joven a joven</w:t>
      </w:r>
      <w:r>
        <w:rPr/>
        <w:t>, se basa en la orientación</w:t>
      </w:r>
      <w:r>
        <w:rPr>
          <w:spacing w:val="-1"/>
        </w:rPr>
        <w:t> </w:t>
      </w:r>
      <w:r>
        <w:rPr/>
        <w:t>psicológica</w:t>
      </w:r>
      <w:r>
        <w:rPr>
          <w:position w:val="8"/>
          <w:sz w:val="13"/>
        </w:rPr>
        <w:t>171</w:t>
      </w:r>
      <w:r>
        <w:rPr/>
        <w:t>.</w:t>
      </w:r>
    </w:p>
    <w:p>
      <w:pPr>
        <w:pStyle w:val="BodyText"/>
        <w:spacing w:before="7"/>
        <w:rPr>
          <w:sz w:val="22"/>
        </w:rPr>
      </w:pPr>
    </w:p>
    <w:p>
      <w:pPr>
        <w:pStyle w:val="BodyText"/>
        <w:spacing w:line="235" w:lineRule="auto" w:before="1"/>
        <w:ind w:left="117" w:right="107"/>
        <w:jc w:val="both"/>
      </w:pPr>
      <w:r>
        <w:rPr/>
        <w:t>Para complementar su objeto, el instituto que nos ocupa en el presente apartado ejecutó en 2010 catorce actividades de diseño propio, de los cuales, ocho fueron clasificadas como acciones de capacidades (57.14% del total   de acciones, cinco de cultura cívica, dos de manifestación de talentos y una especializada en la capacidad de controlar el efecto de las bebidas etílicas), una se relacionó con oportunidades de ingreso (7.14% del total de acciones), ninguna correspondió al patrimonio, y cinco fueron de carácter asistencial (35.71% del total de acciones)</w:t>
      </w:r>
      <w:r>
        <w:rPr>
          <w:spacing w:val="-20"/>
        </w:rPr>
        <w:t> </w:t>
      </w:r>
      <w:r>
        <w:rPr>
          <w:position w:val="8"/>
          <w:sz w:val="13"/>
        </w:rPr>
        <w:t>172</w:t>
      </w:r>
      <w:r>
        <w:rPr/>
        <w:t>.</w:t>
      </w:r>
    </w:p>
    <w:p>
      <w:pPr>
        <w:pStyle w:val="BodyText"/>
        <w:spacing w:before="10"/>
        <w:rPr>
          <w:sz w:val="22"/>
        </w:rPr>
      </w:pPr>
    </w:p>
    <w:p>
      <w:pPr>
        <w:pStyle w:val="BodyText"/>
        <w:spacing w:line="260" w:lineRule="exact"/>
        <w:ind w:left="117" w:right="107"/>
        <w:jc w:val="both"/>
      </w:pPr>
      <w:r>
        <w:rPr/>
        <w:t>El grupo de mayor énfasis está constituido por una serie de eventos dirigidos a congregar jóvenes para la realización de servicio  social  masivo  y  así crear cultura cívica, pero cuya característica paralela, según expresiones de los mismos participantes, es la inducción de las masas juveniles hacia la militancia activa en el partido político gobernante: 1) </w:t>
      </w:r>
      <w:r>
        <w:rPr>
          <w:i/>
        </w:rPr>
        <w:t>de pinta por Hidalgo</w:t>
      </w:r>
      <w:r>
        <w:rPr/>
        <w:t>, durante veinte fechas se convocó a la rehabilitación de espacios públicos mediante voluntarios, en la más importante, seiscientos jóvenes se reunieron en</w:t>
      </w:r>
      <w:r>
        <w:rPr>
          <w:spacing w:val="-5"/>
        </w:rPr>
        <w:t> </w:t>
      </w:r>
      <w:r>
        <w:rPr/>
        <w:t>la</w:t>
      </w:r>
      <w:r>
        <w:rPr>
          <w:spacing w:val="-5"/>
        </w:rPr>
        <w:t> </w:t>
      </w:r>
      <w:r>
        <w:rPr/>
        <w:t>colonia</w:t>
      </w:r>
      <w:r>
        <w:rPr>
          <w:spacing w:val="-5"/>
        </w:rPr>
        <w:t> </w:t>
      </w:r>
      <w:r>
        <w:rPr/>
        <w:t>La</w:t>
      </w:r>
      <w:r>
        <w:rPr>
          <w:spacing w:val="-5"/>
        </w:rPr>
        <w:t> </w:t>
      </w:r>
      <w:r>
        <w:rPr/>
        <w:t>Raza</w:t>
      </w:r>
      <w:r>
        <w:rPr>
          <w:spacing w:val="-5"/>
        </w:rPr>
        <w:t> </w:t>
      </w:r>
      <w:r>
        <w:rPr/>
        <w:t>de</w:t>
      </w:r>
      <w:r>
        <w:rPr>
          <w:spacing w:val="-5"/>
        </w:rPr>
        <w:t> </w:t>
      </w:r>
      <w:r>
        <w:rPr/>
        <w:t>Pachuca</w:t>
      </w:r>
      <w:r>
        <w:rPr>
          <w:spacing w:val="-5"/>
        </w:rPr>
        <w:t> </w:t>
      </w:r>
      <w:r>
        <w:rPr/>
        <w:t>mejorando</w:t>
      </w:r>
      <w:r>
        <w:rPr>
          <w:spacing w:val="-5"/>
        </w:rPr>
        <w:t> </w:t>
      </w:r>
      <w:r>
        <w:rPr/>
        <w:t>paredes</w:t>
      </w:r>
      <w:r>
        <w:rPr>
          <w:spacing w:val="-5"/>
        </w:rPr>
        <w:t> </w:t>
      </w:r>
      <w:r>
        <w:rPr/>
        <w:t>y</w:t>
      </w:r>
      <w:r>
        <w:rPr>
          <w:spacing w:val="-5"/>
        </w:rPr>
        <w:t> </w:t>
      </w:r>
      <w:r>
        <w:rPr/>
        <w:t>canchas</w:t>
      </w:r>
      <w:r>
        <w:rPr>
          <w:spacing w:val="-5"/>
        </w:rPr>
        <w:t> </w:t>
      </w:r>
      <w:r>
        <w:rPr/>
        <w:t>con</w:t>
      </w:r>
      <w:r>
        <w:rPr>
          <w:spacing w:val="-5"/>
        </w:rPr>
        <w:t> </w:t>
      </w:r>
      <w:r>
        <w:rPr/>
        <w:t>grafiti,</w:t>
      </w:r>
      <w:r>
        <w:rPr>
          <w:spacing w:val="-5"/>
        </w:rPr>
        <w:t> </w:t>
      </w:r>
      <w:r>
        <w:rPr/>
        <w:t>la Secretaría</w:t>
      </w:r>
      <w:r>
        <w:rPr>
          <w:spacing w:val="-26"/>
        </w:rPr>
        <w:t> </w:t>
      </w:r>
      <w:r>
        <w:rPr/>
        <w:t>de</w:t>
      </w:r>
      <w:r>
        <w:rPr>
          <w:spacing w:val="-27"/>
        </w:rPr>
        <w:t> </w:t>
      </w:r>
      <w:r>
        <w:rPr/>
        <w:t>Desarrollo</w:t>
      </w:r>
      <w:r>
        <w:rPr>
          <w:spacing w:val="-26"/>
        </w:rPr>
        <w:t> </w:t>
      </w:r>
      <w:r>
        <w:rPr/>
        <w:t>Social</w:t>
      </w:r>
      <w:r>
        <w:rPr>
          <w:spacing w:val="-26"/>
        </w:rPr>
        <w:t> </w:t>
      </w:r>
      <w:r>
        <w:rPr/>
        <w:t>del</w:t>
      </w:r>
      <w:r>
        <w:rPr>
          <w:spacing w:val="-27"/>
        </w:rPr>
        <w:t> </w:t>
      </w:r>
      <w:r>
        <w:rPr/>
        <w:t>estado</w:t>
      </w:r>
      <w:r>
        <w:rPr>
          <w:spacing w:val="-27"/>
        </w:rPr>
        <w:t> </w:t>
      </w:r>
      <w:r>
        <w:rPr/>
        <w:t>aportó</w:t>
      </w:r>
      <w:r>
        <w:rPr>
          <w:spacing w:val="-27"/>
        </w:rPr>
        <w:t> </w:t>
      </w:r>
      <w:r>
        <w:rPr/>
        <w:t>pintura,</w:t>
      </w:r>
      <w:r>
        <w:rPr>
          <w:spacing w:val="-27"/>
        </w:rPr>
        <w:t> </w:t>
      </w:r>
      <w:r>
        <w:rPr/>
        <w:t>comida</w:t>
      </w:r>
      <w:r>
        <w:rPr>
          <w:spacing w:val="-27"/>
        </w:rPr>
        <w:t> </w:t>
      </w:r>
      <w:r>
        <w:rPr/>
        <w:t>y</w:t>
      </w:r>
      <w:r>
        <w:rPr>
          <w:spacing w:val="-27"/>
        </w:rPr>
        <w:t> </w:t>
      </w:r>
      <w:r>
        <w:rPr/>
        <w:t>una</w:t>
      </w:r>
      <w:r>
        <w:rPr>
          <w:spacing w:val="-27"/>
        </w:rPr>
        <w:t> </w:t>
      </w:r>
      <w:r>
        <w:rPr/>
        <w:t>playera;</w:t>
      </w:r>
    </w:p>
    <w:p>
      <w:pPr>
        <w:pStyle w:val="BodyText"/>
        <w:spacing w:line="260" w:lineRule="exact"/>
        <w:ind w:left="117" w:right="107"/>
        <w:jc w:val="both"/>
      </w:pPr>
      <w:r>
        <w:rPr/>
        <w:pict>
          <v:line style="position:absolute;mso-position-horizontal-relative:page;mso-position-vertical-relative:paragraph;z-index:2992;mso-wrap-distance-left:0;mso-wrap-distance-right:0" from="70.866096pt,66.806091pt" to="142.866096pt,66.806091pt" stroked="true" strokeweight="1pt" strokecolor="#000000">
            <w10:wrap type="topAndBottom"/>
          </v:line>
        </w:pict>
      </w:r>
      <w:r>
        <w:rPr/>
        <w:t>2) </w:t>
      </w:r>
      <w:r>
        <w:rPr>
          <w:i/>
        </w:rPr>
        <w:t>reforestación joven</w:t>
      </w:r>
      <w:r>
        <w:rPr/>
        <w:t>, voluntarios trabajaron en dos fechas en coordinación con la comisión nacional forestal (que aportó los árboles), la acción principal se realizó en El Hiloche, Real del Monte; 3) </w:t>
      </w:r>
      <w:r>
        <w:rPr>
          <w:i/>
        </w:rPr>
        <w:t>abriga tu estado</w:t>
      </w:r>
      <w:r>
        <w:rPr/>
        <w:t>, voluntarios recolectaron ropa invernal para distribuirla en la sierra </w:t>
      </w:r>
      <w:r>
        <w:rPr>
          <w:spacing w:val="-3"/>
        </w:rPr>
        <w:t>Tepehua, </w:t>
      </w:r>
      <w:r>
        <w:rPr/>
        <w:t>en </w:t>
      </w:r>
      <w:r>
        <w:rPr>
          <w:spacing w:val="-3"/>
        </w:rPr>
        <w:t>Tenango, </w:t>
      </w:r>
      <w:r>
        <w:rPr/>
        <w:t>en Huehuetla y en San Bartolo, la actividad inició con un concierto del</w:t>
      </w:r>
      <w:r>
        <w:rPr>
          <w:spacing w:val="-34"/>
        </w:rPr>
        <w:t> </w:t>
      </w:r>
      <w:r>
        <w:rPr/>
        <w:t>grupo</w:t>
      </w:r>
    </w:p>
    <w:p>
      <w:pPr>
        <w:spacing w:before="0"/>
        <w:ind w:left="117" w:right="0" w:firstLine="0"/>
        <w:jc w:val="both"/>
        <w:rPr>
          <w:i/>
          <w:sz w:val="18"/>
        </w:rPr>
      </w:pPr>
      <w:r>
        <w:rPr>
          <w:w w:val="105"/>
          <w:position w:val="7"/>
          <w:sz w:val="11"/>
        </w:rPr>
        <w:t>170  </w:t>
      </w:r>
      <w:r>
        <w:rPr>
          <w:i/>
          <w:w w:val="105"/>
          <w:sz w:val="18"/>
        </w:rPr>
        <w:t>Ibídem.</w:t>
      </w:r>
    </w:p>
    <w:p>
      <w:pPr>
        <w:spacing w:line="249" w:lineRule="auto" w:before="28"/>
        <w:ind w:left="400" w:right="0" w:hanging="284"/>
        <w:jc w:val="left"/>
        <w:rPr>
          <w:sz w:val="18"/>
        </w:rPr>
      </w:pPr>
      <w:r>
        <w:rPr>
          <w:position w:val="7"/>
          <w:sz w:val="11"/>
        </w:rPr>
        <w:t>171 </w:t>
      </w:r>
      <w:r>
        <w:rPr>
          <w:sz w:val="18"/>
        </w:rPr>
        <w:t>Información proporcionada para esta investigación en entrevista con personal del instituto hidalguense de la juventud, diciembre del 2010.</w:t>
      </w:r>
    </w:p>
    <w:p>
      <w:pPr>
        <w:spacing w:line="249" w:lineRule="auto" w:before="20"/>
        <w:ind w:left="400" w:right="0" w:hanging="284"/>
        <w:jc w:val="left"/>
        <w:rPr>
          <w:sz w:val="18"/>
        </w:rPr>
      </w:pPr>
      <w:r>
        <w:rPr>
          <w:position w:val="7"/>
          <w:sz w:val="11"/>
        </w:rPr>
        <w:t>172 </w:t>
      </w:r>
      <w:r>
        <w:rPr>
          <w:sz w:val="18"/>
        </w:rPr>
        <w:t>Porcentajes calculados por el autor con información proporcionada para esta investigación en entrevista con personal del instituto hidalguense de la juventud, diciembre del 2010.</w:t>
      </w:r>
    </w:p>
    <w:p>
      <w:pPr>
        <w:spacing w:after="0" w:line="249" w:lineRule="auto"/>
        <w:jc w:val="left"/>
        <w:rPr>
          <w:sz w:val="18"/>
        </w:rPr>
        <w:sectPr>
          <w:footerReference w:type="default" r:id="rId204"/>
          <w:footerReference w:type="even" r:id="rId205"/>
          <w:pgSz w:w="9360" w:h="13040"/>
          <w:pgMar w:footer="515" w:header="531" w:top="940" w:bottom="700" w:left="1300" w:right="740"/>
          <w:pgNumType w:start="129"/>
        </w:sectPr>
      </w:pPr>
    </w:p>
    <w:p>
      <w:pPr>
        <w:pStyle w:val="BodyText"/>
        <w:rPr>
          <w:sz w:val="20"/>
        </w:rPr>
      </w:pPr>
    </w:p>
    <w:p>
      <w:pPr>
        <w:pStyle w:val="BodyText"/>
        <w:spacing w:before="1"/>
        <w:rPr>
          <w:sz w:val="29"/>
        </w:rPr>
      </w:pPr>
    </w:p>
    <w:p>
      <w:pPr>
        <w:spacing w:line="235" w:lineRule="auto" w:before="75"/>
        <w:ind w:left="110" w:right="115" w:firstLine="0"/>
        <w:jc w:val="both"/>
        <w:rPr>
          <w:sz w:val="23"/>
        </w:rPr>
      </w:pPr>
      <w:r>
        <w:rPr>
          <w:i/>
          <w:sz w:val="23"/>
        </w:rPr>
        <w:t>Intocable</w:t>
      </w:r>
      <w:r>
        <w:rPr>
          <w:sz w:val="23"/>
        </w:rPr>
        <w:t>; 4) </w:t>
      </w:r>
      <w:r>
        <w:rPr>
          <w:i/>
          <w:sz w:val="23"/>
        </w:rPr>
        <w:t>regala </w:t>
      </w:r>
      <w:r>
        <w:rPr>
          <w:i/>
          <w:spacing w:val="-6"/>
          <w:sz w:val="23"/>
        </w:rPr>
        <w:t>amor, </w:t>
      </w:r>
      <w:r>
        <w:rPr>
          <w:i/>
          <w:sz w:val="23"/>
        </w:rPr>
        <w:t>dona un juguete</w:t>
      </w:r>
      <w:r>
        <w:rPr>
          <w:sz w:val="23"/>
        </w:rPr>
        <w:t>, campaña para la recolección de cinco mil juguetes para zonas marginadas en Tulancingo e Ixmiquilpan, la actividad</w:t>
      </w:r>
      <w:r>
        <w:rPr>
          <w:spacing w:val="-6"/>
          <w:sz w:val="23"/>
        </w:rPr>
        <w:t> </w:t>
      </w:r>
      <w:r>
        <w:rPr>
          <w:sz w:val="23"/>
        </w:rPr>
        <w:t>inició</w:t>
      </w:r>
      <w:r>
        <w:rPr>
          <w:spacing w:val="-5"/>
          <w:sz w:val="23"/>
        </w:rPr>
        <w:t> </w:t>
      </w:r>
      <w:r>
        <w:rPr>
          <w:sz w:val="23"/>
        </w:rPr>
        <w:t>con</w:t>
      </w:r>
      <w:r>
        <w:rPr>
          <w:spacing w:val="-5"/>
          <w:sz w:val="23"/>
        </w:rPr>
        <w:t> </w:t>
      </w:r>
      <w:r>
        <w:rPr>
          <w:sz w:val="23"/>
        </w:rPr>
        <w:t>un</w:t>
      </w:r>
      <w:r>
        <w:rPr>
          <w:spacing w:val="-5"/>
          <w:sz w:val="23"/>
        </w:rPr>
        <w:t> </w:t>
      </w:r>
      <w:r>
        <w:rPr>
          <w:sz w:val="23"/>
        </w:rPr>
        <w:t>concierto</w:t>
      </w:r>
      <w:r>
        <w:rPr>
          <w:spacing w:val="-6"/>
          <w:sz w:val="23"/>
        </w:rPr>
        <w:t> </w:t>
      </w:r>
      <w:r>
        <w:rPr>
          <w:sz w:val="23"/>
        </w:rPr>
        <w:t>de</w:t>
      </w:r>
      <w:r>
        <w:rPr>
          <w:spacing w:val="-5"/>
          <w:sz w:val="23"/>
        </w:rPr>
        <w:t> </w:t>
      </w:r>
      <w:r>
        <w:rPr>
          <w:i/>
          <w:sz w:val="23"/>
        </w:rPr>
        <w:t>Gloria</w:t>
      </w:r>
      <w:r>
        <w:rPr>
          <w:i/>
          <w:spacing w:val="-5"/>
          <w:sz w:val="23"/>
        </w:rPr>
        <w:t> </w:t>
      </w:r>
      <w:r>
        <w:rPr>
          <w:i/>
          <w:spacing w:val="-4"/>
          <w:sz w:val="23"/>
        </w:rPr>
        <w:t>Trevi</w:t>
      </w:r>
      <w:r>
        <w:rPr>
          <w:spacing w:val="-4"/>
          <w:sz w:val="23"/>
        </w:rPr>
        <w:t>;</w:t>
      </w:r>
      <w:r>
        <w:rPr>
          <w:spacing w:val="-5"/>
          <w:sz w:val="23"/>
        </w:rPr>
        <w:t> </w:t>
      </w:r>
      <w:r>
        <w:rPr>
          <w:sz w:val="23"/>
        </w:rPr>
        <w:t>y</w:t>
      </w:r>
      <w:r>
        <w:rPr>
          <w:spacing w:val="-5"/>
          <w:sz w:val="23"/>
        </w:rPr>
        <w:t> </w:t>
      </w:r>
      <w:r>
        <w:rPr>
          <w:sz w:val="23"/>
        </w:rPr>
        <w:t>5)</w:t>
      </w:r>
      <w:r>
        <w:rPr>
          <w:spacing w:val="-5"/>
          <w:sz w:val="23"/>
        </w:rPr>
        <w:t> </w:t>
      </w:r>
      <w:r>
        <w:rPr>
          <w:i/>
          <w:sz w:val="23"/>
        </w:rPr>
        <w:t>recolección</w:t>
      </w:r>
      <w:r>
        <w:rPr>
          <w:i/>
          <w:spacing w:val="-6"/>
          <w:sz w:val="23"/>
        </w:rPr>
        <w:t> </w:t>
      </w:r>
      <w:r>
        <w:rPr>
          <w:i/>
          <w:sz w:val="23"/>
        </w:rPr>
        <w:t>de</w:t>
      </w:r>
      <w:r>
        <w:rPr>
          <w:i/>
          <w:spacing w:val="-5"/>
          <w:sz w:val="23"/>
        </w:rPr>
        <w:t> </w:t>
      </w:r>
      <w:r>
        <w:rPr>
          <w:i/>
          <w:sz w:val="23"/>
        </w:rPr>
        <w:t>granos</w:t>
      </w:r>
      <w:r>
        <w:rPr>
          <w:sz w:val="23"/>
        </w:rPr>
        <w:t>, campaña</w:t>
      </w:r>
      <w:r>
        <w:rPr>
          <w:spacing w:val="-5"/>
          <w:sz w:val="23"/>
        </w:rPr>
        <w:t> </w:t>
      </w:r>
      <w:r>
        <w:rPr>
          <w:sz w:val="23"/>
        </w:rPr>
        <w:t>para</w:t>
      </w:r>
      <w:r>
        <w:rPr>
          <w:spacing w:val="-5"/>
          <w:sz w:val="23"/>
        </w:rPr>
        <w:t> </w:t>
      </w:r>
      <w:r>
        <w:rPr>
          <w:sz w:val="23"/>
        </w:rPr>
        <w:t>la</w:t>
      </w:r>
      <w:r>
        <w:rPr>
          <w:spacing w:val="-5"/>
          <w:sz w:val="23"/>
        </w:rPr>
        <w:t> </w:t>
      </w:r>
      <w:r>
        <w:rPr>
          <w:sz w:val="23"/>
        </w:rPr>
        <w:t>recolección</w:t>
      </w:r>
      <w:r>
        <w:rPr>
          <w:spacing w:val="-5"/>
          <w:sz w:val="23"/>
        </w:rPr>
        <w:t> </w:t>
      </w:r>
      <w:r>
        <w:rPr>
          <w:sz w:val="23"/>
        </w:rPr>
        <w:t>de</w:t>
      </w:r>
      <w:r>
        <w:rPr>
          <w:spacing w:val="-5"/>
          <w:sz w:val="23"/>
        </w:rPr>
        <w:t> </w:t>
      </w:r>
      <w:r>
        <w:rPr>
          <w:sz w:val="23"/>
        </w:rPr>
        <w:t>doce</w:t>
      </w:r>
      <w:r>
        <w:rPr>
          <w:spacing w:val="-5"/>
          <w:sz w:val="23"/>
        </w:rPr>
        <w:t> </w:t>
      </w:r>
      <w:r>
        <w:rPr>
          <w:sz w:val="23"/>
        </w:rPr>
        <w:t>toneladas</w:t>
      </w:r>
      <w:r>
        <w:rPr>
          <w:spacing w:val="-5"/>
          <w:sz w:val="23"/>
        </w:rPr>
        <w:t> </w:t>
      </w:r>
      <w:r>
        <w:rPr>
          <w:sz w:val="23"/>
        </w:rPr>
        <w:t>de</w:t>
      </w:r>
      <w:r>
        <w:rPr>
          <w:spacing w:val="-5"/>
          <w:sz w:val="23"/>
        </w:rPr>
        <w:t> </w:t>
      </w:r>
      <w:r>
        <w:rPr>
          <w:sz w:val="23"/>
        </w:rPr>
        <w:t>comestibles</w:t>
      </w:r>
      <w:r>
        <w:rPr>
          <w:spacing w:val="-5"/>
          <w:sz w:val="23"/>
        </w:rPr>
        <w:t> </w:t>
      </w:r>
      <w:r>
        <w:rPr>
          <w:sz w:val="23"/>
        </w:rPr>
        <w:t>básicos</w:t>
      </w:r>
      <w:r>
        <w:rPr>
          <w:spacing w:val="-5"/>
          <w:sz w:val="23"/>
        </w:rPr>
        <w:t> </w:t>
      </w:r>
      <w:r>
        <w:rPr>
          <w:sz w:val="23"/>
        </w:rPr>
        <w:t>para</w:t>
      </w:r>
      <w:r>
        <w:rPr>
          <w:spacing w:val="-5"/>
          <w:sz w:val="23"/>
        </w:rPr>
        <w:t> </w:t>
      </w:r>
      <w:r>
        <w:rPr>
          <w:sz w:val="23"/>
        </w:rPr>
        <w:t>la zona</w:t>
      </w:r>
      <w:r>
        <w:rPr>
          <w:spacing w:val="4"/>
          <w:sz w:val="23"/>
        </w:rPr>
        <w:t> </w:t>
      </w:r>
      <w:r>
        <w:rPr>
          <w:sz w:val="23"/>
        </w:rPr>
        <w:t>otomí-tepehua</w:t>
      </w:r>
      <w:r>
        <w:rPr>
          <w:position w:val="8"/>
          <w:sz w:val="13"/>
        </w:rPr>
        <w:t>173</w:t>
      </w:r>
      <w:r>
        <w:rPr>
          <w:sz w:val="23"/>
        </w:rPr>
        <w:t>.</w:t>
      </w:r>
    </w:p>
    <w:p>
      <w:pPr>
        <w:pStyle w:val="BodyText"/>
        <w:spacing w:before="7"/>
        <w:rPr>
          <w:sz w:val="22"/>
        </w:rPr>
      </w:pPr>
    </w:p>
    <w:p>
      <w:pPr>
        <w:pStyle w:val="BodyText"/>
        <w:spacing w:line="235" w:lineRule="auto" w:before="1"/>
        <w:ind w:left="110" w:right="114"/>
        <w:jc w:val="both"/>
      </w:pPr>
      <w:r>
        <w:rPr>
          <w:spacing w:val="4"/>
        </w:rPr>
        <w:t>Unsegundogruposerefiereaestimularlamanifestacióndetalentos,</w:t>
      </w:r>
      <w:r>
        <w:rPr>
          <w:spacing w:val="-22"/>
        </w:rPr>
        <w:t> </w:t>
      </w:r>
      <w:r>
        <w:rPr/>
        <w:t>destacando así, por una parte, diversos eventos de </w:t>
      </w:r>
      <w:r>
        <w:rPr>
          <w:i/>
        </w:rPr>
        <w:t>arte y cultura </w:t>
      </w:r>
      <w:r>
        <w:rPr/>
        <w:t>como exposiciones, teatro</w:t>
      </w:r>
      <w:r>
        <w:rPr>
          <w:spacing w:val="-4"/>
        </w:rPr>
        <w:t> </w:t>
      </w:r>
      <w:r>
        <w:rPr/>
        <w:t>circense,</w:t>
      </w:r>
      <w:r>
        <w:rPr>
          <w:spacing w:val="-4"/>
        </w:rPr>
        <w:t> </w:t>
      </w:r>
      <w:r>
        <w:rPr/>
        <w:t>así</w:t>
      </w:r>
      <w:r>
        <w:rPr>
          <w:spacing w:val="-4"/>
        </w:rPr>
        <w:t> </w:t>
      </w:r>
      <w:r>
        <w:rPr/>
        <w:t>como</w:t>
      </w:r>
      <w:r>
        <w:rPr>
          <w:spacing w:val="-4"/>
        </w:rPr>
        <w:t> </w:t>
      </w:r>
      <w:r>
        <w:rPr/>
        <w:t>concursos</w:t>
      </w:r>
      <w:r>
        <w:rPr>
          <w:spacing w:val="-4"/>
        </w:rPr>
        <w:t> </w:t>
      </w:r>
      <w:r>
        <w:rPr/>
        <w:t>de</w:t>
      </w:r>
      <w:r>
        <w:rPr>
          <w:spacing w:val="-4"/>
        </w:rPr>
        <w:t> </w:t>
      </w:r>
      <w:r>
        <w:rPr/>
        <w:t>cortometraje,</w:t>
      </w:r>
      <w:r>
        <w:rPr>
          <w:spacing w:val="-5"/>
        </w:rPr>
        <w:t> </w:t>
      </w:r>
      <w:r>
        <w:rPr/>
        <w:t>fotografía,</w:t>
      </w:r>
      <w:r>
        <w:rPr>
          <w:spacing w:val="-4"/>
        </w:rPr>
        <w:t> </w:t>
      </w:r>
      <w:r>
        <w:rPr/>
        <w:t>canto</w:t>
      </w:r>
      <w:r>
        <w:rPr>
          <w:spacing w:val="-4"/>
        </w:rPr>
        <w:t> </w:t>
      </w:r>
      <w:r>
        <w:rPr/>
        <w:t>y</w:t>
      </w:r>
      <w:r>
        <w:rPr>
          <w:spacing w:val="-4"/>
        </w:rPr>
        <w:t> </w:t>
      </w:r>
      <w:r>
        <w:rPr/>
        <w:t>baile; mientras que por otro lado, </w:t>
      </w:r>
      <w:r>
        <w:rPr>
          <w:i/>
        </w:rPr>
        <w:t>diversidad 84 </w:t>
      </w:r>
      <w:r>
        <w:rPr/>
        <w:t>fue un sondeo de opinión en otros temas como religión, política y diversión</w:t>
      </w:r>
      <w:r>
        <w:rPr>
          <w:position w:val="8"/>
          <w:sz w:val="13"/>
        </w:rPr>
        <w:t>174</w:t>
      </w:r>
      <w:r>
        <w:rPr/>
        <w:t>. El tercer tipo de actividades de capacidades se refiere a </w:t>
      </w:r>
      <w:r>
        <w:rPr>
          <w:i/>
        </w:rPr>
        <w:t>si tomas, toma taxi</w:t>
      </w:r>
      <w:r>
        <w:rPr/>
        <w:t>, campaña especializada en la capacidad de controlar el efecto de las bebidas etílicas mediante la cual se   le otorgó una pulsera al conductor designado, o bien, se dispuso de taxis con descuento que ostentaban un</w:t>
      </w:r>
      <w:r>
        <w:rPr>
          <w:spacing w:val="5"/>
        </w:rPr>
        <w:t> </w:t>
      </w:r>
      <w:r>
        <w:rPr/>
        <w:t>distintivo</w:t>
      </w:r>
      <w:r>
        <w:rPr>
          <w:position w:val="8"/>
          <w:sz w:val="13"/>
        </w:rPr>
        <w:t>175</w:t>
      </w:r>
      <w:r>
        <w:rPr/>
        <w:t>.</w:t>
      </w:r>
    </w:p>
    <w:p>
      <w:pPr>
        <w:pStyle w:val="BodyText"/>
        <w:spacing w:before="7"/>
        <w:rPr>
          <w:sz w:val="22"/>
        </w:rPr>
      </w:pPr>
    </w:p>
    <w:p>
      <w:pPr>
        <w:pStyle w:val="BodyText"/>
        <w:spacing w:line="235" w:lineRule="auto" w:before="1"/>
        <w:ind w:left="110" w:right="114"/>
        <w:jc w:val="both"/>
      </w:pPr>
      <w:r>
        <w:rPr/>
        <w:t>Por su parte, </w:t>
      </w:r>
      <w:r>
        <w:rPr>
          <w:i/>
        </w:rPr>
        <w:t>empresas juveniles</w:t>
      </w:r>
      <w:r>
        <w:rPr/>
        <w:t>, como única opción de oportunidades de ingreso, se basó en el fomento de actividades emprendedoras, la asesoría de trámites, y la gestión del financiamiento constitutivo (en 2009 se gestionaron tres</w:t>
      </w:r>
      <w:r>
        <w:rPr>
          <w:spacing w:val="-14"/>
        </w:rPr>
        <w:t> </w:t>
      </w:r>
      <w:r>
        <w:rPr/>
        <w:t>millones</w:t>
      </w:r>
      <w:r>
        <w:rPr>
          <w:spacing w:val="-14"/>
        </w:rPr>
        <w:t> </w:t>
      </w:r>
      <w:r>
        <w:rPr/>
        <w:t>de</w:t>
      </w:r>
      <w:r>
        <w:rPr>
          <w:spacing w:val="-14"/>
        </w:rPr>
        <w:t> </w:t>
      </w:r>
      <w:r>
        <w:rPr/>
        <w:t>pesos</w:t>
      </w:r>
      <w:r>
        <w:rPr>
          <w:spacing w:val="-14"/>
        </w:rPr>
        <w:t> </w:t>
      </w:r>
      <w:r>
        <w:rPr/>
        <w:t>para</w:t>
      </w:r>
      <w:r>
        <w:rPr>
          <w:spacing w:val="-14"/>
        </w:rPr>
        <w:t> </w:t>
      </w:r>
      <w:r>
        <w:rPr/>
        <w:t>tal</w:t>
      </w:r>
      <w:r>
        <w:rPr>
          <w:spacing w:val="-14"/>
        </w:rPr>
        <w:t> </w:t>
      </w:r>
      <w:r>
        <w:rPr/>
        <w:t>fin)</w:t>
      </w:r>
      <w:r>
        <w:rPr>
          <w:spacing w:val="-32"/>
        </w:rPr>
        <w:t> </w:t>
      </w:r>
      <w:r>
        <w:rPr>
          <w:position w:val="8"/>
          <w:sz w:val="13"/>
        </w:rPr>
        <w:t>176</w:t>
      </w:r>
      <w:r>
        <w:rPr/>
        <w:t>.</w:t>
      </w:r>
      <w:r>
        <w:rPr>
          <w:spacing w:val="-14"/>
        </w:rPr>
        <w:t> </w:t>
      </w:r>
      <w:r>
        <w:rPr/>
        <w:t>Finalmente,</w:t>
      </w:r>
      <w:r>
        <w:rPr>
          <w:spacing w:val="-13"/>
        </w:rPr>
        <w:t> </w:t>
      </w:r>
      <w:r>
        <w:rPr/>
        <w:t>las</w:t>
      </w:r>
      <w:r>
        <w:rPr>
          <w:spacing w:val="-14"/>
        </w:rPr>
        <w:t> </w:t>
      </w:r>
      <w:r>
        <w:rPr/>
        <w:t>actividades</w:t>
      </w:r>
      <w:r>
        <w:rPr>
          <w:spacing w:val="-14"/>
        </w:rPr>
        <w:t> </w:t>
      </w:r>
      <w:r>
        <w:rPr/>
        <w:t>de</w:t>
      </w:r>
      <w:r>
        <w:rPr>
          <w:spacing w:val="-14"/>
        </w:rPr>
        <w:t> </w:t>
      </w:r>
      <w:r>
        <w:rPr/>
        <w:t>asistencia fueron</w:t>
      </w:r>
      <w:r>
        <w:rPr>
          <w:spacing w:val="-9"/>
        </w:rPr>
        <w:t> </w:t>
      </w:r>
      <w:r>
        <w:rPr/>
        <w:t>las</w:t>
      </w:r>
      <w:r>
        <w:rPr>
          <w:spacing w:val="-9"/>
        </w:rPr>
        <w:t> </w:t>
      </w:r>
      <w:r>
        <w:rPr/>
        <w:t>siguientes:</w:t>
      </w:r>
      <w:r>
        <w:rPr>
          <w:spacing w:val="-8"/>
        </w:rPr>
        <w:t> </w:t>
      </w:r>
      <w:r>
        <w:rPr/>
        <w:t>a)</w:t>
      </w:r>
      <w:r>
        <w:rPr>
          <w:spacing w:val="-9"/>
        </w:rPr>
        <w:t> </w:t>
      </w:r>
      <w:r>
        <w:rPr>
          <w:i/>
        </w:rPr>
        <w:t>contacto</w:t>
      </w:r>
      <w:r>
        <w:rPr>
          <w:i/>
          <w:spacing w:val="-9"/>
        </w:rPr>
        <w:t> </w:t>
      </w:r>
      <w:r>
        <w:rPr>
          <w:i/>
        </w:rPr>
        <w:t>joven</w:t>
      </w:r>
      <w:r>
        <w:rPr>
          <w:i/>
          <w:spacing w:val="-9"/>
        </w:rPr>
        <w:t> </w:t>
      </w:r>
      <w:r>
        <w:rPr>
          <w:i/>
        </w:rPr>
        <w:t>la</w:t>
      </w:r>
      <w:r>
        <w:rPr>
          <w:i/>
          <w:spacing w:val="-9"/>
        </w:rPr>
        <w:t> </w:t>
      </w:r>
      <w:r>
        <w:rPr>
          <w:i/>
        </w:rPr>
        <w:t>gira</w:t>
      </w:r>
      <w:r>
        <w:rPr/>
        <w:t>,</w:t>
      </w:r>
      <w:r>
        <w:rPr>
          <w:spacing w:val="-9"/>
        </w:rPr>
        <w:t> </w:t>
      </w:r>
      <w:r>
        <w:rPr/>
        <w:t>lleva</w:t>
      </w:r>
      <w:r>
        <w:rPr>
          <w:spacing w:val="-9"/>
        </w:rPr>
        <w:t> </w:t>
      </w:r>
      <w:r>
        <w:rPr/>
        <w:t>los</w:t>
      </w:r>
      <w:r>
        <w:rPr>
          <w:spacing w:val="-9"/>
        </w:rPr>
        <w:t> </w:t>
      </w:r>
      <w:r>
        <w:rPr/>
        <w:t>apoyos</w:t>
      </w:r>
      <w:r>
        <w:rPr>
          <w:spacing w:val="-9"/>
        </w:rPr>
        <w:t> </w:t>
      </w:r>
      <w:r>
        <w:rPr/>
        <w:t>del</w:t>
      </w:r>
      <w:r>
        <w:rPr>
          <w:spacing w:val="-9"/>
        </w:rPr>
        <w:t> </w:t>
      </w:r>
      <w:r>
        <w:rPr/>
        <w:t>instituto</w:t>
      </w:r>
      <w:r>
        <w:rPr>
          <w:spacing w:val="-9"/>
        </w:rPr>
        <w:t> </w:t>
      </w:r>
      <w:r>
        <w:rPr/>
        <w:t>a comunidades por medio de stands de cada servicio; b) </w:t>
      </w:r>
      <w:r>
        <w:rPr>
          <w:i/>
        </w:rPr>
        <w:t>tarjeta Hidalgo joven</w:t>
      </w:r>
      <w:r>
        <w:rPr/>
        <w:t>, permite descuentos en 680 establecimientos comerciales; c) </w:t>
      </w:r>
      <w:r>
        <w:rPr>
          <w:i/>
        </w:rPr>
        <w:t>organizaciones</w:t>
      </w:r>
      <w:r>
        <w:rPr/>
        <w:t>, gestiones</w:t>
      </w:r>
      <w:r>
        <w:rPr>
          <w:spacing w:val="-20"/>
        </w:rPr>
        <w:t> </w:t>
      </w:r>
      <w:r>
        <w:rPr/>
        <w:t>de</w:t>
      </w:r>
      <w:r>
        <w:rPr>
          <w:spacing w:val="-20"/>
        </w:rPr>
        <w:t> </w:t>
      </w:r>
      <w:r>
        <w:rPr/>
        <w:t>descuento</w:t>
      </w:r>
      <w:r>
        <w:rPr>
          <w:spacing w:val="-20"/>
        </w:rPr>
        <w:t> </w:t>
      </w:r>
      <w:r>
        <w:rPr/>
        <w:t>con</w:t>
      </w:r>
      <w:r>
        <w:rPr>
          <w:spacing w:val="-20"/>
        </w:rPr>
        <w:t> </w:t>
      </w:r>
      <w:r>
        <w:rPr/>
        <w:t>notarios</w:t>
      </w:r>
      <w:r>
        <w:rPr>
          <w:spacing w:val="-20"/>
        </w:rPr>
        <w:t> </w:t>
      </w:r>
      <w:r>
        <w:rPr/>
        <w:t>para</w:t>
      </w:r>
      <w:r>
        <w:rPr>
          <w:spacing w:val="-20"/>
        </w:rPr>
        <w:t> </w:t>
      </w:r>
      <w:r>
        <w:rPr/>
        <w:t>constituirse,</w:t>
      </w:r>
      <w:r>
        <w:rPr>
          <w:spacing w:val="-21"/>
        </w:rPr>
        <w:t> </w:t>
      </w:r>
      <w:r>
        <w:rPr/>
        <w:t>en</w:t>
      </w:r>
      <w:r>
        <w:rPr>
          <w:spacing w:val="-20"/>
        </w:rPr>
        <w:t> </w:t>
      </w:r>
      <w:r>
        <w:rPr/>
        <w:t>2010</w:t>
      </w:r>
      <w:r>
        <w:rPr>
          <w:spacing w:val="-20"/>
        </w:rPr>
        <w:t> </w:t>
      </w:r>
      <w:r>
        <w:rPr/>
        <w:t>se</w:t>
      </w:r>
      <w:r>
        <w:rPr>
          <w:spacing w:val="-20"/>
        </w:rPr>
        <w:t> </w:t>
      </w:r>
      <w:r>
        <w:rPr/>
        <w:t>constituyeron ocho</w:t>
      </w:r>
      <w:r>
        <w:rPr>
          <w:spacing w:val="-15"/>
        </w:rPr>
        <w:t> </w:t>
      </w:r>
      <w:r>
        <w:rPr/>
        <w:t>asociaciones;</w:t>
      </w:r>
      <w:r>
        <w:rPr>
          <w:spacing w:val="-15"/>
        </w:rPr>
        <w:t> </w:t>
      </w:r>
      <w:r>
        <w:rPr/>
        <w:t>d)</w:t>
      </w:r>
      <w:r>
        <w:rPr>
          <w:spacing w:val="-15"/>
        </w:rPr>
        <w:t> </w:t>
      </w:r>
      <w:r>
        <w:rPr>
          <w:i/>
        </w:rPr>
        <w:t>salud</w:t>
      </w:r>
      <w:r>
        <w:rPr>
          <w:i/>
          <w:spacing w:val="-14"/>
        </w:rPr>
        <w:t> </w:t>
      </w:r>
      <w:r>
        <w:rPr>
          <w:i/>
        </w:rPr>
        <w:t>juvenil</w:t>
      </w:r>
      <w:r>
        <w:rPr/>
        <w:t>,</w:t>
      </w:r>
      <w:r>
        <w:rPr>
          <w:spacing w:val="-15"/>
        </w:rPr>
        <w:t> </w:t>
      </w:r>
      <w:r>
        <w:rPr/>
        <w:t>asesoría</w:t>
      </w:r>
      <w:r>
        <w:rPr>
          <w:spacing w:val="-15"/>
        </w:rPr>
        <w:t> </w:t>
      </w:r>
      <w:r>
        <w:rPr/>
        <w:t>por</w:t>
      </w:r>
      <w:r>
        <w:rPr>
          <w:spacing w:val="-15"/>
        </w:rPr>
        <w:t> </w:t>
      </w:r>
      <w:r>
        <w:rPr/>
        <w:t>petición</w:t>
      </w:r>
      <w:r>
        <w:rPr>
          <w:spacing w:val="-15"/>
        </w:rPr>
        <w:t> </w:t>
      </w:r>
      <w:r>
        <w:rPr/>
        <w:t>en</w:t>
      </w:r>
      <w:r>
        <w:rPr>
          <w:spacing w:val="-15"/>
        </w:rPr>
        <w:t> </w:t>
      </w:r>
      <w:r>
        <w:rPr/>
        <w:t>escuelas</w:t>
      </w:r>
      <w:r>
        <w:rPr>
          <w:spacing w:val="-15"/>
        </w:rPr>
        <w:t> </w:t>
      </w:r>
      <w:r>
        <w:rPr/>
        <w:t>públicas, para lo cual se emplean cinco psicólogas; y e) </w:t>
      </w:r>
      <w:r>
        <w:rPr>
          <w:i/>
        </w:rPr>
        <w:t>beca Hidalgo joven</w:t>
      </w:r>
      <w:r>
        <w:rPr/>
        <w:t>, cuyos beneficiarios son jóvenes de escuelas públicas en riesgo de abandonar los estudios,</w:t>
      </w:r>
      <w:r>
        <w:rPr>
          <w:spacing w:val="-10"/>
        </w:rPr>
        <w:t> </w:t>
      </w:r>
      <w:r>
        <w:rPr/>
        <w:t>en</w:t>
      </w:r>
      <w:r>
        <w:rPr>
          <w:spacing w:val="-10"/>
        </w:rPr>
        <w:t> </w:t>
      </w:r>
      <w:r>
        <w:rPr/>
        <w:t>2010</w:t>
      </w:r>
      <w:r>
        <w:rPr>
          <w:spacing w:val="-10"/>
        </w:rPr>
        <w:t> </w:t>
      </w:r>
      <w:r>
        <w:rPr/>
        <w:t>se</w:t>
      </w:r>
      <w:r>
        <w:rPr>
          <w:spacing w:val="-10"/>
        </w:rPr>
        <w:t> </w:t>
      </w:r>
      <w:r>
        <w:rPr/>
        <w:t>otorgaron</w:t>
      </w:r>
      <w:r>
        <w:rPr>
          <w:spacing w:val="-10"/>
        </w:rPr>
        <w:t> </w:t>
      </w:r>
      <w:r>
        <w:rPr/>
        <w:t>quinientas</w:t>
      </w:r>
      <w:r>
        <w:rPr>
          <w:spacing w:val="-10"/>
        </w:rPr>
        <w:t> </w:t>
      </w:r>
      <w:r>
        <w:rPr/>
        <w:t>veintiún</w:t>
      </w:r>
      <w:r>
        <w:rPr>
          <w:spacing w:val="-10"/>
        </w:rPr>
        <w:t> </w:t>
      </w:r>
      <w:r>
        <w:rPr/>
        <w:t>becas</w:t>
      </w:r>
      <w:r>
        <w:rPr>
          <w:spacing w:val="-10"/>
        </w:rPr>
        <w:t> </w:t>
      </w:r>
      <w:r>
        <w:rPr/>
        <w:t>que</w:t>
      </w:r>
      <w:r>
        <w:rPr>
          <w:spacing w:val="-10"/>
        </w:rPr>
        <w:t> </w:t>
      </w:r>
      <w:r>
        <w:rPr/>
        <w:t>representaron</w:t>
      </w:r>
      <w:r>
        <w:rPr>
          <w:spacing w:val="-10"/>
        </w:rPr>
        <w:t> </w:t>
      </w:r>
      <w:r>
        <w:rPr/>
        <w:t>un inversión de tres millones de</w:t>
      </w:r>
      <w:r>
        <w:rPr>
          <w:spacing w:val="2"/>
        </w:rPr>
        <w:t> </w:t>
      </w:r>
      <w:r>
        <w:rPr/>
        <w:t>pesos</w:t>
      </w:r>
      <w:r>
        <w:rPr>
          <w:position w:val="8"/>
          <w:sz w:val="13"/>
        </w:rPr>
        <w:t>177</w:t>
      </w:r>
      <w:r>
        <w:rPr/>
        <w:t>.</w:t>
      </w:r>
    </w:p>
    <w:p>
      <w:pPr>
        <w:pStyle w:val="BodyText"/>
        <w:spacing w:before="3"/>
        <w:rPr>
          <w:sz w:val="22"/>
        </w:rPr>
      </w:pPr>
    </w:p>
    <w:p>
      <w:pPr>
        <w:pStyle w:val="Heading3"/>
        <w:ind w:left="110"/>
      </w:pPr>
      <w:r>
        <w:rPr/>
        <w:t>El Instituto Hidalguense de las Mujeres (IHM).</w:t>
      </w:r>
    </w:p>
    <w:p>
      <w:pPr>
        <w:pStyle w:val="BodyText"/>
        <w:spacing w:before="9"/>
        <w:rPr>
          <w:b/>
          <w:sz w:val="22"/>
        </w:rPr>
      </w:pPr>
    </w:p>
    <w:p>
      <w:pPr>
        <w:pStyle w:val="BodyText"/>
        <w:spacing w:line="260" w:lineRule="exact"/>
        <w:ind w:left="110" w:right="114"/>
        <w:jc w:val="both"/>
      </w:pPr>
      <w:r>
        <w:rPr/>
        <w:t>Este instituto ejecuta el programa de apoyo a las instancias de mujeres en  las entidades federativas </w:t>
      </w:r>
      <w:r>
        <w:rPr>
          <w:spacing w:val="-6"/>
        </w:rPr>
        <w:t>(PAIMEF, </w:t>
      </w:r>
      <w:r>
        <w:rPr/>
        <w:t>programa federal), el cual en su ejercicio 2010 contó con una transferencia de recursos del orden de los trece</w:t>
      </w:r>
      <w:r>
        <w:rPr>
          <w:spacing w:val="54"/>
        </w:rPr>
        <w:t> </w:t>
      </w:r>
      <w:r>
        <w:rPr/>
        <w:t>millones</w:t>
      </w:r>
    </w:p>
    <w:p>
      <w:pPr>
        <w:pStyle w:val="BodyText"/>
        <w:rPr>
          <w:sz w:val="9"/>
        </w:rPr>
      </w:pPr>
      <w:r>
        <w:rPr/>
        <w:pict>
          <v:line style="position:absolute;mso-position-horizontal-relative:page;mso-position-vertical-relative:paragraph;z-index:3016;mso-wrap-distance-left:0;mso-wrap-distance-right:0" from="42.519699pt,7.658396pt" to="114.519699pt,7.658396pt" stroked="true" strokeweight="1pt" strokecolor="#000000">
            <w10:wrap type="topAndBottom"/>
          </v:line>
        </w:pict>
      </w:r>
    </w:p>
    <w:p>
      <w:pPr>
        <w:spacing w:line="194" w:lineRule="exact" w:before="0"/>
        <w:ind w:left="110" w:right="0" w:firstLine="0"/>
        <w:jc w:val="left"/>
        <w:rPr>
          <w:i/>
          <w:sz w:val="18"/>
        </w:rPr>
      </w:pPr>
      <w:r>
        <w:rPr>
          <w:w w:val="105"/>
          <w:position w:val="7"/>
          <w:sz w:val="11"/>
        </w:rPr>
        <w:t>173  </w:t>
      </w:r>
      <w:r>
        <w:rPr>
          <w:i/>
          <w:w w:val="105"/>
          <w:sz w:val="18"/>
        </w:rPr>
        <w:t>Ibídem.</w:t>
      </w:r>
    </w:p>
    <w:p>
      <w:pPr>
        <w:spacing w:line="200" w:lineRule="exact" w:before="0"/>
        <w:ind w:left="110" w:right="0" w:firstLine="0"/>
        <w:jc w:val="left"/>
        <w:rPr>
          <w:i/>
          <w:sz w:val="18"/>
        </w:rPr>
      </w:pPr>
      <w:r>
        <w:rPr>
          <w:w w:val="105"/>
          <w:position w:val="7"/>
          <w:sz w:val="11"/>
        </w:rPr>
        <w:t>174  </w:t>
      </w:r>
      <w:r>
        <w:rPr>
          <w:i/>
          <w:w w:val="105"/>
          <w:sz w:val="18"/>
        </w:rPr>
        <w:t>Ibídem.</w:t>
      </w:r>
    </w:p>
    <w:p>
      <w:pPr>
        <w:spacing w:line="200" w:lineRule="exact" w:before="0"/>
        <w:ind w:left="110" w:right="0" w:firstLine="0"/>
        <w:jc w:val="left"/>
        <w:rPr>
          <w:i/>
          <w:sz w:val="18"/>
        </w:rPr>
      </w:pPr>
      <w:r>
        <w:rPr>
          <w:w w:val="105"/>
          <w:position w:val="7"/>
          <w:sz w:val="11"/>
        </w:rPr>
        <w:t>175  </w:t>
      </w:r>
      <w:r>
        <w:rPr>
          <w:i/>
          <w:w w:val="105"/>
          <w:sz w:val="18"/>
        </w:rPr>
        <w:t>Ibídem.</w:t>
      </w:r>
    </w:p>
    <w:p>
      <w:pPr>
        <w:spacing w:line="200" w:lineRule="exact" w:before="0"/>
        <w:ind w:left="110" w:right="0" w:firstLine="0"/>
        <w:jc w:val="left"/>
        <w:rPr>
          <w:i/>
          <w:sz w:val="18"/>
        </w:rPr>
      </w:pPr>
      <w:r>
        <w:rPr>
          <w:w w:val="105"/>
          <w:position w:val="7"/>
          <w:sz w:val="11"/>
        </w:rPr>
        <w:t>176  </w:t>
      </w:r>
      <w:r>
        <w:rPr>
          <w:i/>
          <w:w w:val="105"/>
          <w:sz w:val="18"/>
        </w:rPr>
        <w:t>Ibídem.</w:t>
      </w:r>
    </w:p>
    <w:p>
      <w:pPr>
        <w:spacing w:line="206" w:lineRule="exact" w:before="0"/>
        <w:ind w:left="110" w:right="0" w:firstLine="0"/>
        <w:jc w:val="left"/>
        <w:rPr>
          <w:i/>
          <w:sz w:val="18"/>
        </w:rPr>
      </w:pPr>
      <w:r>
        <w:rPr>
          <w:w w:val="105"/>
          <w:position w:val="7"/>
          <w:sz w:val="11"/>
        </w:rPr>
        <w:t>177  </w:t>
      </w:r>
      <w:r>
        <w:rPr>
          <w:i/>
          <w:w w:val="105"/>
          <w:sz w:val="18"/>
        </w:rPr>
        <w:t>Ibídem.</w:t>
      </w:r>
    </w:p>
    <w:p>
      <w:pPr>
        <w:spacing w:after="0" w:line="206" w:lineRule="exact"/>
        <w:jc w:val="left"/>
        <w:rPr>
          <w:sz w:val="18"/>
        </w:rPr>
        <w:sectPr>
          <w:pgSz w:w="9360" w:h="13040"/>
          <w:pgMar w:header="547" w:footer="515" w:top="720" w:bottom="700" w:left="740" w:right="1300"/>
        </w:sectPr>
      </w:pPr>
    </w:p>
    <w:p>
      <w:pPr>
        <w:pStyle w:val="BodyText"/>
        <w:spacing w:before="11"/>
        <w:rPr>
          <w:i/>
          <w:sz w:val="29"/>
        </w:rPr>
      </w:pPr>
    </w:p>
    <w:p>
      <w:pPr>
        <w:pStyle w:val="BodyText"/>
        <w:spacing w:line="235" w:lineRule="auto" w:before="75"/>
        <w:ind w:left="117" w:right="108"/>
        <w:jc w:val="both"/>
      </w:pPr>
      <w:r>
        <w:rPr/>
        <w:t>novecientos sesenta y cuatro mil novecientos sesenta y seis pesos 31/100, mismos que fueron aplicados en la estrategia estatal: 1) armonización del marco jurídico de los derechos de la mujer; 2) formación de cuadros (que     a su vez clasifica sus acciones en sensibilización, mujeres líderes, enlaces   de oportunidades, jóvenes obaes, muerte materna, intérpretes, y procuración y administración de justicia); 3) difusión; 4) institucionalización de la perspectiva de género en la administración pública estatal y municipal; 5) manuales,</w:t>
      </w:r>
      <w:r>
        <w:rPr>
          <w:spacing w:val="-8"/>
        </w:rPr>
        <w:t> </w:t>
      </w:r>
      <w:r>
        <w:rPr/>
        <w:t>trípticos</w:t>
      </w:r>
      <w:r>
        <w:rPr>
          <w:spacing w:val="-8"/>
        </w:rPr>
        <w:t> </w:t>
      </w:r>
      <w:r>
        <w:rPr/>
        <w:t>y</w:t>
      </w:r>
      <w:r>
        <w:rPr>
          <w:spacing w:val="-7"/>
        </w:rPr>
        <w:t> </w:t>
      </w:r>
      <w:r>
        <w:rPr/>
        <w:t>protocolos;</w:t>
      </w:r>
      <w:r>
        <w:rPr>
          <w:spacing w:val="-7"/>
        </w:rPr>
        <w:t> </w:t>
      </w:r>
      <w:r>
        <w:rPr/>
        <w:t>6)</w:t>
      </w:r>
      <w:r>
        <w:rPr>
          <w:spacing w:val="-8"/>
        </w:rPr>
        <w:t> </w:t>
      </w:r>
      <w:r>
        <w:rPr/>
        <w:t>diagnósticos;</w:t>
      </w:r>
      <w:r>
        <w:rPr>
          <w:spacing w:val="-7"/>
        </w:rPr>
        <w:t> </w:t>
      </w:r>
      <w:r>
        <w:rPr/>
        <w:t>7)</w:t>
      </w:r>
      <w:r>
        <w:rPr>
          <w:spacing w:val="-8"/>
        </w:rPr>
        <w:t> </w:t>
      </w:r>
      <w:r>
        <w:rPr/>
        <w:t>base</w:t>
      </w:r>
      <w:r>
        <w:rPr>
          <w:spacing w:val="-8"/>
        </w:rPr>
        <w:t> </w:t>
      </w:r>
      <w:r>
        <w:rPr/>
        <w:t>de</w:t>
      </w:r>
      <w:r>
        <w:rPr>
          <w:spacing w:val="-8"/>
        </w:rPr>
        <w:t> </w:t>
      </w:r>
      <w:r>
        <w:rPr/>
        <w:t>datos</w:t>
      </w:r>
      <w:r>
        <w:rPr>
          <w:spacing w:val="-8"/>
        </w:rPr>
        <w:t> </w:t>
      </w:r>
      <w:r>
        <w:rPr>
          <w:spacing w:val="-5"/>
        </w:rPr>
        <w:t>SIRAVIGE </w:t>
      </w:r>
      <w:r>
        <w:rPr/>
        <w:t>(denuncia de violencia); 8) estadísticas desagregadas; 9) presupuestos sensibles al género; 10) patrimonio institucional; </w:t>
      </w:r>
      <w:r>
        <w:rPr>
          <w:spacing w:val="-3"/>
        </w:rPr>
        <w:t>11) </w:t>
      </w:r>
      <w:r>
        <w:rPr/>
        <w:t>creación de módulos de asesoría jurídica y psicológica; y 12) campañas contra la</w:t>
      </w:r>
      <w:r>
        <w:rPr>
          <w:spacing w:val="1"/>
        </w:rPr>
        <w:t> </w:t>
      </w:r>
      <w:r>
        <w:rPr/>
        <w:t>violencia</w:t>
      </w:r>
      <w:r>
        <w:rPr>
          <w:position w:val="8"/>
          <w:sz w:val="13"/>
        </w:rPr>
        <w:t>178</w:t>
      </w:r>
      <w:r>
        <w:rPr/>
        <w:t>.</w:t>
      </w:r>
    </w:p>
    <w:p>
      <w:pPr>
        <w:pStyle w:val="BodyText"/>
        <w:spacing w:before="7"/>
        <w:rPr>
          <w:sz w:val="22"/>
        </w:rPr>
      </w:pPr>
    </w:p>
    <w:p>
      <w:pPr>
        <w:pStyle w:val="BodyText"/>
        <w:spacing w:line="235" w:lineRule="auto" w:before="1"/>
        <w:ind w:left="117" w:right="107"/>
        <w:jc w:val="both"/>
      </w:pPr>
      <w:r>
        <w:rPr/>
        <w:t>A</w:t>
      </w:r>
      <w:r>
        <w:rPr>
          <w:spacing w:val="-40"/>
        </w:rPr>
        <w:t> </w:t>
      </w:r>
      <w:r>
        <w:rPr/>
        <w:t>su vez, los programas de diseño e inversión estatal contaron en su ejercicio 2010</w:t>
      </w:r>
      <w:r>
        <w:rPr>
          <w:spacing w:val="-11"/>
        </w:rPr>
        <w:t> </w:t>
      </w:r>
      <w:r>
        <w:rPr/>
        <w:t>con</w:t>
      </w:r>
      <w:r>
        <w:rPr>
          <w:spacing w:val="-11"/>
        </w:rPr>
        <w:t> </w:t>
      </w:r>
      <w:r>
        <w:rPr/>
        <w:t>una</w:t>
      </w:r>
      <w:r>
        <w:rPr>
          <w:spacing w:val="-11"/>
        </w:rPr>
        <w:t> </w:t>
      </w:r>
      <w:r>
        <w:rPr/>
        <w:t>inversión</w:t>
      </w:r>
      <w:r>
        <w:rPr>
          <w:spacing w:val="-12"/>
        </w:rPr>
        <w:t> </w:t>
      </w:r>
      <w:r>
        <w:rPr/>
        <w:t>equivalente</w:t>
      </w:r>
      <w:r>
        <w:rPr>
          <w:spacing w:val="-12"/>
        </w:rPr>
        <w:t> </w:t>
      </w:r>
      <w:r>
        <w:rPr/>
        <w:t>al</w:t>
      </w:r>
      <w:r>
        <w:rPr>
          <w:spacing w:val="-11"/>
        </w:rPr>
        <w:t> </w:t>
      </w:r>
      <w:r>
        <w:rPr/>
        <w:t>doble</w:t>
      </w:r>
      <w:r>
        <w:rPr>
          <w:spacing w:val="-11"/>
        </w:rPr>
        <w:t> </w:t>
      </w:r>
      <w:r>
        <w:rPr/>
        <w:t>de</w:t>
      </w:r>
      <w:r>
        <w:rPr>
          <w:spacing w:val="-11"/>
        </w:rPr>
        <w:t> </w:t>
      </w:r>
      <w:r>
        <w:rPr/>
        <w:t>las</w:t>
      </w:r>
      <w:r>
        <w:rPr>
          <w:spacing w:val="-11"/>
        </w:rPr>
        <w:t> </w:t>
      </w:r>
      <w:r>
        <w:rPr/>
        <w:t>transferencias</w:t>
      </w:r>
      <w:r>
        <w:rPr>
          <w:spacing w:val="-12"/>
        </w:rPr>
        <w:t> </w:t>
      </w:r>
      <w:r>
        <w:rPr/>
        <w:t>del</w:t>
      </w:r>
      <w:r>
        <w:rPr>
          <w:spacing w:val="-11"/>
        </w:rPr>
        <w:t> </w:t>
      </w:r>
      <w:r>
        <w:rPr>
          <w:spacing w:val="-5"/>
        </w:rPr>
        <w:t>PAIMEF </w:t>
      </w:r>
      <w:r>
        <w:rPr/>
        <w:t>al alcanzar los veintinueve millones seiscientos cincuenta y un mil pesos. Los programas de diseño estatal fueron cuatro y se clasificaron en: uno de capacidades (25% del total de acciones), uno de oportunidades de ingreso (25% del total de acciones), ninguno de patrimonio y dos de asistencia (50% del total de acciones). Los rubros ejercidos en 2010 fueron los siguientes: a) </w:t>
      </w:r>
      <w:r>
        <w:rPr>
          <w:i/>
        </w:rPr>
        <w:t>capacitación para el autoempleo </w:t>
      </w:r>
      <w:r>
        <w:rPr/>
        <w:t>fue la acción de capacitación, beneficio a sesenta mil personas con una inversión de tres millones seiscientos cincuenta y siete mil pesos</w:t>
      </w:r>
      <w:r>
        <w:rPr>
          <w:position w:val="8"/>
          <w:sz w:val="13"/>
        </w:rPr>
        <w:t>179</w:t>
      </w:r>
      <w:r>
        <w:rPr/>
        <w:t>; b) </w:t>
      </w:r>
      <w:r>
        <w:rPr>
          <w:i/>
        </w:rPr>
        <w:t>credimujer hidalguense </w:t>
      </w:r>
      <w:r>
        <w:rPr/>
        <w:t>representó oportunidades de ingreso,</w:t>
      </w:r>
      <w:r>
        <w:rPr>
          <w:spacing w:val="-13"/>
        </w:rPr>
        <w:t> </w:t>
      </w:r>
      <w:r>
        <w:rPr/>
        <w:t>otorgando</w:t>
      </w:r>
      <w:r>
        <w:rPr>
          <w:spacing w:val="-12"/>
        </w:rPr>
        <w:t> </w:t>
      </w:r>
      <w:r>
        <w:rPr/>
        <w:t>mil</w:t>
      </w:r>
      <w:r>
        <w:rPr>
          <w:spacing w:val="-13"/>
        </w:rPr>
        <w:t> </w:t>
      </w:r>
      <w:r>
        <w:rPr/>
        <w:t>quinientos</w:t>
      </w:r>
      <w:r>
        <w:rPr>
          <w:spacing w:val="-12"/>
        </w:rPr>
        <w:t> </w:t>
      </w:r>
      <w:r>
        <w:rPr/>
        <w:t>créditos</w:t>
      </w:r>
      <w:r>
        <w:rPr>
          <w:spacing w:val="-13"/>
        </w:rPr>
        <w:t> </w:t>
      </w:r>
      <w:r>
        <w:rPr/>
        <w:t>con</w:t>
      </w:r>
      <w:r>
        <w:rPr>
          <w:spacing w:val="-12"/>
        </w:rPr>
        <w:t> </w:t>
      </w:r>
      <w:r>
        <w:rPr/>
        <w:t>una</w:t>
      </w:r>
      <w:r>
        <w:rPr>
          <w:spacing w:val="-12"/>
        </w:rPr>
        <w:t> </w:t>
      </w:r>
      <w:r>
        <w:rPr/>
        <w:t>inversión</w:t>
      </w:r>
      <w:r>
        <w:rPr>
          <w:spacing w:val="-13"/>
        </w:rPr>
        <w:t> </w:t>
      </w:r>
      <w:r>
        <w:rPr/>
        <w:t>de</w:t>
      </w:r>
      <w:r>
        <w:rPr>
          <w:spacing w:val="-12"/>
        </w:rPr>
        <w:t> </w:t>
      </w:r>
      <w:r>
        <w:rPr/>
        <w:t>doce</w:t>
      </w:r>
      <w:r>
        <w:rPr>
          <w:spacing w:val="-12"/>
        </w:rPr>
        <w:t> </w:t>
      </w:r>
      <w:r>
        <w:rPr/>
        <w:t>millones noventa y cuatro mil pesos, para impulsar los proyectos productivos de jefas de familia, madres solteras, viudas, divorciadas, migrantes, y mujeres en condición vulnerables</w:t>
      </w:r>
      <w:r>
        <w:rPr>
          <w:position w:val="8"/>
          <w:sz w:val="13"/>
        </w:rPr>
        <w:t>180</w:t>
      </w:r>
      <w:r>
        <w:rPr/>
        <w:t>; c) </w:t>
      </w:r>
      <w:r>
        <w:rPr>
          <w:i/>
        </w:rPr>
        <w:t>becas para mujeres</w:t>
      </w:r>
      <w:r>
        <w:rPr/>
        <w:t>, como acción asistencial, incluyó</w:t>
      </w:r>
      <w:r>
        <w:rPr>
          <w:spacing w:val="-16"/>
        </w:rPr>
        <w:t> </w:t>
      </w:r>
      <w:r>
        <w:rPr/>
        <w:t>dos</w:t>
      </w:r>
      <w:r>
        <w:rPr>
          <w:spacing w:val="-15"/>
        </w:rPr>
        <w:t> </w:t>
      </w:r>
      <w:r>
        <w:rPr/>
        <w:t>mil</w:t>
      </w:r>
      <w:r>
        <w:rPr>
          <w:spacing w:val="-15"/>
        </w:rPr>
        <w:t> </w:t>
      </w:r>
      <w:r>
        <w:rPr/>
        <w:t>cuatrocientas</w:t>
      </w:r>
      <w:r>
        <w:rPr>
          <w:spacing w:val="-15"/>
        </w:rPr>
        <w:t> </w:t>
      </w:r>
      <w:r>
        <w:rPr/>
        <w:t>becas</w:t>
      </w:r>
      <w:r>
        <w:rPr>
          <w:spacing w:val="-15"/>
        </w:rPr>
        <w:t> </w:t>
      </w:r>
      <w:r>
        <w:rPr/>
        <w:t>desde</w:t>
      </w:r>
      <w:r>
        <w:rPr>
          <w:spacing w:val="-15"/>
        </w:rPr>
        <w:t> </w:t>
      </w:r>
      <w:r>
        <w:rPr/>
        <w:t>primaria</w:t>
      </w:r>
      <w:r>
        <w:rPr>
          <w:spacing w:val="-15"/>
        </w:rPr>
        <w:t> </w:t>
      </w:r>
      <w:r>
        <w:rPr/>
        <w:t>hasta</w:t>
      </w:r>
      <w:r>
        <w:rPr>
          <w:spacing w:val="-15"/>
        </w:rPr>
        <w:t> </w:t>
      </w:r>
      <w:r>
        <w:rPr/>
        <w:t>doctorado</w:t>
      </w:r>
      <w:r>
        <w:rPr>
          <w:spacing w:val="-15"/>
        </w:rPr>
        <w:t> </w:t>
      </w:r>
      <w:r>
        <w:rPr/>
        <w:t>destinadas a disminuir la desigualdad en comunidades indígenas como la huasteca, la tapegua</w:t>
      </w:r>
      <w:r>
        <w:rPr>
          <w:spacing w:val="-9"/>
        </w:rPr>
        <w:t> </w:t>
      </w:r>
      <w:r>
        <w:rPr/>
        <w:t>y</w:t>
      </w:r>
      <w:r>
        <w:rPr>
          <w:spacing w:val="-8"/>
        </w:rPr>
        <w:t> </w:t>
      </w:r>
      <w:r>
        <w:rPr/>
        <w:t>la</w:t>
      </w:r>
      <w:r>
        <w:rPr>
          <w:spacing w:val="-8"/>
        </w:rPr>
        <w:t> </w:t>
      </w:r>
      <w:r>
        <w:rPr/>
        <w:t>otomí;</w:t>
      </w:r>
      <w:r>
        <w:rPr>
          <w:spacing w:val="-8"/>
        </w:rPr>
        <w:t> </w:t>
      </w:r>
      <w:r>
        <w:rPr/>
        <w:t>la</w:t>
      </w:r>
      <w:r>
        <w:rPr>
          <w:spacing w:val="-8"/>
        </w:rPr>
        <w:t> </w:t>
      </w:r>
      <w:r>
        <w:rPr/>
        <w:t>inversión</w:t>
      </w:r>
      <w:r>
        <w:rPr>
          <w:spacing w:val="-9"/>
        </w:rPr>
        <w:t> </w:t>
      </w:r>
      <w:r>
        <w:rPr/>
        <w:t>ejercida</w:t>
      </w:r>
      <w:r>
        <w:rPr>
          <w:spacing w:val="-9"/>
        </w:rPr>
        <w:t> </w:t>
      </w:r>
      <w:r>
        <w:rPr/>
        <w:t>fue</w:t>
      </w:r>
      <w:r>
        <w:rPr>
          <w:spacing w:val="-8"/>
        </w:rPr>
        <w:t> </w:t>
      </w:r>
      <w:r>
        <w:rPr/>
        <w:t>de</w:t>
      </w:r>
      <w:r>
        <w:rPr>
          <w:spacing w:val="-8"/>
        </w:rPr>
        <w:t> </w:t>
      </w:r>
      <w:r>
        <w:rPr/>
        <w:t>doce</w:t>
      </w:r>
      <w:r>
        <w:rPr>
          <w:spacing w:val="-8"/>
        </w:rPr>
        <w:t> </w:t>
      </w:r>
      <w:r>
        <w:rPr/>
        <w:t>millones</w:t>
      </w:r>
      <w:r>
        <w:rPr>
          <w:spacing w:val="-9"/>
        </w:rPr>
        <w:t> </w:t>
      </w:r>
      <w:r>
        <w:rPr/>
        <w:t>ochocientos</w:t>
      </w:r>
      <w:r>
        <w:rPr>
          <w:spacing w:val="-8"/>
        </w:rPr>
        <w:t> </w:t>
      </w:r>
      <w:r>
        <w:rPr/>
        <w:t>mil pesos</w:t>
      </w:r>
      <w:r>
        <w:rPr>
          <w:position w:val="8"/>
          <w:sz w:val="13"/>
        </w:rPr>
        <w:t>181</w:t>
      </w:r>
      <w:r>
        <w:rPr/>
        <w:t>; y d) </w:t>
      </w:r>
      <w:r>
        <w:rPr>
          <w:i/>
        </w:rPr>
        <w:t>apoyos funcionales para la atención de padecimientos como   </w:t>
      </w:r>
      <w:r>
        <w:rPr>
          <w:i/>
        </w:rPr>
        <w:t>el </w:t>
      </w:r>
      <w:r>
        <w:rPr>
          <w:i/>
          <w:spacing w:val="-4"/>
        </w:rPr>
        <w:t>cáncer, </w:t>
      </w:r>
      <w:r>
        <w:rPr>
          <w:i/>
        </w:rPr>
        <w:t>la diabetes melitus, el lupus, etc., </w:t>
      </w:r>
      <w:r>
        <w:rPr/>
        <w:t>esta segunda acción asistencial generó una inversión de un millón cien mil</w:t>
      </w:r>
      <w:r>
        <w:rPr>
          <w:spacing w:val="1"/>
        </w:rPr>
        <w:t> </w:t>
      </w:r>
      <w:r>
        <w:rPr/>
        <w:t>pesos</w:t>
      </w:r>
      <w:r>
        <w:rPr>
          <w:position w:val="8"/>
          <w:sz w:val="13"/>
        </w:rPr>
        <w:t>182</w:t>
      </w:r>
      <w:r>
        <w:rPr/>
        <w:t>.</w:t>
      </w:r>
    </w:p>
    <w:p>
      <w:pPr>
        <w:pStyle w:val="BodyText"/>
        <w:rPr>
          <w:sz w:val="20"/>
        </w:rPr>
      </w:pPr>
    </w:p>
    <w:p>
      <w:pPr>
        <w:pStyle w:val="BodyText"/>
        <w:spacing w:before="10"/>
        <w:rPr>
          <w:sz w:val="25"/>
        </w:rPr>
      </w:pPr>
      <w:r>
        <w:rPr/>
        <w:pict>
          <v:line style="position:absolute;mso-position-horizontal-relative:page;mso-position-vertical-relative:paragraph;z-index:3040;mso-wrap-distance-left:0;mso-wrap-distance-right:0" from="70.866203pt,17.325771pt" to="142.866203pt,17.325771pt" stroked="true" strokeweight="1pt" strokecolor="#000000">
            <w10:wrap type="topAndBottom"/>
          </v:line>
        </w:pict>
      </w:r>
    </w:p>
    <w:p>
      <w:pPr>
        <w:spacing w:line="200" w:lineRule="exact" w:before="1"/>
        <w:ind w:left="400" w:right="0" w:hanging="284"/>
        <w:jc w:val="left"/>
        <w:rPr>
          <w:sz w:val="18"/>
        </w:rPr>
      </w:pPr>
      <w:r>
        <w:rPr>
          <w:position w:val="7"/>
          <w:sz w:val="11"/>
        </w:rPr>
        <w:t>178 </w:t>
      </w:r>
      <w:r>
        <w:rPr>
          <w:sz w:val="18"/>
        </w:rPr>
        <w:t>Información proporcionada para esta investigación en entrevista con la directora del Instituto Hidalguense de las Mujeres, 14 de octubre del 2010.</w:t>
      </w:r>
    </w:p>
    <w:p>
      <w:pPr>
        <w:spacing w:before="27"/>
        <w:ind w:left="117" w:right="0" w:firstLine="0"/>
        <w:jc w:val="left"/>
        <w:rPr>
          <w:i/>
          <w:sz w:val="18"/>
        </w:rPr>
      </w:pPr>
      <w:r>
        <w:rPr>
          <w:w w:val="105"/>
          <w:position w:val="7"/>
          <w:sz w:val="11"/>
        </w:rPr>
        <w:t>179  </w:t>
      </w:r>
      <w:r>
        <w:rPr>
          <w:i/>
          <w:w w:val="105"/>
          <w:sz w:val="18"/>
        </w:rPr>
        <w:t>Ibídem.</w:t>
      </w:r>
    </w:p>
    <w:p>
      <w:pPr>
        <w:spacing w:before="28"/>
        <w:ind w:left="117" w:right="0" w:firstLine="0"/>
        <w:jc w:val="left"/>
        <w:rPr>
          <w:i/>
          <w:sz w:val="18"/>
        </w:rPr>
      </w:pPr>
      <w:r>
        <w:rPr>
          <w:w w:val="105"/>
          <w:position w:val="7"/>
          <w:sz w:val="11"/>
        </w:rPr>
        <w:t>180  </w:t>
      </w:r>
      <w:r>
        <w:rPr>
          <w:i/>
          <w:w w:val="105"/>
          <w:sz w:val="18"/>
        </w:rPr>
        <w:t>Ibídem.</w:t>
      </w:r>
    </w:p>
    <w:p>
      <w:pPr>
        <w:spacing w:before="28"/>
        <w:ind w:left="117" w:right="0" w:firstLine="0"/>
        <w:jc w:val="left"/>
        <w:rPr>
          <w:i/>
          <w:sz w:val="18"/>
        </w:rPr>
      </w:pPr>
      <w:r>
        <w:rPr>
          <w:w w:val="105"/>
          <w:position w:val="7"/>
          <w:sz w:val="11"/>
        </w:rPr>
        <w:t>181  </w:t>
      </w:r>
      <w:r>
        <w:rPr>
          <w:i/>
          <w:w w:val="105"/>
          <w:sz w:val="18"/>
        </w:rPr>
        <w:t>Ibídem.</w:t>
      </w:r>
    </w:p>
    <w:p>
      <w:pPr>
        <w:spacing w:before="28"/>
        <w:ind w:left="117" w:right="0" w:firstLine="0"/>
        <w:jc w:val="left"/>
        <w:rPr>
          <w:i/>
          <w:sz w:val="18"/>
        </w:rPr>
      </w:pPr>
      <w:r>
        <w:rPr>
          <w:w w:val="105"/>
          <w:position w:val="7"/>
          <w:sz w:val="11"/>
        </w:rPr>
        <w:t>182  </w:t>
      </w:r>
      <w:r>
        <w:rPr>
          <w:i/>
          <w:w w:val="105"/>
          <w:sz w:val="18"/>
        </w:rPr>
        <w:t>Ibídem.</w:t>
      </w:r>
    </w:p>
    <w:p>
      <w:pPr>
        <w:spacing w:after="0"/>
        <w:jc w:val="left"/>
        <w:rPr>
          <w:sz w:val="18"/>
        </w:rPr>
        <w:sectPr>
          <w:pgSz w:w="9360" w:h="13040"/>
          <w:pgMar w:header="531" w:footer="515" w:top="940" w:bottom="700" w:left="1300" w:right="740"/>
        </w:sectPr>
      </w:pPr>
    </w:p>
    <w:p>
      <w:pPr>
        <w:pStyle w:val="BodyText"/>
        <w:rPr>
          <w:i/>
          <w:sz w:val="20"/>
        </w:rPr>
      </w:pPr>
    </w:p>
    <w:p>
      <w:pPr>
        <w:pStyle w:val="BodyText"/>
        <w:spacing w:before="9"/>
        <w:rPr>
          <w:i/>
          <w:sz w:val="28"/>
        </w:rPr>
      </w:pPr>
    </w:p>
    <w:p>
      <w:pPr>
        <w:pStyle w:val="Heading3"/>
        <w:spacing w:before="70"/>
        <w:ind w:left="110"/>
      </w:pPr>
      <w:r>
        <w:rPr/>
        <w:t>La Secretaría de Desarrollo Social del Estado de Hidalgo (SEDESO).</w:t>
      </w:r>
    </w:p>
    <w:p>
      <w:pPr>
        <w:pStyle w:val="BodyText"/>
        <w:spacing w:before="9"/>
        <w:rPr>
          <w:b/>
          <w:sz w:val="22"/>
        </w:rPr>
      </w:pPr>
    </w:p>
    <w:p>
      <w:pPr>
        <w:pStyle w:val="BodyText"/>
        <w:spacing w:line="260" w:lineRule="exact"/>
        <w:ind w:left="110" w:right="115"/>
        <w:jc w:val="both"/>
      </w:pPr>
      <w:r>
        <w:rPr/>
        <w:t>Esta</w:t>
      </w:r>
      <w:r>
        <w:rPr>
          <w:spacing w:val="-18"/>
        </w:rPr>
        <w:t> </w:t>
      </w:r>
      <w:r>
        <w:rPr/>
        <w:t>secretaría</w:t>
      </w:r>
      <w:r>
        <w:rPr>
          <w:spacing w:val="-18"/>
        </w:rPr>
        <w:t> </w:t>
      </w:r>
      <w:r>
        <w:rPr/>
        <w:t>regularmente</w:t>
      </w:r>
      <w:r>
        <w:rPr>
          <w:spacing w:val="-18"/>
        </w:rPr>
        <w:t> </w:t>
      </w:r>
      <w:r>
        <w:rPr/>
        <w:t>ejecuta</w:t>
      </w:r>
      <w:r>
        <w:rPr>
          <w:spacing w:val="-19"/>
        </w:rPr>
        <w:t> </w:t>
      </w:r>
      <w:r>
        <w:rPr/>
        <w:t>tres</w:t>
      </w:r>
      <w:r>
        <w:rPr>
          <w:spacing w:val="-18"/>
        </w:rPr>
        <w:t> </w:t>
      </w:r>
      <w:r>
        <w:rPr/>
        <w:t>programas</w:t>
      </w:r>
      <w:r>
        <w:rPr>
          <w:spacing w:val="-18"/>
        </w:rPr>
        <w:t> </w:t>
      </w:r>
      <w:r>
        <w:rPr/>
        <w:t>federales</w:t>
      </w:r>
      <w:r>
        <w:rPr>
          <w:spacing w:val="-18"/>
        </w:rPr>
        <w:t> </w:t>
      </w:r>
      <w:r>
        <w:rPr/>
        <w:t>descentralizados por</w:t>
      </w:r>
      <w:r>
        <w:rPr>
          <w:spacing w:val="28"/>
        </w:rPr>
        <w:t> </w:t>
      </w:r>
      <w:r>
        <w:rPr/>
        <w:t>el</w:t>
      </w:r>
      <w:r>
        <w:rPr>
          <w:spacing w:val="28"/>
        </w:rPr>
        <w:t> </w:t>
      </w:r>
      <w:r>
        <w:rPr/>
        <w:t>sector</w:t>
      </w:r>
      <w:r>
        <w:rPr>
          <w:spacing w:val="28"/>
        </w:rPr>
        <w:t> </w:t>
      </w:r>
      <w:r>
        <w:rPr/>
        <w:t>federal</w:t>
      </w:r>
      <w:r>
        <w:rPr>
          <w:spacing w:val="28"/>
        </w:rPr>
        <w:t> </w:t>
      </w:r>
      <w:r>
        <w:rPr/>
        <w:t>análogo,</w:t>
      </w:r>
      <w:r>
        <w:rPr>
          <w:spacing w:val="28"/>
        </w:rPr>
        <w:t> </w:t>
      </w:r>
      <w:r>
        <w:rPr/>
        <w:t>cuyos</w:t>
      </w:r>
      <w:r>
        <w:rPr>
          <w:spacing w:val="27"/>
        </w:rPr>
        <w:t> </w:t>
      </w:r>
      <w:r>
        <w:rPr/>
        <w:t>montos</w:t>
      </w:r>
      <w:r>
        <w:rPr>
          <w:spacing w:val="27"/>
        </w:rPr>
        <w:t> </w:t>
      </w:r>
      <w:r>
        <w:rPr/>
        <w:t>y</w:t>
      </w:r>
      <w:r>
        <w:rPr>
          <w:spacing w:val="28"/>
        </w:rPr>
        <w:t> </w:t>
      </w:r>
      <w:r>
        <w:rPr/>
        <w:t>metas</w:t>
      </w:r>
      <w:r>
        <w:rPr>
          <w:spacing w:val="28"/>
        </w:rPr>
        <w:t> </w:t>
      </w:r>
      <w:r>
        <w:rPr/>
        <w:t>del</w:t>
      </w:r>
      <w:r>
        <w:rPr>
          <w:spacing w:val="28"/>
        </w:rPr>
        <w:t> </w:t>
      </w:r>
      <w:r>
        <w:rPr/>
        <w:t>año</w:t>
      </w:r>
      <w:r>
        <w:rPr>
          <w:spacing w:val="28"/>
        </w:rPr>
        <w:t> </w:t>
      </w:r>
      <w:r>
        <w:rPr/>
        <w:t>2009</w:t>
      </w:r>
      <w:r>
        <w:rPr>
          <w:spacing w:val="28"/>
        </w:rPr>
        <w:t> </w:t>
      </w:r>
      <w:r>
        <w:rPr/>
        <w:t>fueron:</w:t>
      </w:r>
    </w:p>
    <w:p>
      <w:pPr>
        <w:pStyle w:val="ListParagraph"/>
        <w:numPr>
          <w:ilvl w:val="0"/>
          <w:numId w:val="10"/>
        </w:numPr>
        <w:tabs>
          <w:tab w:pos="399" w:val="left" w:leader="none"/>
        </w:tabs>
        <w:spacing w:line="235" w:lineRule="auto" w:before="0" w:after="0"/>
        <w:ind w:left="110" w:right="114" w:firstLine="0"/>
        <w:jc w:val="both"/>
        <w:rPr>
          <w:sz w:val="23"/>
        </w:rPr>
      </w:pPr>
      <w:r>
        <w:rPr>
          <w:i/>
          <w:sz w:val="23"/>
        </w:rPr>
        <w:t>programa de atención a jornaleros agrícolas</w:t>
      </w:r>
      <w:r>
        <w:rPr>
          <w:sz w:val="23"/>
        </w:rPr>
        <w:t>, de tendencia asistencial, registró siete millones ciento treinta y  cuatro  mil  ochocientos  setenta  y dos pesos de inversión federal y dos millones quinientos noventa y un mil setecientos treinta y dos pesos de inversión estatal, alcanzando diez acciones en cuatro municipios</w:t>
      </w:r>
      <w:r>
        <w:rPr>
          <w:position w:val="8"/>
          <w:sz w:val="13"/>
        </w:rPr>
        <w:t>183</w:t>
      </w:r>
      <w:r>
        <w:rPr>
          <w:sz w:val="23"/>
        </w:rPr>
        <w:t>; 2) </w:t>
      </w:r>
      <w:r>
        <w:rPr>
          <w:i/>
          <w:sz w:val="23"/>
        </w:rPr>
        <w:t>programa de empleo temporal</w:t>
      </w:r>
      <w:r>
        <w:rPr>
          <w:sz w:val="23"/>
        </w:rPr>
        <w:t>, como oportunidad de ingreso, contempló nueve millones trescientos dieciocho mil setecientos ochenta y nueve pesos de inversión federal y tres millones novecientos veintidós</w:t>
      </w:r>
      <w:r>
        <w:rPr>
          <w:spacing w:val="-7"/>
          <w:sz w:val="23"/>
        </w:rPr>
        <w:t> </w:t>
      </w:r>
      <w:r>
        <w:rPr>
          <w:sz w:val="23"/>
        </w:rPr>
        <w:t>mil</w:t>
      </w:r>
      <w:r>
        <w:rPr>
          <w:spacing w:val="-7"/>
          <w:sz w:val="23"/>
        </w:rPr>
        <w:t> </w:t>
      </w:r>
      <w:r>
        <w:rPr>
          <w:sz w:val="23"/>
        </w:rPr>
        <w:t>ochocientos</w:t>
      </w:r>
      <w:r>
        <w:rPr>
          <w:spacing w:val="-7"/>
          <w:sz w:val="23"/>
        </w:rPr>
        <w:t> </w:t>
      </w:r>
      <w:r>
        <w:rPr>
          <w:sz w:val="23"/>
        </w:rPr>
        <w:t>treinta</w:t>
      </w:r>
      <w:r>
        <w:rPr>
          <w:spacing w:val="-7"/>
          <w:sz w:val="23"/>
        </w:rPr>
        <w:t> </w:t>
      </w:r>
      <w:r>
        <w:rPr>
          <w:sz w:val="23"/>
        </w:rPr>
        <w:t>pesos</w:t>
      </w:r>
      <w:r>
        <w:rPr>
          <w:spacing w:val="-6"/>
          <w:sz w:val="23"/>
        </w:rPr>
        <w:t> </w:t>
      </w:r>
      <w:r>
        <w:rPr>
          <w:sz w:val="23"/>
        </w:rPr>
        <w:t>de</w:t>
      </w:r>
      <w:r>
        <w:rPr>
          <w:spacing w:val="-6"/>
          <w:sz w:val="23"/>
        </w:rPr>
        <w:t> </w:t>
      </w:r>
      <w:r>
        <w:rPr>
          <w:sz w:val="23"/>
        </w:rPr>
        <w:t>inversión</w:t>
      </w:r>
      <w:r>
        <w:rPr>
          <w:spacing w:val="-7"/>
          <w:sz w:val="23"/>
        </w:rPr>
        <w:t> </w:t>
      </w:r>
      <w:r>
        <w:rPr>
          <w:sz w:val="23"/>
        </w:rPr>
        <w:t>estatal,</w:t>
      </w:r>
      <w:r>
        <w:rPr>
          <w:spacing w:val="-7"/>
          <w:sz w:val="23"/>
        </w:rPr>
        <w:t> </w:t>
      </w:r>
      <w:r>
        <w:rPr>
          <w:sz w:val="23"/>
        </w:rPr>
        <w:t>para</w:t>
      </w:r>
      <w:r>
        <w:rPr>
          <w:spacing w:val="-7"/>
          <w:sz w:val="23"/>
        </w:rPr>
        <w:t> </w:t>
      </w:r>
      <w:r>
        <w:rPr>
          <w:sz w:val="23"/>
        </w:rPr>
        <w:t>lograr</w:t>
      </w:r>
      <w:r>
        <w:rPr>
          <w:spacing w:val="-7"/>
          <w:sz w:val="23"/>
        </w:rPr>
        <w:t> </w:t>
      </w:r>
      <w:r>
        <w:rPr>
          <w:sz w:val="23"/>
        </w:rPr>
        <w:t>ciento trece acciones en treinta y nueve municipios</w:t>
      </w:r>
      <w:r>
        <w:rPr>
          <w:position w:val="8"/>
          <w:sz w:val="13"/>
        </w:rPr>
        <w:t>184</w:t>
      </w:r>
      <w:r>
        <w:rPr>
          <w:sz w:val="23"/>
        </w:rPr>
        <w:t>; y 3) </w:t>
      </w:r>
      <w:r>
        <w:rPr>
          <w:i/>
          <w:sz w:val="23"/>
        </w:rPr>
        <w:t>opciones productivas</w:t>
      </w:r>
      <w:r>
        <w:rPr>
          <w:sz w:val="23"/>
        </w:rPr>
        <w:t>, también como oportunidad de ingreso, ejecutó quince millones ochocientos cuarenta y tres mil seiscientos cuarenta y un mil pesos de inversión federal   y siete millones ochocientos cuarenta y cinco mil seiscientos tres pesos de inversión</w:t>
      </w:r>
      <w:r>
        <w:rPr>
          <w:spacing w:val="-15"/>
          <w:sz w:val="23"/>
        </w:rPr>
        <w:t> </w:t>
      </w:r>
      <w:r>
        <w:rPr>
          <w:sz w:val="23"/>
        </w:rPr>
        <w:t>estatal,</w:t>
      </w:r>
      <w:r>
        <w:rPr>
          <w:spacing w:val="-15"/>
          <w:sz w:val="23"/>
        </w:rPr>
        <w:t> </w:t>
      </w:r>
      <w:r>
        <w:rPr>
          <w:sz w:val="23"/>
        </w:rPr>
        <w:t>con</w:t>
      </w:r>
      <w:r>
        <w:rPr>
          <w:spacing w:val="-15"/>
          <w:sz w:val="23"/>
        </w:rPr>
        <w:t> </w:t>
      </w:r>
      <w:r>
        <w:rPr>
          <w:sz w:val="23"/>
        </w:rPr>
        <w:t>metas</w:t>
      </w:r>
      <w:r>
        <w:rPr>
          <w:spacing w:val="-15"/>
          <w:sz w:val="23"/>
        </w:rPr>
        <w:t> </w:t>
      </w:r>
      <w:r>
        <w:rPr>
          <w:sz w:val="23"/>
        </w:rPr>
        <w:t>de</w:t>
      </w:r>
      <w:r>
        <w:rPr>
          <w:spacing w:val="-14"/>
          <w:sz w:val="23"/>
        </w:rPr>
        <w:t> </w:t>
      </w:r>
      <w:r>
        <w:rPr>
          <w:sz w:val="23"/>
        </w:rPr>
        <w:t>seiscientas</w:t>
      </w:r>
      <w:r>
        <w:rPr>
          <w:spacing w:val="-14"/>
          <w:sz w:val="23"/>
        </w:rPr>
        <w:t> </w:t>
      </w:r>
      <w:r>
        <w:rPr>
          <w:sz w:val="23"/>
        </w:rPr>
        <w:t>sesenta</w:t>
      </w:r>
      <w:r>
        <w:rPr>
          <w:spacing w:val="-14"/>
          <w:sz w:val="23"/>
        </w:rPr>
        <w:t> </w:t>
      </w:r>
      <w:r>
        <w:rPr>
          <w:sz w:val="23"/>
        </w:rPr>
        <w:t>y</w:t>
      </w:r>
      <w:r>
        <w:rPr>
          <w:spacing w:val="-14"/>
          <w:sz w:val="23"/>
        </w:rPr>
        <w:t> </w:t>
      </w:r>
      <w:r>
        <w:rPr>
          <w:sz w:val="23"/>
        </w:rPr>
        <w:t>seis</w:t>
      </w:r>
      <w:r>
        <w:rPr>
          <w:spacing w:val="-14"/>
          <w:sz w:val="23"/>
        </w:rPr>
        <w:t> </w:t>
      </w:r>
      <w:r>
        <w:rPr>
          <w:sz w:val="23"/>
        </w:rPr>
        <w:t>acciones</w:t>
      </w:r>
      <w:r>
        <w:rPr>
          <w:spacing w:val="-15"/>
          <w:sz w:val="23"/>
        </w:rPr>
        <w:t> </w:t>
      </w:r>
      <w:r>
        <w:rPr>
          <w:sz w:val="23"/>
        </w:rPr>
        <w:t>en</w:t>
      </w:r>
      <w:r>
        <w:rPr>
          <w:spacing w:val="-14"/>
          <w:sz w:val="23"/>
        </w:rPr>
        <w:t> </w:t>
      </w:r>
      <w:r>
        <w:rPr>
          <w:sz w:val="23"/>
        </w:rPr>
        <w:t>cincuenta y ocho</w:t>
      </w:r>
      <w:r>
        <w:rPr>
          <w:spacing w:val="5"/>
          <w:sz w:val="23"/>
        </w:rPr>
        <w:t> </w:t>
      </w:r>
      <w:r>
        <w:rPr>
          <w:sz w:val="23"/>
        </w:rPr>
        <w:t>municipios</w:t>
      </w:r>
      <w:r>
        <w:rPr>
          <w:position w:val="8"/>
          <w:sz w:val="13"/>
        </w:rPr>
        <w:t>185</w:t>
      </w:r>
      <w:r>
        <w:rPr>
          <w:sz w:val="23"/>
        </w:rPr>
        <w:t>.</w:t>
      </w:r>
    </w:p>
    <w:p>
      <w:pPr>
        <w:pStyle w:val="BodyText"/>
        <w:spacing w:before="7"/>
        <w:rPr>
          <w:sz w:val="22"/>
        </w:rPr>
      </w:pPr>
    </w:p>
    <w:p>
      <w:pPr>
        <w:pStyle w:val="BodyText"/>
        <w:spacing w:line="235" w:lineRule="auto" w:before="1"/>
        <w:ind w:left="110" w:right="114"/>
        <w:jc w:val="both"/>
      </w:pPr>
      <w:r>
        <w:rPr/>
        <w:pict>
          <v:line style="position:absolute;mso-position-horizontal-relative:page;mso-position-vertical-relative:paragraph;z-index:3064;mso-wrap-distance-left:0;mso-wrap-distance-right:0" from="42.519699pt,176.018005pt" to="114.519699pt,176.018005pt" stroked="true" strokeweight="1pt" strokecolor="#000000">
            <w10:wrap type="topAndBottom"/>
          </v:line>
        </w:pict>
      </w:r>
      <w:r>
        <w:rPr/>
        <w:t>Adicionalmente, la SEDESO opera dieciséis programas que, en algunos casos, aprovechan parcial o totalmente el presupuesto federal para financiar una estrategia de diseño propio que se implementa a través de seis áreas burocráticas: atención a indígenas, desarrollo social sustentable, fomento artesanal, atención a comunidades marginadas, proyectos de desarrollo</w:t>
      </w:r>
      <w:r>
        <w:rPr>
          <w:spacing w:val="-38"/>
        </w:rPr>
        <w:t> </w:t>
      </w:r>
      <w:r>
        <w:rPr/>
        <w:t>social y atención a migrantes. Estos programas de diseño estatal, ahora con</w:t>
      </w:r>
      <w:r>
        <w:rPr>
          <w:spacing w:val="-32"/>
        </w:rPr>
        <w:t> </w:t>
      </w:r>
      <w:r>
        <w:rPr/>
        <w:t>relación a la categorización utilizada para el presente análisis, se clasifican en uno de capacidades (6.25% del total de acciones), diez de oportunidades de ingreso (62.50% del total de acciones), ninguno de patrimonio, y cinco de asistencia (31.25% del total de acciones)</w:t>
      </w:r>
      <w:r>
        <w:rPr>
          <w:position w:val="8"/>
          <w:sz w:val="13"/>
        </w:rPr>
        <w:t>186</w:t>
      </w:r>
      <w:r>
        <w:rPr/>
        <w:t>. El único programa de capacidades se denomina </w:t>
      </w:r>
      <w:r>
        <w:rPr>
          <w:i/>
        </w:rPr>
        <w:t>programa de capacitación para el autoempleo</w:t>
      </w:r>
      <w:r>
        <w:rPr/>
        <w:t>, contó en 2009 con una</w:t>
      </w:r>
      <w:r>
        <w:rPr>
          <w:spacing w:val="-5"/>
        </w:rPr>
        <w:t> </w:t>
      </w:r>
      <w:r>
        <w:rPr/>
        <w:t>inversión</w:t>
      </w:r>
      <w:r>
        <w:rPr>
          <w:spacing w:val="-5"/>
        </w:rPr>
        <w:t> </w:t>
      </w:r>
      <w:r>
        <w:rPr/>
        <w:t>estatal</w:t>
      </w:r>
      <w:r>
        <w:rPr>
          <w:spacing w:val="-5"/>
        </w:rPr>
        <w:t> </w:t>
      </w:r>
      <w:r>
        <w:rPr/>
        <w:t>de</w:t>
      </w:r>
      <w:r>
        <w:rPr>
          <w:spacing w:val="-5"/>
        </w:rPr>
        <w:t> </w:t>
      </w:r>
      <w:r>
        <w:rPr/>
        <w:t>cincuenta</w:t>
      </w:r>
      <w:r>
        <w:rPr>
          <w:spacing w:val="-5"/>
        </w:rPr>
        <w:t> </w:t>
      </w:r>
      <w:r>
        <w:rPr/>
        <w:t>y</w:t>
      </w:r>
      <w:r>
        <w:rPr>
          <w:spacing w:val="-5"/>
        </w:rPr>
        <w:t> </w:t>
      </w:r>
      <w:r>
        <w:rPr/>
        <w:t>tres</w:t>
      </w:r>
      <w:r>
        <w:rPr>
          <w:spacing w:val="-5"/>
        </w:rPr>
        <w:t> </w:t>
      </w:r>
      <w:r>
        <w:rPr/>
        <w:t>millones</w:t>
      </w:r>
      <w:r>
        <w:rPr>
          <w:spacing w:val="-5"/>
        </w:rPr>
        <w:t> </w:t>
      </w:r>
      <w:r>
        <w:rPr/>
        <w:t>quinientos</w:t>
      </w:r>
      <w:r>
        <w:rPr>
          <w:spacing w:val="-5"/>
        </w:rPr>
        <w:t> </w:t>
      </w:r>
      <w:r>
        <w:rPr/>
        <w:t>noventa</w:t>
      </w:r>
      <w:r>
        <w:rPr>
          <w:spacing w:val="-5"/>
        </w:rPr>
        <w:t> </w:t>
      </w:r>
      <w:r>
        <w:rPr/>
        <w:t>y</w:t>
      </w:r>
      <w:r>
        <w:rPr>
          <w:spacing w:val="-5"/>
        </w:rPr>
        <w:t> </w:t>
      </w:r>
      <w:r>
        <w:rPr/>
        <w:t>cuatro mil pesos, e incluyó catorce acciones en cuatro</w:t>
      </w:r>
      <w:r>
        <w:rPr>
          <w:spacing w:val="-3"/>
        </w:rPr>
        <w:t> </w:t>
      </w:r>
      <w:r>
        <w:rPr/>
        <w:t>municipios</w:t>
      </w:r>
      <w:r>
        <w:rPr>
          <w:position w:val="8"/>
          <w:sz w:val="13"/>
        </w:rPr>
        <w:t>187</w:t>
      </w:r>
      <w:r>
        <w:rPr/>
        <w:t>.</w:t>
      </w:r>
    </w:p>
    <w:p>
      <w:pPr>
        <w:spacing w:line="200" w:lineRule="exact" w:before="1"/>
        <w:ind w:left="393" w:right="115" w:hanging="284"/>
        <w:jc w:val="both"/>
        <w:rPr>
          <w:sz w:val="18"/>
        </w:rPr>
      </w:pPr>
      <w:r>
        <w:rPr>
          <w:position w:val="7"/>
          <w:sz w:val="11"/>
        </w:rPr>
        <w:t>183</w:t>
      </w:r>
      <w:r>
        <w:rPr>
          <w:spacing w:val="26"/>
          <w:position w:val="7"/>
          <w:sz w:val="11"/>
        </w:rPr>
        <w:t> </w:t>
      </w:r>
      <w:r>
        <w:rPr>
          <w:sz w:val="18"/>
        </w:rPr>
        <w:t>Información</w:t>
      </w:r>
      <w:r>
        <w:rPr>
          <w:spacing w:val="-9"/>
          <w:sz w:val="18"/>
        </w:rPr>
        <w:t> </w:t>
      </w:r>
      <w:r>
        <w:rPr>
          <w:sz w:val="18"/>
        </w:rPr>
        <w:t>interpretada</w:t>
      </w:r>
      <w:r>
        <w:rPr>
          <w:spacing w:val="-10"/>
          <w:sz w:val="18"/>
        </w:rPr>
        <w:t> </w:t>
      </w:r>
      <w:r>
        <w:rPr>
          <w:sz w:val="18"/>
        </w:rPr>
        <w:t>por</w:t>
      </w:r>
      <w:r>
        <w:rPr>
          <w:spacing w:val="-9"/>
          <w:sz w:val="18"/>
        </w:rPr>
        <w:t> </w:t>
      </w:r>
      <w:r>
        <w:rPr>
          <w:sz w:val="18"/>
        </w:rPr>
        <w:t>el</w:t>
      </w:r>
      <w:r>
        <w:rPr>
          <w:spacing w:val="-9"/>
          <w:sz w:val="18"/>
        </w:rPr>
        <w:t> </w:t>
      </w:r>
      <w:r>
        <w:rPr>
          <w:sz w:val="18"/>
        </w:rPr>
        <w:t>autor</w:t>
      </w:r>
      <w:r>
        <w:rPr>
          <w:spacing w:val="-10"/>
          <w:sz w:val="18"/>
        </w:rPr>
        <w:t> </w:t>
      </w:r>
      <w:r>
        <w:rPr>
          <w:sz w:val="18"/>
        </w:rPr>
        <w:t>según</w:t>
      </w:r>
      <w:r>
        <w:rPr>
          <w:spacing w:val="-9"/>
          <w:sz w:val="18"/>
        </w:rPr>
        <w:t> </w:t>
      </w:r>
      <w:r>
        <w:rPr>
          <w:sz w:val="18"/>
        </w:rPr>
        <w:t>base</w:t>
      </w:r>
      <w:r>
        <w:rPr>
          <w:spacing w:val="-9"/>
          <w:sz w:val="18"/>
        </w:rPr>
        <w:t> </w:t>
      </w:r>
      <w:r>
        <w:rPr>
          <w:sz w:val="18"/>
        </w:rPr>
        <w:t>de</w:t>
      </w:r>
      <w:r>
        <w:rPr>
          <w:spacing w:val="-9"/>
          <w:sz w:val="18"/>
        </w:rPr>
        <w:t> </w:t>
      </w:r>
      <w:r>
        <w:rPr>
          <w:sz w:val="18"/>
        </w:rPr>
        <w:t>datos</w:t>
      </w:r>
      <w:r>
        <w:rPr>
          <w:spacing w:val="-9"/>
          <w:sz w:val="18"/>
        </w:rPr>
        <w:t> </w:t>
      </w:r>
      <w:r>
        <w:rPr>
          <w:sz w:val="18"/>
        </w:rPr>
        <w:t>indicada</w:t>
      </w:r>
      <w:r>
        <w:rPr>
          <w:spacing w:val="-10"/>
          <w:sz w:val="18"/>
        </w:rPr>
        <w:t> </w:t>
      </w:r>
      <w:r>
        <w:rPr>
          <w:sz w:val="18"/>
        </w:rPr>
        <w:t>por</w:t>
      </w:r>
      <w:r>
        <w:rPr>
          <w:spacing w:val="-9"/>
          <w:sz w:val="18"/>
        </w:rPr>
        <w:t> </w:t>
      </w:r>
      <w:r>
        <w:rPr>
          <w:sz w:val="18"/>
        </w:rPr>
        <w:t>la</w:t>
      </w:r>
      <w:r>
        <w:rPr>
          <w:spacing w:val="-9"/>
          <w:sz w:val="18"/>
        </w:rPr>
        <w:t> </w:t>
      </w:r>
      <w:r>
        <w:rPr>
          <w:sz w:val="18"/>
        </w:rPr>
        <w:t>unidad</w:t>
      </w:r>
      <w:r>
        <w:rPr>
          <w:spacing w:val="-9"/>
          <w:sz w:val="18"/>
        </w:rPr>
        <w:t> </w:t>
      </w:r>
      <w:r>
        <w:rPr>
          <w:sz w:val="18"/>
        </w:rPr>
        <w:t>de</w:t>
      </w:r>
      <w:r>
        <w:rPr>
          <w:spacing w:val="-9"/>
          <w:sz w:val="18"/>
        </w:rPr>
        <w:t> </w:t>
      </w:r>
      <w:r>
        <w:rPr>
          <w:sz w:val="18"/>
        </w:rPr>
        <w:t>información pública</w:t>
      </w:r>
      <w:r>
        <w:rPr>
          <w:spacing w:val="-14"/>
          <w:sz w:val="18"/>
        </w:rPr>
        <w:t> </w:t>
      </w:r>
      <w:r>
        <w:rPr>
          <w:sz w:val="18"/>
        </w:rPr>
        <w:t>gubernamental</w:t>
      </w:r>
      <w:r>
        <w:rPr>
          <w:spacing w:val="-14"/>
          <w:sz w:val="18"/>
        </w:rPr>
        <w:t> </w:t>
      </w:r>
      <w:r>
        <w:rPr>
          <w:sz w:val="18"/>
        </w:rPr>
        <w:t>del</w:t>
      </w:r>
      <w:r>
        <w:rPr>
          <w:spacing w:val="-14"/>
          <w:sz w:val="18"/>
        </w:rPr>
        <w:t> </w:t>
      </w:r>
      <w:r>
        <w:rPr>
          <w:sz w:val="18"/>
        </w:rPr>
        <w:t>poder</w:t>
      </w:r>
      <w:r>
        <w:rPr>
          <w:spacing w:val="-14"/>
          <w:sz w:val="18"/>
        </w:rPr>
        <w:t> </w:t>
      </w:r>
      <w:r>
        <w:rPr>
          <w:sz w:val="18"/>
        </w:rPr>
        <w:t>ejecutivo</w:t>
      </w:r>
      <w:r>
        <w:rPr>
          <w:spacing w:val="-15"/>
          <w:sz w:val="18"/>
        </w:rPr>
        <w:t> </w:t>
      </w:r>
      <w:r>
        <w:rPr>
          <w:sz w:val="18"/>
        </w:rPr>
        <w:t>del</w:t>
      </w:r>
      <w:r>
        <w:rPr>
          <w:spacing w:val="-14"/>
          <w:sz w:val="18"/>
        </w:rPr>
        <w:t> </w:t>
      </w:r>
      <w:r>
        <w:rPr>
          <w:sz w:val="18"/>
        </w:rPr>
        <w:t>Estado</w:t>
      </w:r>
      <w:r>
        <w:rPr>
          <w:spacing w:val="-15"/>
          <w:sz w:val="18"/>
        </w:rPr>
        <w:t> </w:t>
      </w:r>
      <w:r>
        <w:rPr>
          <w:sz w:val="18"/>
        </w:rPr>
        <w:t>de</w:t>
      </w:r>
      <w:r>
        <w:rPr>
          <w:spacing w:val="-14"/>
          <w:sz w:val="18"/>
        </w:rPr>
        <w:t> </w:t>
      </w:r>
      <w:r>
        <w:rPr>
          <w:sz w:val="18"/>
        </w:rPr>
        <w:t>Hidalgo,</w:t>
      </w:r>
      <w:r>
        <w:rPr>
          <w:spacing w:val="-14"/>
          <w:sz w:val="18"/>
        </w:rPr>
        <w:t> </w:t>
      </w:r>
      <w:r>
        <w:rPr>
          <w:sz w:val="18"/>
        </w:rPr>
        <w:t>según</w:t>
      </w:r>
      <w:r>
        <w:rPr>
          <w:spacing w:val="-14"/>
          <w:sz w:val="18"/>
        </w:rPr>
        <w:t> </w:t>
      </w:r>
      <w:r>
        <w:rPr>
          <w:sz w:val="18"/>
        </w:rPr>
        <w:t>solicitud</w:t>
      </w:r>
      <w:r>
        <w:rPr>
          <w:spacing w:val="-14"/>
          <w:sz w:val="18"/>
        </w:rPr>
        <w:t> </w:t>
      </w:r>
      <w:r>
        <w:rPr>
          <w:sz w:val="18"/>
        </w:rPr>
        <w:t>con</w:t>
      </w:r>
      <w:r>
        <w:rPr>
          <w:spacing w:val="-14"/>
          <w:sz w:val="18"/>
        </w:rPr>
        <w:t> </w:t>
      </w:r>
      <w:r>
        <w:rPr>
          <w:sz w:val="18"/>
        </w:rPr>
        <w:t>el</w:t>
      </w:r>
      <w:r>
        <w:rPr>
          <w:spacing w:val="-15"/>
          <w:sz w:val="18"/>
        </w:rPr>
        <w:t> </w:t>
      </w:r>
      <w:r>
        <w:rPr>
          <w:sz w:val="18"/>
        </w:rPr>
        <w:t>número de expediente 00167010 del sistema INFOMEX Hidalgo, 14 de febrero del año</w:t>
      </w:r>
      <w:r>
        <w:rPr>
          <w:spacing w:val="-8"/>
          <w:sz w:val="18"/>
        </w:rPr>
        <w:t> </w:t>
      </w:r>
      <w:r>
        <w:rPr>
          <w:sz w:val="18"/>
        </w:rPr>
        <w:t>2011.</w:t>
      </w:r>
    </w:p>
    <w:p>
      <w:pPr>
        <w:spacing w:line="193" w:lineRule="exact" w:before="0"/>
        <w:ind w:left="110" w:right="0" w:firstLine="0"/>
        <w:jc w:val="both"/>
        <w:rPr>
          <w:i/>
          <w:sz w:val="18"/>
        </w:rPr>
      </w:pPr>
      <w:r>
        <w:rPr>
          <w:w w:val="105"/>
          <w:position w:val="7"/>
          <w:sz w:val="11"/>
        </w:rPr>
        <w:t>184  </w:t>
      </w:r>
      <w:r>
        <w:rPr>
          <w:i/>
          <w:w w:val="105"/>
          <w:sz w:val="18"/>
        </w:rPr>
        <w:t>Ibídem.</w:t>
      </w:r>
    </w:p>
    <w:p>
      <w:pPr>
        <w:spacing w:line="200" w:lineRule="exact" w:before="0"/>
        <w:ind w:left="110" w:right="0" w:firstLine="0"/>
        <w:jc w:val="both"/>
        <w:rPr>
          <w:i/>
          <w:sz w:val="18"/>
        </w:rPr>
      </w:pPr>
      <w:r>
        <w:rPr>
          <w:w w:val="105"/>
          <w:position w:val="7"/>
          <w:sz w:val="11"/>
        </w:rPr>
        <w:t>185  </w:t>
      </w:r>
      <w:r>
        <w:rPr>
          <w:i/>
          <w:w w:val="105"/>
          <w:sz w:val="18"/>
        </w:rPr>
        <w:t>Ibídem.</w:t>
      </w:r>
    </w:p>
    <w:p>
      <w:pPr>
        <w:spacing w:line="200" w:lineRule="exact" w:before="7"/>
        <w:ind w:left="393" w:right="0" w:hanging="284"/>
        <w:jc w:val="left"/>
        <w:rPr>
          <w:sz w:val="18"/>
        </w:rPr>
      </w:pPr>
      <w:r>
        <w:rPr>
          <w:position w:val="7"/>
          <w:sz w:val="11"/>
        </w:rPr>
        <w:t>186 </w:t>
      </w:r>
      <w:r>
        <w:rPr>
          <w:sz w:val="18"/>
        </w:rPr>
        <w:t>Porcentajes calculados por el autor con información proporcionada para esta investigación por personal de la secretaría de desarrollo social del Estado de Hidalgo, 16 de noviembre del 2010.</w:t>
      </w:r>
    </w:p>
    <w:p>
      <w:pPr>
        <w:spacing w:line="200" w:lineRule="exact" w:before="0"/>
        <w:ind w:left="393" w:right="0" w:hanging="284"/>
        <w:jc w:val="left"/>
        <w:rPr>
          <w:sz w:val="18"/>
        </w:rPr>
      </w:pPr>
      <w:r>
        <w:rPr>
          <w:position w:val="7"/>
          <w:sz w:val="11"/>
        </w:rPr>
        <w:t>187 </w:t>
      </w:r>
      <w:r>
        <w:rPr>
          <w:sz w:val="18"/>
        </w:rPr>
        <w:t>Información proporcionada para esta investigación por personal de la secretaría de desarrollo social del Estado de Hidalgo, 16 de noviembre del 2010.</w:t>
      </w:r>
    </w:p>
    <w:p>
      <w:pPr>
        <w:spacing w:after="0" w:line="200" w:lineRule="exact"/>
        <w:jc w:val="left"/>
        <w:rPr>
          <w:sz w:val="18"/>
        </w:rPr>
        <w:sectPr>
          <w:pgSz w:w="9360" w:h="13040"/>
          <w:pgMar w:header="547" w:footer="515" w:top="720" w:bottom="700" w:left="740" w:right="1300"/>
        </w:sectPr>
      </w:pPr>
    </w:p>
    <w:p>
      <w:pPr>
        <w:pStyle w:val="BodyText"/>
        <w:spacing w:before="11"/>
        <w:rPr>
          <w:sz w:val="29"/>
        </w:rPr>
      </w:pPr>
    </w:p>
    <w:p>
      <w:pPr>
        <w:pStyle w:val="BodyText"/>
        <w:spacing w:line="254" w:lineRule="exact" w:before="82"/>
        <w:ind w:left="117"/>
      </w:pPr>
      <w:r>
        <w:rPr/>
        <w:t>Los diez programas de oportunidades de ingreso, así como sus montos y sus metas del año 2009 se relacionan  a continuación:</w:t>
      </w:r>
    </w:p>
    <w:p>
      <w:pPr>
        <w:pStyle w:val="BodyText"/>
        <w:spacing w:before="1"/>
        <w:rPr>
          <w:sz w:val="22"/>
        </w:rPr>
      </w:pPr>
    </w:p>
    <w:p>
      <w:pPr>
        <w:pStyle w:val="ListParagraph"/>
        <w:numPr>
          <w:ilvl w:val="1"/>
          <w:numId w:val="10"/>
        </w:numPr>
        <w:tabs>
          <w:tab w:pos="685" w:val="left" w:leader="none"/>
        </w:tabs>
        <w:spacing w:line="254" w:lineRule="exact" w:before="0" w:after="0"/>
        <w:ind w:left="684" w:right="108" w:hanging="369"/>
        <w:jc w:val="both"/>
        <w:rPr>
          <w:sz w:val="23"/>
        </w:rPr>
      </w:pPr>
      <w:r>
        <w:rPr>
          <w:i/>
          <w:sz w:val="23"/>
        </w:rPr>
        <w:t>programa organización productiva para mujeres indígenas (POPMI)</w:t>
      </w:r>
      <w:r>
        <w:rPr>
          <w:sz w:val="23"/>
        </w:rPr>
        <w:t>, ejecución de proyectos de organización productiva para mujeres, un millón doscientos mil pesos de inversión federal y estatal, doscientos once</w:t>
      </w:r>
      <w:r>
        <w:rPr>
          <w:spacing w:val="-13"/>
          <w:sz w:val="23"/>
        </w:rPr>
        <w:t> </w:t>
      </w:r>
      <w:r>
        <w:rPr>
          <w:sz w:val="23"/>
        </w:rPr>
        <w:t>beneficiarios;</w:t>
      </w:r>
    </w:p>
    <w:p>
      <w:pPr>
        <w:pStyle w:val="ListParagraph"/>
        <w:numPr>
          <w:ilvl w:val="1"/>
          <w:numId w:val="10"/>
        </w:numPr>
        <w:tabs>
          <w:tab w:pos="685" w:val="left" w:leader="none"/>
        </w:tabs>
        <w:spacing w:line="254" w:lineRule="exact" w:before="0" w:after="0"/>
        <w:ind w:left="684" w:right="107" w:hanging="369"/>
        <w:jc w:val="both"/>
        <w:rPr>
          <w:sz w:val="23"/>
        </w:rPr>
      </w:pPr>
      <w:r>
        <w:rPr>
          <w:i/>
          <w:sz w:val="23"/>
        </w:rPr>
        <w:t>proyectos productivos para indígenas</w:t>
      </w:r>
      <w:r>
        <w:rPr>
          <w:sz w:val="23"/>
        </w:rPr>
        <w:t>, creación y consolidación de proyectos</w:t>
      </w:r>
      <w:r>
        <w:rPr>
          <w:spacing w:val="-14"/>
          <w:sz w:val="23"/>
        </w:rPr>
        <w:t> </w:t>
      </w:r>
      <w:r>
        <w:rPr>
          <w:sz w:val="23"/>
        </w:rPr>
        <w:t>rentables,</w:t>
      </w:r>
      <w:r>
        <w:rPr>
          <w:spacing w:val="-14"/>
          <w:sz w:val="23"/>
        </w:rPr>
        <w:t> </w:t>
      </w:r>
      <w:r>
        <w:rPr>
          <w:sz w:val="23"/>
        </w:rPr>
        <w:t>un</w:t>
      </w:r>
      <w:r>
        <w:rPr>
          <w:spacing w:val="-14"/>
          <w:sz w:val="23"/>
        </w:rPr>
        <w:t> </w:t>
      </w:r>
      <w:r>
        <w:rPr>
          <w:sz w:val="23"/>
        </w:rPr>
        <w:t>millón</w:t>
      </w:r>
      <w:r>
        <w:rPr>
          <w:spacing w:val="-14"/>
          <w:sz w:val="23"/>
        </w:rPr>
        <w:t> </w:t>
      </w:r>
      <w:r>
        <w:rPr>
          <w:sz w:val="23"/>
        </w:rPr>
        <w:t>cien</w:t>
      </w:r>
      <w:r>
        <w:rPr>
          <w:spacing w:val="-14"/>
          <w:sz w:val="23"/>
        </w:rPr>
        <w:t> </w:t>
      </w:r>
      <w:r>
        <w:rPr>
          <w:sz w:val="23"/>
        </w:rPr>
        <w:t>mil</w:t>
      </w:r>
      <w:r>
        <w:rPr>
          <w:spacing w:val="-14"/>
          <w:sz w:val="23"/>
        </w:rPr>
        <w:t> </w:t>
      </w:r>
      <w:r>
        <w:rPr>
          <w:sz w:val="23"/>
        </w:rPr>
        <w:t>pesos</w:t>
      </w:r>
      <w:r>
        <w:rPr>
          <w:spacing w:val="-14"/>
          <w:sz w:val="23"/>
        </w:rPr>
        <w:t> </w:t>
      </w:r>
      <w:r>
        <w:rPr>
          <w:sz w:val="23"/>
        </w:rPr>
        <w:t>de</w:t>
      </w:r>
      <w:r>
        <w:rPr>
          <w:spacing w:val="-14"/>
          <w:sz w:val="23"/>
        </w:rPr>
        <w:t> </w:t>
      </w:r>
      <w:r>
        <w:rPr>
          <w:sz w:val="23"/>
        </w:rPr>
        <w:t>inversión</w:t>
      </w:r>
      <w:r>
        <w:rPr>
          <w:spacing w:val="-14"/>
          <w:sz w:val="23"/>
        </w:rPr>
        <w:t> </w:t>
      </w:r>
      <w:r>
        <w:rPr>
          <w:sz w:val="23"/>
        </w:rPr>
        <w:t>federal</w:t>
      </w:r>
      <w:r>
        <w:rPr>
          <w:spacing w:val="-14"/>
          <w:sz w:val="23"/>
        </w:rPr>
        <w:t> </w:t>
      </w:r>
      <w:r>
        <w:rPr>
          <w:sz w:val="23"/>
        </w:rPr>
        <w:t>y</w:t>
      </w:r>
      <w:r>
        <w:rPr>
          <w:spacing w:val="-14"/>
          <w:sz w:val="23"/>
        </w:rPr>
        <w:t> </w:t>
      </w:r>
      <w:r>
        <w:rPr>
          <w:sz w:val="23"/>
        </w:rPr>
        <w:t>cien mil pesos de inversión estatal, diecinueve acciones en diez</w:t>
      </w:r>
      <w:r>
        <w:rPr>
          <w:spacing w:val="-12"/>
          <w:sz w:val="23"/>
        </w:rPr>
        <w:t> </w:t>
      </w:r>
      <w:r>
        <w:rPr>
          <w:sz w:val="23"/>
        </w:rPr>
        <w:t>municipios;</w:t>
      </w:r>
    </w:p>
    <w:p>
      <w:pPr>
        <w:pStyle w:val="ListParagraph"/>
        <w:numPr>
          <w:ilvl w:val="1"/>
          <w:numId w:val="10"/>
        </w:numPr>
        <w:tabs>
          <w:tab w:pos="713" w:val="left" w:leader="none"/>
        </w:tabs>
        <w:spacing w:line="254" w:lineRule="exact" w:before="0" w:after="0"/>
        <w:ind w:left="684" w:right="107" w:hanging="369"/>
        <w:jc w:val="both"/>
        <w:rPr>
          <w:sz w:val="23"/>
        </w:rPr>
      </w:pPr>
      <w:r>
        <w:rPr>
          <w:i/>
          <w:sz w:val="23"/>
        </w:rPr>
        <w:t>juntos</w:t>
      </w:r>
      <w:r>
        <w:rPr>
          <w:i/>
          <w:spacing w:val="-33"/>
          <w:sz w:val="23"/>
        </w:rPr>
        <w:t> </w:t>
      </w:r>
      <w:r>
        <w:rPr>
          <w:i/>
          <w:sz w:val="23"/>
        </w:rPr>
        <w:t>plantamos</w:t>
      </w:r>
      <w:r>
        <w:rPr>
          <w:i/>
          <w:spacing w:val="-32"/>
          <w:sz w:val="23"/>
        </w:rPr>
        <w:t> </w:t>
      </w:r>
      <w:r>
        <w:rPr>
          <w:i/>
          <w:sz w:val="23"/>
        </w:rPr>
        <w:t>para</w:t>
      </w:r>
      <w:r>
        <w:rPr>
          <w:i/>
          <w:spacing w:val="-32"/>
          <w:sz w:val="23"/>
        </w:rPr>
        <w:t> </w:t>
      </w:r>
      <w:r>
        <w:rPr>
          <w:i/>
          <w:sz w:val="23"/>
        </w:rPr>
        <w:t>el</w:t>
      </w:r>
      <w:r>
        <w:rPr>
          <w:i/>
          <w:spacing w:val="-32"/>
          <w:sz w:val="23"/>
        </w:rPr>
        <w:t> </w:t>
      </w:r>
      <w:r>
        <w:rPr>
          <w:i/>
          <w:sz w:val="23"/>
        </w:rPr>
        <w:t>futuro</w:t>
      </w:r>
      <w:r>
        <w:rPr>
          <w:sz w:val="23"/>
        </w:rPr>
        <w:t>,</w:t>
      </w:r>
      <w:r>
        <w:rPr>
          <w:spacing w:val="-32"/>
          <w:sz w:val="23"/>
        </w:rPr>
        <w:t> </w:t>
      </w:r>
      <w:r>
        <w:rPr>
          <w:sz w:val="23"/>
        </w:rPr>
        <w:t>proyectos</w:t>
      </w:r>
      <w:r>
        <w:rPr>
          <w:spacing w:val="-32"/>
          <w:sz w:val="23"/>
        </w:rPr>
        <w:t> </w:t>
      </w:r>
      <w:r>
        <w:rPr>
          <w:sz w:val="23"/>
        </w:rPr>
        <w:t>relacionados</w:t>
      </w:r>
      <w:r>
        <w:rPr>
          <w:spacing w:val="-32"/>
          <w:sz w:val="23"/>
        </w:rPr>
        <w:t> </w:t>
      </w:r>
      <w:r>
        <w:rPr>
          <w:sz w:val="23"/>
        </w:rPr>
        <w:t>con</w:t>
      </w:r>
      <w:r>
        <w:rPr>
          <w:spacing w:val="-32"/>
          <w:sz w:val="23"/>
        </w:rPr>
        <w:t> </w:t>
      </w:r>
      <w:r>
        <w:rPr>
          <w:sz w:val="23"/>
        </w:rPr>
        <w:t>plantaciones agroforestales sustentables, un millón cuatrocientos sesenta y ocho mil ciento cuarenta y cuatro pesos de inversión estatal, mil setecientos ochenta y tres beneficiarios en veintiún</w:t>
      </w:r>
      <w:r>
        <w:rPr>
          <w:spacing w:val="-12"/>
          <w:sz w:val="23"/>
        </w:rPr>
        <w:t> </w:t>
      </w:r>
      <w:r>
        <w:rPr>
          <w:sz w:val="23"/>
        </w:rPr>
        <w:t>municipios;</w:t>
      </w:r>
    </w:p>
    <w:p>
      <w:pPr>
        <w:pStyle w:val="ListParagraph"/>
        <w:numPr>
          <w:ilvl w:val="1"/>
          <w:numId w:val="10"/>
        </w:numPr>
        <w:tabs>
          <w:tab w:pos="685" w:val="left" w:leader="none"/>
        </w:tabs>
        <w:spacing w:line="254" w:lineRule="exact" w:before="0" w:after="0"/>
        <w:ind w:left="684" w:right="108" w:hanging="368"/>
        <w:jc w:val="both"/>
        <w:rPr>
          <w:sz w:val="23"/>
        </w:rPr>
      </w:pPr>
      <w:r>
        <w:rPr>
          <w:i/>
          <w:sz w:val="23"/>
        </w:rPr>
        <w:t>juntos atención a zonas áridas y semiáridas</w:t>
      </w:r>
      <w:r>
        <w:rPr>
          <w:sz w:val="23"/>
        </w:rPr>
        <w:t>; proyectos enfocados al suministro</w:t>
      </w:r>
      <w:r>
        <w:rPr>
          <w:spacing w:val="-12"/>
          <w:sz w:val="23"/>
        </w:rPr>
        <w:t> </w:t>
      </w:r>
      <w:r>
        <w:rPr>
          <w:sz w:val="23"/>
        </w:rPr>
        <w:t>de</w:t>
      </w:r>
      <w:r>
        <w:rPr>
          <w:spacing w:val="-13"/>
          <w:sz w:val="23"/>
        </w:rPr>
        <w:t> </w:t>
      </w:r>
      <w:r>
        <w:rPr>
          <w:sz w:val="23"/>
        </w:rPr>
        <w:t>agua,</w:t>
      </w:r>
      <w:r>
        <w:rPr>
          <w:spacing w:val="-13"/>
          <w:sz w:val="23"/>
        </w:rPr>
        <w:t> </w:t>
      </w:r>
      <w:r>
        <w:rPr>
          <w:sz w:val="23"/>
        </w:rPr>
        <w:t>un</w:t>
      </w:r>
      <w:r>
        <w:rPr>
          <w:spacing w:val="-13"/>
          <w:sz w:val="23"/>
        </w:rPr>
        <w:t> </w:t>
      </w:r>
      <w:r>
        <w:rPr>
          <w:sz w:val="23"/>
        </w:rPr>
        <w:t>millón</w:t>
      </w:r>
      <w:r>
        <w:rPr>
          <w:spacing w:val="-14"/>
          <w:sz w:val="23"/>
        </w:rPr>
        <w:t> </w:t>
      </w:r>
      <w:r>
        <w:rPr>
          <w:sz w:val="23"/>
        </w:rPr>
        <w:t>novecientos</w:t>
      </w:r>
      <w:r>
        <w:rPr>
          <w:spacing w:val="-13"/>
          <w:sz w:val="23"/>
        </w:rPr>
        <w:t> </w:t>
      </w:r>
      <w:r>
        <w:rPr>
          <w:sz w:val="23"/>
        </w:rPr>
        <w:t>noventa</w:t>
      </w:r>
      <w:r>
        <w:rPr>
          <w:spacing w:val="-13"/>
          <w:sz w:val="23"/>
        </w:rPr>
        <w:t> </w:t>
      </w:r>
      <w:r>
        <w:rPr>
          <w:sz w:val="23"/>
        </w:rPr>
        <w:t>y</w:t>
      </w:r>
      <w:r>
        <w:rPr>
          <w:spacing w:val="-13"/>
          <w:sz w:val="23"/>
        </w:rPr>
        <w:t> </w:t>
      </w:r>
      <w:r>
        <w:rPr>
          <w:sz w:val="23"/>
        </w:rPr>
        <w:t>tres</w:t>
      </w:r>
      <w:r>
        <w:rPr>
          <w:spacing w:val="-13"/>
          <w:sz w:val="23"/>
        </w:rPr>
        <w:t> </w:t>
      </w:r>
      <w:r>
        <w:rPr>
          <w:sz w:val="23"/>
        </w:rPr>
        <w:t>mil</w:t>
      </w:r>
      <w:r>
        <w:rPr>
          <w:spacing w:val="-13"/>
          <w:sz w:val="23"/>
        </w:rPr>
        <w:t> </w:t>
      </w:r>
      <w:r>
        <w:rPr>
          <w:sz w:val="23"/>
        </w:rPr>
        <w:t>doscientos cuarenta</w:t>
      </w:r>
      <w:r>
        <w:rPr>
          <w:spacing w:val="-12"/>
          <w:sz w:val="23"/>
        </w:rPr>
        <w:t> </w:t>
      </w:r>
      <w:r>
        <w:rPr>
          <w:sz w:val="23"/>
        </w:rPr>
        <w:t>y</w:t>
      </w:r>
      <w:r>
        <w:rPr>
          <w:spacing w:val="-11"/>
          <w:sz w:val="23"/>
        </w:rPr>
        <w:t> </w:t>
      </w:r>
      <w:r>
        <w:rPr>
          <w:sz w:val="23"/>
        </w:rPr>
        <w:t>un</w:t>
      </w:r>
      <w:r>
        <w:rPr>
          <w:spacing w:val="-12"/>
          <w:sz w:val="23"/>
        </w:rPr>
        <w:t> </w:t>
      </w:r>
      <w:r>
        <w:rPr>
          <w:sz w:val="23"/>
        </w:rPr>
        <w:t>pesos</w:t>
      </w:r>
      <w:r>
        <w:rPr>
          <w:spacing w:val="-11"/>
          <w:sz w:val="23"/>
        </w:rPr>
        <w:t> </w:t>
      </w:r>
      <w:r>
        <w:rPr>
          <w:sz w:val="23"/>
        </w:rPr>
        <w:t>de</w:t>
      </w:r>
      <w:r>
        <w:rPr>
          <w:spacing w:val="-12"/>
          <w:sz w:val="23"/>
        </w:rPr>
        <w:t> </w:t>
      </w:r>
      <w:r>
        <w:rPr>
          <w:sz w:val="23"/>
        </w:rPr>
        <w:t>inversión</w:t>
      </w:r>
      <w:r>
        <w:rPr>
          <w:spacing w:val="-12"/>
          <w:sz w:val="23"/>
        </w:rPr>
        <w:t> </w:t>
      </w:r>
      <w:r>
        <w:rPr>
          <w:sz w:val="23"/>
        </w:rPr>
        <w:t>estatal,</w:t>
      </w:r>
      <w:r>
        <w:rPr>
          <w:spacing w:val="-12"/>
          <w:sz w:val="23"/>
        </w:rPr>
        <w:t> </w:t>
      </w:r>
      <w:r>
        <w:rPr>
          <w:sz w:val="23"/>
        </w:rPr>
        <w:t>mil</w:t>
      </w:r>
      <w:r>
        <w:rPr>
          <w:spacing w:val="-12"/>
          <w:sz w:val="23"/>
        </w:rPr>
        <w:t> </w:t>
      </w:r>
      <w:r>
        <w:rPr>
          <w:sz w:val="23"/>
        </w:rPr>
        <w:t>ochocientos</w:t>
      </w:r>
      <w:r>
        <w:rPr>
          <w:spacing w:val="-11"/>
          <w:sz w:val="23"/>
        </w:rPr>
        <w:t> </w:t>
      </w:r>
      <w:r>
        <w:rPr>
          <w:sz w:val="23"/>
        </w:rPr>
        <w:t>cuarenta</w:t>
      </w:r>
      <w:r>
        <w:rPr>
          <w:spacing w:val="-12"/>
          <w:sz w:val="23"/>
        </w:rPr>
        <w:t> </w:t>
      </w:r>
      <w:r>
        <w:rPr>
          <w:sz w:val="23"/>
        </w:rPr>
        <w:t>y</w:t>
      </w:r>
      <w:r>
        <w:rPr>
          <w:spacing w:val="-12"/>
          <w:sz w:val="23"/>
        </w:rPr>
        <w:t> </w:t>
      </w:r>
      <w:r>
        <w:rPr>
          <w:sz w:val="23"/>
        </w:rPr>
        <w:t>seis beneficiarios en seis</w:t>
      </w:r>
      <w:r>
        <w:rPr>
          <w:spacing w:val="-13"/>
          <w:sz w:val="23"/>
        </w:rPr>
        <w:t> </w:t>
      </w:r>
      <w:r>
        <w:rPr>
          <w:sz w:val="23"/>
        </w:rPr>
        <w:t>municipios;</w:t>
      </w:r>
    </w:p>
    <w:p>
      <w:pPr>
        <w:pStyle w:val="BodyText"/>
        <w:spacing w:line="254" w:lineRule="exact"/>
        <w:ind w:left="684" w:right="108" w:hanging="369"/>
        <w:jc w:val="both"/>
      </w:pPr>
      <w:r>
        <w:rPr/>
        <w:t>5 </w:t>
      </w:r>
      <w:r>
        <w:rPr>
          <w:i/>
        </w:rPr>
        <w:t>juntos cuidemos nuestra tierra</w:t>
      </w:r>
      <w:r>
        <w:rPr/>
        <w:t>, proyectos agrícolas sustentables, doscientos cuarenta y nueve mil seiscientos setenta y cuatro pesos de inversión</w:t>
      </w:r>
      <w:r>
        <w:rPr>
          <w:spacing w:val="-11"/>
        </w:rPr>
        <w:t> </w:t>
      </w:r>
      <w:r>
        <w:rPr/>
        <w:t>estatal,</w:t>
      </w:r>
      <w:r>
        <w:rPr>
          <w:spacing w:val="-11"/>
        </w:rPr>
        <w:t> </w:t>
      </w:r>
      <w:r>
        <w:rPr/>
        <w:t>trescientos</w:t>
      </w:r>
      <w:r>
        <w:rPr>
          <w:spacing w:val="-11"/>
        </w:rPr>
        <w:t> </w:t>
      </w:r>
      <w:r>
        <w:rPr/>
        <w:t>setenta</w:t>
      </w:r>
      <w:r>
        <w:rPr>
          <w:spacing w:val="-11"/>
        </w:rPr>
        <w:t> </w:t>
      </w:r>
      <w:r>
        <w:rPr/>
        <w:t>y</w:t>
      </w:r>
      <w:r>
        <w:rPr>
          <w:spacing w:val="-11"/>
        </w:rPr>
        <w:t> </w:t>
      </w:r>
      <w:r>
        <w:rPr/>
        <w:t>seis</w:t>
      </w:r>
      <w:r>
        <w:rPr>
          <w:spacing w:val="-11"/>
        </w:rPr>
        <w:t> </w:t>
      </w:r>
      <w:r>
        <w:rPr/>
        <w:t>beneficiarios</w:t>
      </w:r>
      <w:r>
        <w:rPr>
          <w:spacing w:val="-11"/>
        </w:rPr>
        <w:t> </w:t>
      </w:r>
      <w:r>
        <w:rPr/>
        <w:t>en</w:t>
      </w:r>
      <w:r>
        <w:rPr>
          <w:spacing w:val="-11"/>
        </w:rPr>
        <w:t> </w:t>
      </w:r>
      <w:r>
        <w:rPr/>
        <w:t>el</w:t>
      </w:r>
      <w:r>
        <w:rPr>
          <w:spacing w:val="-11"/>
        </w:rPr>
        <w:t> </w:t>
      </w:r>
      <w:r>
        <w:rPr/>
        <w:t>municipio de Lolotla;</w:t>
      </w:r>
    </w:p>
    <w:p>
      <w:pPr>
        <w:pStyle w:val="ListParagraph"/>
        <w:numPr>
          <w:ilvl w:val="0"/>
          <w:numId w:val="11"/>
        </w:numPr>
        <w:tabs>
          <w:tab w:pos="685" w:val="left" w:leader="none"/>
        </w:tabs>
        <w:spacing w:line="254" w:lineRule="exact" w:before="0" w:after="0"/>
        <w:ind w:left="684" w:right="107" w:hanging="368"/>
        <w:jc w:val="both"/>
        <w:rPr>
          <w:sz w:val="23"/>
        </w:rPr>
      </w:pPr>
      <w:r>
        <w:rPr>
          <w:i/>
          <w:sz w:val="23"/>
        </w:rPr>
        <w:t>comercialización</w:t>
      </w:r>
      <w:r>
        <w:rPr>
          <w:i/>
          <w:spacing w:val="-15"/>
          <w:sz w:val="23"/>
        </w:rPr>
        <w:t> </w:t>
      </w:r>
      <w:r>
        <w:rPr>
          <w:i/>
          <w:sz w:val="23"/>
        </w:rPr>
        <w:t>de</w:t>
      </w:r>
      <w:r>
        <w:rPr>
          <w:i/>
          <w:spacing w:val="-15"/>
          <w:sz w:val="23"/>
        </w:rPr>
        <w:t> </w:t>
      </w:r>
      <w:r>
        <w:rPr>
          <w:i/>
          <w:sz w:val="23"/>
        </w:rPr>
        <w:t>artesanías</w:t>
      </w:r>
      <w:r>
        <w:rPr>
          <w:sz w:val="23"/>
        </w:rPr>
        <w:t>,</w:t>
      </w:r>
      <w:r>
        <w:rPr>
          <w:spacing w:val="-15"/>
          <w:sz w:val="23"/>
        </w:rPr>
        <w:t> </w:t>
      </w:r>
      <w:r>
        <w:rPr>
          <w:sz w:val="23"/>
        </w:rPr>
        <w:t>promoción</w:t>
      </w:r>
      <w:r>
        <w:rPr>
          <w:spacing w:val="-15"/>
          <w:sz w:val="23"/>
        </w:rPr>
        <w:t> </w:t>
      </w:r>
      <w:r>
        <w:rPr>
          <w:sz w:val="23"/>
        </w:rPr>
        <w:t>de</w:t>
      </w:r>
      <w:r>
        <w:rPr>
          <w:spacing w:val="-15"/>
          <w:sz w:val="23"/>
        </w:rPr>
        <w:t> </w:t>
      </w:r>
      <w:r>
        <w:rPr>
          <w:sz w:val="23"/>
        </w:rPr>
        <w:t>los</w:t>
      </w:r>
      <w:r>
        <w:rPr>
          <w:spacing w:val="-16"/>
          <w:sz w:val="23"/>
        </w:rPr>
        <w:t> </w:t>
      </w:r>
      <w:r>
        <w:rPr>
          <w:sz w:val="23"/>
        </w:rPr>
        <w:t>productos</w:t>
      </w:r>
      <w:r>
        <w:rPr>
          <w:spacing w:val="-15"/>
          <w:sz w:val="23"/>
        </w:rPr>
        <w:t> </w:t>
      </w:r>
      <w:r>
        <w:rPr>
          <w:sz w:val="23"/>
        </w:rPr>
        <w:t>artesanales para su venta, un millón trescientos cuarenta y un mil ciento setenta    y tres pesos de inversión estatal, doscientos treinta acciones en veinte municipios;</w:t>
      </w:r>
    </w:p>
    <w:p>
      <w:pPr>
        <w:pStyle w:val="ListParagraph"/>
        <w:numPr>
          <w:ilvl w:val="0"/>
          <w:numId w:val="11"/>
        </w:numPr>
        <w:tabs>
          <w:tab w:pos="685" w:val="left" w:leader="none"/>
        </w:tabs>
        <w:spacing w:line="254" w:lineRule="exact" w:before="0" w:after="0"/>
        <w:ind w:left="684" w:right="107" w:hanging="368"/>
        <w:jc w:val="both"/>
        <w:rPr>
          <w:sz w:val="23"/>
        </w:rPr>
      </w:pPr>
      <w:r>
        <w:rPr>
          <w:i/>
          <w:sz w:val="23"/>
        </w:rPr>
        <w:t>ferias, vinculaciones y congresos</w:t>
      </w:r>
      <w:r>
        <w:rPr>
          <w:sz w:val="23"/>
        </w:rPr>
        <w:t>, ciento treinta y dos mil trescientos cincuenta y seis pesos de inversión estatal, diecinueve acciones en ochenta y cuatro</w:t>
      </w:r>
      <w:r>
        <w:rPr>
          <w:spacing w:val="-1"/>
          <w:sz w:val="23"/>
        </w:rPr>
        <w:t> </w:t>
      </w:r>
      <w:r>
        <w:rPr>
          <w:sz w:val="23"/>
        </w:rPr>
        <w:t>municipios;</w:t>
      </w:r>
    </w:p>
    <w:p>
      <w:pPr>
        <w:pStyle w:val="ListParagraph"/>
        <w:numPr>
          <w:ilvl w:val="0"/>
          <w:numId w:val="11"/>
        </w:numPr>
        <w:tabs>
          <w:tab w:pos="685" w:val="left" w:leader="none"/>
        </w:tabs>
        <w:spacing w:line="254" w:lineRule="exact" w:before="0" w:after="0"/>
        <w:ind w:left="684" w:right="108" w:hanging="368"/>
        <w:jc w:val="both"/>
        <w:rPr>
          <w:sz w:val="23"/>
        </w:rPr>
      </w:pPr>
      <w:r>
        <w:rPr>
          <w:i/>
          <w:sz w:val="23"/>
        </w:rPr>
        <w:t>proyectos productivos artesanales</w:t>
      </w:r>
      <w:r>
        <w:rPr>
          <w:sz w:val="23"/>
        </w:rPr>
        <w:t>, cuatrocientos sesenta mil pesos de inversión federal, seis acciones en seis</w:t>
      </w:r>
      <w:r>
        <w:rPr>
          <w:spacing w:val="-9"/>
          <w:sz w:val="23"/>
        </w:rPr>
        <w:t> </w:t>
      </w:r>
      <w:r>
        <w:rPr>
          <w:sz w:val="23"/>
        </w:rPr>
        <w:t>municipios;</w:t>
      </w:r>
    </w:p>
    <w:p>
      <w:pPr>
        <w:pStyle w:val="ListParagraph"/>
        <w:numPr>
          <w:ilvl w:val="0"/>
          <w:numId w:val="11"/>
        </w:numPr>
        <w:tabs>
          <w:tab w:pos="685" w:val="left" w:leader="none"/>
        </w:tabs>
        <w:spacing w:line="254" w:lineRule="exact" w:before="0" w:after="0"/>
        <w:ind w:left="684" w:right="107" w:hanging="368"/>
        <w:jc w:val="both"/>
        <w:rPr>
          <w:sz w:val="23"/>
        </w:rPr>
      </w:pPr>
      <w:r>
        <w:rPr>
          <w:sz w:val="23"/>
        </w:rPr>
        <w:t>concursos</w:t>
      </w:r>
      <w:r>
        <w:rPr>
          <w:spacing w:val="-16"/>
          <w:sz w:val="23"/>
        </w:rPr>
        <w:t> </w:t>
      </w:r>
      <w:r>
        <w:rPr>
          <w:sz w:val="23"/>
        </w:rPr>
        <w:t>artesanales,</w:t>
      </w:r>
      <w:r>
        <w:rPr>
          <w:spacing w:val="-16"/>
          <w:sz w:val="23"/>
        </w:rPr>
        <w:t> </w:t>
      </w:r>
      <w:r>
        <w:rPr>
          <w:sz w:val="23"/>
        </w:rPr>
        <w:t>cuatrocientos</w:t>
      </w:r>
      <w:r>
        <w:rPr>
          <w:spacing w:val="-16"/>
          <w:sz w:val="23"/>
        </w:rPr>
        <w:t> </w:t>
      </w:r>
      <w:r>
        <w:rPr>
          <w:sz w:val="23"/>
        </w:rPr>
        <w:t>treinta</w:t>
      </w:r>
      <w:r>
        <w:rPr>
          <w:spacing w:val="-16"/>
          <w:sz w:val="23"/>
        </w:rPr>
        <w:t> </w:t>
      </w:r>
      <w:r>
        <w:rPr>
          <w:sz w:val="23"/>
        </w:rPr>
        <w:t>y</w:t>
      </w:r>
      <w:r>
        <w:rPr>
          <w:spacing w:val="-16"/>
          <w:sz w:val="23"/>
        </w:rPr>
        <w:t> </w:t>
      </w:r>
      <w:r>
        <w:rPr>
          <w:sz w:val="23"/>
        </w:rPr>
        <w:t>tres</w:t>
      </w:r>
      <w:r>
        <w:rPr>
          <w:spacing w:val="-16"/>
          <w:sz w:val="23"/>
        </w:rPr>
        <w:t> </w:t>
      </w:r>
      <w:r>
        <w:rPr>
          <w:sz w:val="23"/>
        </w:rPr>
        <w:t>mil</w:t>
      </w:r>
      <w:r>
        <w:rPr>
          <w:spacing w:val="-16"/>
          <w:sz w:val="23"/>
        </w:rPr>
        <w:t> </w:t>
      </w:r>
      <w:r>
        <w:rPr>
          <w:sz w:val="23"/>
        </w:rPr>
        <w:t>pesos</w:t>
      </w:r>
      <w:r>
        <w:rPr>
          <w:spacing w:val="-15"/>
          <w:sz w:val="23"/>
        </w:rPr>
        <w:t> </w:t>
      </w:r>
      <w:r>
        <w:rPr>
          <w:sz w:val="23"/>
        </w:rPr>
        <w:t>de</w:t>
      </w:r>
      <w:r>
        <w:rPr>
          <w:spacing w:val="-16"/>
          <w:sz w:val="23"/>
        </w:rPr>
        <w:t> </w:t>
      </w:r>
      <w:r>
        <w:rPr>
          <w:sz w:val="23"/>
        </w:rPr>
        <w:t>inversión federal, seis acciones en tres</w:t>
      </w:r>
      <w:r>
        <w:rPr>
          <w:spacing w:val="-6"/>
          <w:sz w:val="23"/>
        </w:rPr>
        <w:t> </w:t>
      </w:r>
      <w:r>
        <w:rPr>
          <w:sz w:val="23"/>
        </w:rPr>
        <w:t>municipios;</w:t>
      </w:r>
    </w:p>
    <w:p>
      <w:pPr>
        <w:pStyle w:val="ListParagraph"/>
        <w:numPr>
          <w:ilvl w:val="0"/>
          <w:numId w:val="11"/>
        </w:numPr>
        <w:tabs>
          <w:tab w:pos="738" w:val="left" w:leader="none"/>
        </w:tabs>
        <w:spacing w:line="232" w:lineRule="auto" w:before="0" w:after="0"/>
        <w:ind w:left="684" w:right="107" w:hanging="368"/>
        <w:jc w:val="both"/>
        <w:rPr>
          <w:sz w:val="23"/>
        </w:rPr>
      </w:pPr>
      <w:r>
        <w:rPr/>
        <w:pict>
          <v:line style="position:absolute;mso-position-horizontal-relative:page;mso-position-vertical-relative:paragraph;z-index:3088;mso-wrap-distance-left:0;mso-wrap-distance-right:0" from="70.866096pt,81.697342pt" to="142.866096pt,81.697342pt" stroked="true" strokeweight="1pt" strokecolor="#000000">
            <w10:wrap type="topAndBottom"/>
          </v:line>
        </w:pict>
      </w:r>
      <w:r>
        <w:rPr>
          <w:i/>
          <w:sz w:val="23"/>
        </w:rPr>
        <w:t>fomento a las acciones productivas para grupos de migrantes de </w:t>
      </w:r>
      <w:r>
        <w:rPr>
          <w:i/>
          <w:sz w:val="23"/>
        </w:rPr>
        <w:t>retorno y migrantes que se encuentren en sus comunidades de origen</w:t>
      </w:r>
      <w:r>
        <w:rPr>
          <w:sz w:val="23"/>
        </w:rPr>
        <w:t>, tres millones setecientos sesenta y dos mil quinientos treinta y cinco pesos</w:t>
      </w:r>
      <w:r>
        <w:rPr>
          <w:spacing w:val="-4"/>
          <w:sz w:val="23"/>
        </w:rPr>
        <w:t> </w:t>
      </w:r>
      <w:r>
        <w:rPr>
          <w:sz w:val="23"/>
        </w:rPr>
        <w:t>de</w:t>
      </w:r>
      <w:r>
        <w:rPr>
          <w:spacing w:val="-4"/>
          <w:sz w:val="23"/>
        </w:rPr>
        <w:t> </w:t>
      </w:r>
      <w:r>
        <w:rPr>
          <w:sz w:val="23"/>
        </w:rPr>
        <w:t>inversión</w:t>
      </w:r>
      <w:r>
        <w:rPr>
          <w:spacing w:val="-4"/>
          <w:sz w:val="23"/>
        </w:rPr>
        <w:t> </w:t>
      </w:r>
      <w:r>
        <w:rPr>
          <w:sz w:val="23"/>
        </w:rPr>
        <w:t>federal</w:t>
      </w:r>
      <w:r>
        <w:rPr>
          <w:spacing w:val="-4"/>
          <w:sz w:val="23"/>
        </w:rPr>
        <w:t> </w:t>
      </w:r>
      <w:r>
        <w:rPr>
          <w:sz w:val="23"/>
        </w:rPr>
        <w:t>y</w:t>
      </w:r>
      <w:r>
        <w:rPr>
          <w:spacing w:val="-4"/>
          <w:sz w:val="23"/>
        </w:rPr>
        <w:t> </w:t>
      </w:r>
      <w:r>
        <w:rPr>
          <w:sz w:val="23"/>
        </w:rPr>
        <w:t>dos</w:t>
      </w:r>
      <w:r>
        <w:rPr>
          <w:spacing w:val="-4"/>
          <w:sz w:val="23"/>
        </w:rPr>
        <w:t> </w:t>
      </w:r>
      <w:r>
        <w:rPr>
          <w:sz w:val="23"/>
        </w:rPr>
        <w:t>millones</w:t>
      </w:r>
      <w:r>
        <w:rPr>
          <w:spacing w:val="-4"/>
          <w:sz w:val="23"/>
        </w:rPr>
        <w:t> </w:t>
      </w:r>
      <w:r>
        <w:rPr>
          <w:sz w:val="23"/>
        </w:rPr>
        <w:t>quince</w:t>
      </w:r>
      <w:r>
        <w:rPr>
          <w:spacing w:val="-4"/>
          <w:sz w:val="23"/>
        </w:rPr>
        <w:t> </w:t>
      </w:r>
      <w:r>
        <w:rPr>
          <w:sz w:val="23"/>
        </w:rPr>
        <w:t>mil</w:t>
      </w:r>
      <w:r>
        <w:rPr>
          <w:spacing w:val="-4"/>
          <w:sz w:val="23"/>
        </w:rPr>
        <w:t> </w:t>
      </w:r>
      <w:r>
        <w:rPr>
          <w:sz w:val="23"/>
        </w:rPr>
        <w:t>veinticuatro</w:t>
      </w:r>
      <w:r>
        <w:rPr>
          <w:spacing w:val="-4"/>
          <w:sz w:val="23"/>
        </w:rPr>
        <w:t> </w:t>
      </w:r>
      <w:r>
        <w:rPr>
          <w:sz w:val="23"/>
        </w:rPr>
        <w:t>pesos de inversión estatal, mil novecientos dos acciones en ochenta y cuatro municipios</w:t>
      </w:r>
      <w:r>
        <w:rPr>
          <w:position w:val="8"/>
          <w:sz w:val="13"/>
        </w:rPr>
        <w:t>188</w:t>
      </w:r>
      <w:r>
        <w:rPr>
          <w:sz w:val="23"/>
        </w:rPr>
        <w:t>.</w:t>
      </w:r>
    </w:p>
    <w:p>
      <w:pPr>
        <w:spacing w:before="28"/>
        <w:ind w:left="117" w:right="0" w:firstLine="0"/>
        <w:jc w:val="left"/>
        <w:rPr>
          <w:i/>
          <w:sz w:val="18"/>
        </w:rPr>
      </w:pPr>
      <w:r>
        <w:rPr>
          <w:w w:val="105"/>
          <w:position w:val="7"/>
          <w:sz w:val="11"/>
        </w:rPr>
        <w:t>188  </w:t>
      </w:r>
      <w:r>
        <w:rPr>
          <w:i/>
          <w:w w:val="105"/>
          <w:sz w:val="18"/>
        </w:rPr>
        <w:t>Ibídem.</w:t>
      </w:r>
    </w:p>
    <w:p>
      <w:pPr>
        <w:spacing w:after="0"/>
        <w:jc w:val="left"/>
        <w:rPr>
          <w:sz w:val="18"/>
        </w:rPr>
        <w:sectPr>
          <w:pgSz w:w="9360" w:h="13040"/>
          <w:pgMar w:header="531" w:footer="515" w:top="940" w:bottom="700" w:left="1300" w:right="740"/>
        </w:sectPr>
      </w:pPr>
    </w:p>
    <w:p>
      <w:pPr>
        <w:pStyle w:val="BodyText"/>
        <w:rPr>
          <w:i/>
          <w:sz w:val="20"/>
        </w:rPr>
      </w:pPr>
    </w:p>
    <w:p>
      <w:pPr>
        <w:pStyle w:val="BodyText"/>
        <w:spacing w:before="1"/>
        <w:rPr>
          <w:i/>
          <w:sz w:val="29"/>
        </w:rPr>
      </w:pPr>
    </w:p>
    <w:p>
      <w:pPr>
        <w:pStyle w:val="BodyText"/>
        <w:spacing w:line="235" w:lineRule="auto" w:before="75"/>
        <w:ind w:left="110" w:right="114"/>
        <w:jc w:val="both"/>
      </w:pPr>
      <w:r>
        <w:rPr/>
        <w:t>A su vez, los programas de asistencia, sus montos y sus metas en el año  2008 fueron los siguientes: a) </w:t>
      </w:r>
      <w:r>
        <w:rPr>
          <w:i/>
        </w:rPr>
        <w:t>liberación de presos indígenas</w:t>
      </w:r>
      <w:r>
        <w:rPr/>
        <w:t>, apoyar con    el pago de fianzas o cauciones para obtener libertad provisional, doscientos treinta y un mil setecientos treinta y siete pesos de inversión federal, treinta</w:t>
      </w:r>
      <w:r>
        <w:rPr>
          <w:spacing w:val="-37"/>
        </w:rPr>
        <w:t> </w:t>
      </w:r>
      <w:r>
        <w:rPr/>
        <w:t>y cinco acciones; b) </w:t>
      </w:r>
      <w:r>
        <w:rPr>
          <w:i/>
        </w:rPr>
        <w:t>Unidad de Servicios Integrales de Atención a Jornaleros </w:t>
      </w:r>
      <w:r>
        <w:rPr>
          <w:i/>
        </w:rPr>
        <w:t>Agrícolas (USI)</w:t>
      </w:r>
      <w:r>
        <w:rPr/>
        <w:t>, asesoría jurídica y hospedaje temporal para que el tránsito migratorio,</w:t>
      </w:r>
      <w:r>
        <w:rPr>
          <w:spacing w:val="-23"/>
        </w:rPr>
        <w:t> </w:t>
      </w:r>
      <w:r>
        <w:rPr/>
        <w:t>dos</w:t>
      </w:r>
      <w:r>
        <w:rPr>
          <w:spacing w:val="-22"/>
        </w:rPr>
        <w:t> </w:t>
      </w:r>
      <w:r>
        <w:rPr/>
        <w:t>millones</w:t>
      </w:r>
      <w:r>
        <w:rPr>
          <w:spacing w:val="-23"/>
        </w:rPr>
        <w:t> </w:t>
      </w:r>
      <w:r>
        <w:rPr/>
        <w:t>trescientos</w:t>
      </w:r>
      <w:r>
        <w:rPr>
          <w:spacing w:val="-23"/>
        </w:rPr>
        <w:t> </w:t>
      </w:r>
      <w:r>
        <w:rPr/>
        <w:t>cuarenta</w:t>
      </w:r>
      <w:r>
        <w:rPr>
          <w:spacing w:val="-23"/>
        </w:rPr>
        <w:t> </w:t>
      </w:r>
      <w:r>
        <w:rPr/>
        <w:t>y</w:t>
      </w:r>
      <w:r>
        <w:rPr>
          <w:spacing w:val="-23"/>
        </w:rPr>
        <w:t> </w:t>
      </w:r>
      <w:r>
        <w:rPr/>
        <w:t>seis</w:t>
      </w:r>
      <w:r>
        <w:rPr>
          <w:spacing w:val="-22"/>
        </w:rPr>
        <w:t> </w:t>
      </w:r>
      <w:r>
        <w:rPr/>
        <w:t>mil</w:t>
      </w:r>
      <w:r>
        <w:rPr>
          <w:spacing w:val="-23"/>
        </w:rPr>
        <w:t> </w:t>
      </w:r>
      <w:r>
        <w:rPr/>
        <w:t>ochenta</w:t>
      </w:r>
      <w:r>
        <w:rPr>
          <w:spacing w:val="-22"/>
        </w:rPr>
        <w:t> </w:t>
      </w:r>
      <w:r>
        <w:rPr/>
        <w:t>y</w:t>
      </w:r>
      <w:r>
        <w:rPr>
          <w:spacing w:val="-23"/>
        </w:rPr>
        <w:t> </w:t>
      </w:r>
      <w:r>
        <w:rPr/>
        <w:t>siete</w:t>
      </w:r>
      <w:r>
        <w:rPr>
          <w:spacing w:val="-22"/>
        </w:rPr>
        <w:t> </w:t>
      </w:r>
      <w:r>
        <w:rPr/>
        <w:t>pesos</w:t>
      </w:r>
      <w:r>
        <w:rPr>
          <w:spacing w:val="-22"/>
        </w:rPr>
        <w:t> </w:t>
      </w:r>
      <w:r>
        <w:rPr/>
        <w:t>de inversión</w:t>
      </w:r>
      <w:r>
        <w:rPr>
          <w:spacing w:val="-10"/>
        </w:rPr>
        <w:t> </w:t>
      </w:r>
      <w:r>
        <w:rPr/>
        <w:t>estatal,</w:t>
      </w:r>
      <w:r>
        <w:rPr>
          <w:spacing w:val="-10"/>
        </w:rPr>
        <w:t> </w:t>
      </w:r>
      <w:r>
        <w:rPr/>
        <w:t>sesenta</w:t>
      </w:r>
      <w:r>
        <w:rPr>
          <w:spacing w:val="-10"/>
        </w:rPr>
        <w:t> </w:t>
      </w:r>
      <w:r>
        <w:rPr/>
        <w:t>mil</w:t>
      </w:r>
      <w:r>
        <w:rPr>
          <w:spacing w:val="-10"/>
        </w:rPr>
        <w:t> </w:t>
      </w:r>
      <w:r>
        <w:rPr/>
        <w:t>ciento</w:t>
      </w:r>
      <w:r>
        <w:rPr>
          <w:spacing w:val="-10"/>
        </w:rPr>
        <w:t> </w:t>
      </w:r>
      <w:r>
        <w:rPr/>
        <w:t>setenta</w:t>
      </w:r>
      <w:r>
        <w:rPr>
          <w:spacing w:val="-10"/>
        </w:rPr>
        <w:t> </w:t>
      </w:r>
      <w:r>
        <w:rPr/>
        <w:t>beneficiados;</w:t>
      </w:r>
      <w:r>
        <w:rPr>
          <w:spacing w:val="-10"/>
        </w:rPr>
        <w:t> </w:t>
      </w:r>
      <w:r>
        <w:rPr/>
        <w:t>c)</w:t>
      </w:r>
      <w:r>
        <w:rPr>
          <w:spacing w:val="-10"/>
        </w:rPr>
        <w:t> </w:t>
      </w:r>
      <w:r>
        <w:rPr>
          <w:i/>
        </w:rPr>
        <w:t>apoyo</w:t>
      </w:r>
      <w:r>
        <w:rPr>
          <w:i/>
          <w:spacing w:val="-10"/>
        </w:rPr>
        <w:t> </w:t>
      </w:r>
      <w:r>
        <w:rPr>
          <w:i/>
        </w:rPr>
        <w:t>con</w:t>
      </w:r>
      <w:r>
        <w:rPr>
          <w:i/>
          <w:spacing w:val="-10"/>
        </w:rPr>
        <w:t> </w:t>
      </w:r>
      <w:r>
        <w:rPr>
          <w:i/>
        </w:rPr>
        <w:t>equipo </w:t>
      </w:r>
      <w:r>
        <w:rPr>
          <w:i/>
        </w:rPr>
        <w:t>de</w:t>
      </w:r>
      <w:r>
        <w:rPr>
          <w:i/>
          <w:spacing w:val="-14"/>
        </w:rPr>
        <w:t> </w:t>
      </w:r>
      <w:r>
        <w:rPr>
          <w:i/>
        </w:rPr>
        <w:t>cómputo</w:t>
      </w:r>
      <w:r>
        <w:rPr>
          <w:i/>
          <w:spacing w:val="-14"/>
        </w:rPr>
        <w:t> </w:t>
      </w:r>
      <w:r>
        <w:rPr>
          <w:i/>
        </w:rPr>
        <w:t>y</w:t>
      </w:r>
      <w:r>
        <w:rPr>
          <w:i/>
          <w:spacing w:val="-14"/>
        </w:rPr>
        <w:t> </w:t>
      </w:r>
      <w:r>
        <w:rPr>
          <w:i/>
        </w:rPr>
        <w:t>mobiliario</w:t>
      </w:r>
      <w:r>
        <w:rPr>
          <w:i/>
          <w:spacing w:val="-13"/>
        </w:rPr>
        <w:t> </w:t>
      </w:r>
      <w:r>
        <w:rPr>
          <w:i/>
        </w:rPr>
        <w:t>a</w:t>
      </w:r>
      <w:r>
        <w:rPr>
          <w:i/>
          <w:spacing w:val="-14"/>
        </w:rPr>
        <w:t> </w:t>
      </w:r>
      <w:r>
        <w:rPr>
          <w:i/>
        </w:rPr>
        <w:t>escuelas</w:t>
      </w:r>
      <w:r>
        <w:rPr>
          <w:i/>
          <w:spacing w:val="-14"/>
        </w:rPr>
        <w:t> </w:t>
      </w:r>
      <w:r>
        <w:rPr>
          <w:i/>
        </w:rPr>
        <w:t>relacionadas</w:t>
      </w:r>
      <w:r>
        <w:rPr>
          <w:i/>
          <w:spacing w:val="-15"/>
        </w:rPr>
        <w:t> </w:t>
      </w:r>
      <w:r>
        <w:rPr>
          <w:i/>
        </w:rPr>
        <w:t>con</w:t>
      </w:r>
      <w:r>
        <w:rPr>
          <w:i/>
          <w:spacing w:val="-14"/>
        </w:rPr>
        <w:t> </w:t>
      </w:r>
      <w:r>
        <w:rPr>
          <w:i/>
        </w:rPr>
        <w:t>el</w:t>
      </w:r>
      <w:r>
        <w:rPr>
          <w:i/>
          <w:spacing w:val="-14"/>
        </w:rPr>
        <w:t> </w:t>
      </w:r>
      <w:r>
        <w:rPr>
          <w:i/>
        </w:rPr>
        <w:t>fenómeno</w:t>
      </w:r>
      <w:r>
        <w:rPr>
          <w:i/>
          <w:spacing w:val="-15"/>
        </w:rPr>
        <w:t> </w:t>
      </w:r>
      <w:r>
        <w:rPr>
          <w:i/>
        </w:rPr>
        <w:t>migratorio</w:t>
      </w:r>
      <w:r>
        <w:rPr/>
        <w:t>, dos millones trescientos treinta y ocho mil cuatrocientos dieciséis pesos de inversión estatal, dieciséis acciones en doce municipios; d) </w:t>
      </w:r>
      <w:r>
        <w:rPr>
          <w:i/>
        </w:rPr>
        <w:t>subprograma    </w:t>
      </w:r>
      <w:r>
        <w:rPr>
          <w:i/>
        </w:rPr>
        <w:t>de mejoramiento de vivienda</w:t>
      </w:r>
      <w:r>
        <w:rPr/>
        <w:t>, dos millones trescientos seis mil seiscientos cuarenta</w:t>
      </w:r>
      <w:r>
        <w:rPr>
          <w:spacing w:val="-10"/>
        </w:rPr>
        <w:t> </w:t>
      </w:r>
      <w:r>
        <w:rPr/>
        <w:t>y</w:t>
      </w:r>
      <w:r>
        <w:rPr>
          <w:spacing w:val="-10"/>
        </w:rPr>
        <w:t> </w:t>
      </w:r>
      <w:r>
        <w:rPr/>
        <w:t>siete</w:t>
      </w:r>
      <w:r>
        <w:rPr>
          <w:spacing w:val="-9"/>
        </w:rPr>
        <w:t> </w:t>
      </w:r>
      <w:r>
        <w:rPr/>
        <w:t>pesos</w:t>
      </w:r>
      <w:r>
        <w:rPr>
          <w:spacing w:val="-10"/>
        </w:rPr>
        <w:t> </w:t>
      </w:r>
      <w:r>
        <w:rPr/>
        <w:t>de</w:t>
      </w:r>
      <w:r>
        <w:rPr>
          <w:spacing w:val="-10"/>
        </w:rPr>
        <w:t> </w:t>
      </w:r>
      <w:r>
        <w:rPr/>
        <w:t>inversión</w:t>
      </w:r>
      <w:r>
        <w:rPr>
          <w:spacing w:val="-10"/>
        </w:rPr>
        <w:t> </w:t>
      </w:r>
      <w:r>
        <w:rPr/>
        <w:t>estatal,</w:t>
      </w:r>
      <w:r>
        <w:rPr>
          <w:spacing w:val="-10"/>
        </w:rPr>
        <w:t> </w:t>
      </w:r>
      <w:r>
        <w:rPr/>
        <w:t>siete</w:t>
      </w:r>
      <w:r>
        <w:rPr>
          <w:spacing w:val="-9"/>
        </w:rPr>
        <w:t> </w:t>
      </w:r>
      <w:r>
        <w:rPr/>
        <w:t>mil</w:t>
      </w:r>
      <w:r>
        <w:rPr>
          <w:spacing w:val="-10"/>
        </w:rPr>
        <w:t> </w:t>
      </w:r>
      <w:r>
        <w:rPr/>
        <w:t>quinientas</w:t>
      </w:r>
      <w:r>
        <w:rPr>
          <w:spacing w:val="-10"/>
        </w:rPr>
        <w:t> </w:t>
      </w:r>
      <w:r>
        <w:rPr/>
        <w:t>treinta</w:t>
      </w:r>
      <w:r>
        <w:rPr>
          <w:spacing w:val="-10"/>
        </w:rPr>
        <w:t> </w:t>
      </w:r>
      <w:r>
        <w:rPr/>
        <w:t>y</w:t>
      </w:r>
      <w:r>
        <w:rPr>
          <w:spacing w:val="-10"/>
        </w:rPr>
        <w:t> </w:t>
      </w:r>
      <w:r>
        <w:rPr/>
        <w:t>cuatro acciones en sesenta y ocho municipios; y e) </w:t>
      </w:r>
      <w:r>
        <w:rPr>
          <w:i/>
        </w:rPr>
        <w:t>subprograma de piso digno</w:t>
      </w:r>
      <w:r>
        <w:rPr>
          <w:i/>
          <w:spacing w:val="-33"/>
        </w:rPr>
        <w:t> </w:t>
      </w:r>
      <w:r>
        <w:rPr>
          <w:i/>
        </w:rPr>
        <w:t>para </w:t>
      </w:r>
      <w:r>
        <w:rPr>
          <w:i/>
        </w:rPr>
        <w:t>mi casa</w:t>
      </w:r>
      <w:r>
        <w:rPr/>
        <w:t>, cinco millones doscientos veintinueve mil novecientos ochenta y cuatro pesos de inversión estatal en materiales y cinco millones ochocientos cincuenta y ocho mil quinientos treinta y nueve pesos de inversión estatal en empleo temporal, cuatro mil ciento veinticinco acciones en</w:t>
      </w:r>
      <w:r>
        <w:rPr>
          <w:spacing w:val="-3"/>
        </w:rPr>
        <w:t> </w:t>
      </w:r>
      <w:r>
        <w:rPr/>
        <w:t>conjunto</w:t>
      </w:r>
      <w:r>
        <w:rPr>
          <w:position w:val="8"/>
          <w:sz w:val="13"/>
        </w:rPr>
        <w:t>189</w:t>
      </w:r>
      <w:r>
        <w:rPr/>
        <w:t>.</w:t>
      </w:r>
    </w:p>
    <w:p>
      <w:pPr>
        <w:pStyle w:val="BodyText"/>
        <w:spacing w:before="3"/>
        <w:rPr>
          <w:sz w:val="22"/>
        </w:rPr>
      </w:pPr>
    </w:p>
    <w:p>
      <w:pPr>
        <w:pStyle w:val="Heading3"/>
        <w:ind w:left="110"/>
      </w:pPr>
      <w:r>
        <w:rPr/>
        <w:t>La Secretaría de Educación Pública del Estado de Hidalgo (SEPH).</w:t>
      </w:r>
    </w:p>
    <w:p>
      <w:pPr>
        <w:pStyle w:val="BodyText"/>
        <w:spacing w:before="9"/>
        <w:rPr>
          <w:b/>
          <w:sz w:val="22"/>
        </w:rPr>
      </w:pPr>
    </w:p>
    <w:p>
      <w:pPr>
        <w:pStyle w:val="BodyText"/>
        <w:spacing w:line="260" w:lineRule="exact"/>
        <w:ind w:left="110" w:right="115"/>
        <w:jc w:val="both"/>
      </w:pPr>
      <w:r>
        <w:rPr/>
        <w:t>En forma similar al caso anterior, la Secretaría de Educación Pública del estado regularmente ejecuta tres esquemas que descentralizan el sector análogo del nivel federal y el Consejo de Fomento Educativo (CONAFE). Las denominaciones, montos y metas del año 2009 fueron:</w:t>
      </w:r>
    </w:p>
    <w:p>
      <w:pPr>
        <w:pStyle w:val="BodyText"/>
        <w:spacing w:before="4"/>
        <w:rPr>
          <w:sz w:val="22"/>
        </w:rPr>
      </w:pPr>
    </w:p>
    <w:p>
      <w:pPr>
        <w:pStyle w:val="ListParagraph"/>
        <w:numPr>
          <w:ilvl w:val="0"/>
          <w:numId w:val="12"/>
        </w:numPr>
        <w:tabs>
          <w:tab w:pos="688" w:val="left" w:leader="none"/>
        </w:tabs>
        <w:spacing w:line="235" w:lineRule="auto" w:before="0" w:after="0"/>
        <w:ind w:left="677" w:right="114" w:hanging="284"/>
        <w:jc w:val="both"/>
        <w:rPr>
          <w:sz w:val="23"/>
        </w:rPr>
      </w:pPr>
      <w:r>
        <w:rPr>
          <w:i/>
          <w:sz w:val="23"/>
        </w:rPr>
        <w:t>ver para aprender mejor</w:t>
      </w:r>
      <w:r>
        <w:rPr>
          <w:sz w:val="23"/>
        </w:rPr>
        <w:t>, de tipo asistencial, con una inversión de ochocientos setenta y cinco mil doscientos cinco pesos en proporción 50-50 federal-estatal, alcanzó una meta de seis mil cuatrocientos ochenta y tres anteojos distribuidos a alumnos de educación</w:t>
      </w:r>
      <w:r>
        <w:rPr>
          <w:spacing w:val="1"/>
          <w:sz w:val="23"/>
        </w:rPr>
        <w:t> </w:t>
      </w:r>
      <w:r>
        <w:rPr>
          <w:sz w:val="23"/>
        </w:rPr>
        <w:t>básica</w:t>
      </w:r>
      <w:r>
        <w:rPr>
          <w:position w:val="8"/>
          <w:sz w:val="13"/>
        </w:rPr>
        <w:t>190</w:t>
      </w:r>
      <w:r>
        <w:rPr>
          <w:sz w:val="23"/>
        </w:rPr>
        <w:t>;</w:t>
      </w:r>
    </w:p>
    <w:p>
      <w:pPr>
        <w:pStyle w:val="ListParagraph"/>
        <w:numPr>
          <w:ilvl w:val="0"/>
          <w:numId w:val="12"/>
        </w:numPr>
        <w:tabs>
          <w:tab w:pos="685" w:val="left" w:leader="none"/>
        </w:tabs>
        <w:spacing w:line="260" w:lineRule="exact" w:before="3" w:after="0"/>
        <w:ind w:left="677" w:right="114" w:hanging="284"/>
        <w:jc w:val="both"/>
        <w:rPr>
          <w:sz w:val="23"/>
        </w:rPr>
      </w:pPr>
      <w:r>
        <w:rPr/>
        <w:pict>
          <v:line style="position:absolute;mso-position-horizontal-relative:page;mso-position-vertical-relative:paragraph;z-index:3112;mso-wrap-distance-left:0;mso-wrap-distance-right:0" from="42.519699pt,80.817596pt" to="114.519699pt,80.817596pt" stroked="true" strokeweight="1pt" strokecolor="#000000">
            <w10:wrap type="topAndBottom"/>
          </v:line>
        </w:pict>
      </w:r>
      <w:r>
        <w:rPr>
          <w:sz w:val="23"/>
        </w:rPr>
        <w:t>por las </w:t>
      </w:r>
      <w:r>
        <w:rPr>
          <w:i/>
          <w:sz w:val="23"/>
        </w:rPr>
        <w:t>acciones compensatorias de fomento a la educación básica </w:t>
      </w:r>
      <w:r>
        <w:rPr>
          <w:sz w:val="23"/>
        </w:rPr>
        <w:t>(CONAFE),</w:t>
      </w:r>
      <w:r>
        <w:rPr>
          <w:spacing w:val="-26"/>
          <w:sz w:val="23"/>
        </w:rPr>
        <w:t> </w:t>
      </w:r>
      <w:r>
        <w:rPr>
          <w:sz w:val="23"/>
        </w:rPr>
        <w:t>esquema</w:t>
      </w:r>
      <w:r>
        <w:rPr>
          <w:spacing w:val="-26"/>
          <w:sz w:val="23"/>
        </w:rPr>
        <w:t> </w:t>
      </w:r>
      <w:r>
        <w:rPr>
          <w:sz w:val="23"/>
        </w:rPr>
        <w:t>de</w:t>
      </w:r>
      <w:r>
        <w:rPr>
          <w:spacing w:val="-26"/>
          <w:sz w:val="23"/>
        </w:rPr>
        <w:t> </w:t>
      </w:r>
      <w:r>
        <w:rPr>
          <w:sz w:val="23"/>
        </w:rPr>
        <w:t>capacidades</w:t>
      </w:r>
      <w:r>
        <w:rPr>
          <w:spacing w:val="-26"/>
          <w:sz w:val="23"/>
        </w:rPr>
        <w:t> </w:t>
      </w:r>
      <w:r>
        <w:rPr>
          <w:sz w:val="23"/>
        </w:rPr>
        <w:t>en</w:t>
      </w:r>
      <w:r>
        <w:rPr>
          <w:spacing w:val="-26"/>
          <w:sz w:val="23"/>
        </w:rPr>
        <w:t> </w:t>
      </w:r>
      <w:r>
        <w:rPr>
          <w:sz w:val="23"/>
        </w:rPr>
        <w:t>la</w:t>
      </w:r>
      <w:r>
        <w:rPr>
          <w:spacing w:val="-26"/>
          <w:sz w:val="23"/>
        </w:rPr>
        <w:t> </w:t>
      </w:r>
      <w:r>
        <w:rPr>
          <w:sz w:val="23"/>
        </w:rPr>
        <w:t>educación</w:t>
      </w:r>
      <w:r>
        <w:rPr>
          <w:spacing w:val="-26"/>
          <w:sz w:val="23"/>
        </w:rPr>
        <w:t> </w:t>
      </w:r>
      <w:r>
        <w:rPr>
          <w:sz w:val="23"/>
        </w:rPr>
        <w:t>básica,</w:t>
      </w:r>
      <w:r>
        <w:rPr>
          <w:spacing w:val="-26"/>
          <w:sz w:val="23"/>
        </w:rPr>
        <w:t> </w:t>
      </w:r>
      <w:r>
        <w:rPr>
          <w:sz w:val="23"/>
        </w:rPr>
        <w:t>se</w:t>
      </w:r>
      <w:r>
        <w:rPr>
          <w:spacing w:val="-26"/>
          <w:sz w:val="23"/>
        </w:rPr>
        <w:t> </w:t>
      </w:r>
      <w:r>
        <w:rPr>
          <w:sz w:val="23"/>
        </w:rPr>
        <w:t>erogaron doce millones setecientos diecisiete mil seiscientos noventa y un pesos de inversión federal en útiles escolares, seis millones seiscientos quince mil doscientos setenta y tres pesos de inversión federal en auxiliares didácticos, veinte millones ochocientos ochenta mil pesos</w:t>
      </w:r>
      <w:r>
        <w:rPr>
          <w:spacing w:val="-33"/>
          <w:sz w:val="23"/>
        </w:rPr>
        <w:t> </w:t>
      </w:r>
      <w:r>
        <w:rPr>
          <w:sz w:val="23"/>
        </w:rPr>
        <w:t>de</w:t>
      </w:r>
    </w:p>
    <w:p>
      <w:pPr>
        <w:spacing w:line="206" w:lineRule="exact" w:before="28"/>
        <w:ind w:left="110" w:right="0" w:firstLine="0"/>
        <w:jc w:val="both"/>
        <w:rPr>
          <w:i/>
          <w:sz w:val="18"/>
        </w:rPr>
      </w:pPr>
      <w:r>
        <w:rPr>
          <w:w w:val="105"/>
          <w:position w:val="7"/>
          <w:sz w:val="11"/>
        </w:rPr>
        <w:t>189  </w:t>
      </w:r>
      <w:r>
        <w:rPr>
          <w:i/>
          <w:w w:val="105"/>
          <w:sz w:val="18"/>
        </w:rPr>
        <w:t>Ibídem.</w:t>
      </w:r>
    </w:p>
    <w:p>
      <w:pPr>
        <w:spacing w:line="200" w:lineRule="exact" w:before="7"/>
        <w:ind w:left="393" w:right="115" w:hanging="284"/>
        <w:jc w:val="both"/>
        <w:rPr>
          <w:sz w:val="18"/>
        </w:rPr>
      </w:pPr>
      <w:r>
        <w:rPr>
          <w:position w:val="7"/>
          <w:sz w:val="11"/>
        </w:rPr>
        <w:t>190</w:t>
      </w:r>
      <w:r>
        <w:rPr>
          <w:spacing w:val="26"/>
          <w:position w:val="7"/>
          <w:sz w:val="11"/>
        </w:rPr>
        <w:t> </w:t>
      </w:r>
      <w:r>
        <w:rPr>
          <w:sz w:val="18"/>
        </w:rPr>
        <w:t>Información</w:t>
      </w:r>
      <w:r>
        <w:rPr>
          <w:spacing w:val="-9"/>
          <w:sz w:val="18"/>
        </w:rPr>
        <w:t> </w:t>
      </w:r>
      <w:r>
        <w:rPr>
          <w:sz w:val="18"/>
        </w:rPr>
        <w:t>interpretada</w:t>
      </w:r>
      <w:r>
        <w:rPr>
          <w:spacing w:val="-10"/>
          <w:sz w:val="18"/>
        </w:rPr>
        <w:t> </w:t>
      </w:r>
      <w:r>
        <w:rPr>
          <w:sz w:val="18"/>
        </w:rPr>
        <w:t>por</w:t>
      </w:r>
      <w:r>
        <w:rPr>
          <w:spacing w:val="-9"/>
          <w:sz w:val="18"/>
        </w:rPr>
        <w:t> </w:t>
      </w:r>
      <w:r>
        <w:rPr>
          <w:sz w:val="18"/>
        </w:rPr>
        <w:t>el</w:t>
      </w:r>
      <w:r>
        <w:rPr>
          <w:spacing w:val="-9"/>
          <w:sz w:val="18"/>
        </w:rPr>
        <w:t> </w:t>
      </w:r>
      <w:r>
        <w:rPr>
          <w:sz w:val="18"/>
        </w:rPr>
        <w:t>autor</w:t>
      </w:r>
      <w:r>
        <w:rPr>
          <w:spacing w:val="-10"/>
          <w:sz w:val="18"/>
        </w:rPr>
        <w:t> </w:t>
      </w:r>
      <w:r>
        <w:rPr>
          <w:sz w:val="18"/>
        </w:rPr>
        <w:t>según</w:t>
      </w:r>
      <w:r>
        <w:rPr>
          <w:spacing w:val="-9"/>
          <w:sz w:val="18"/>
        </w:rPr>
        <w:t> </w:t>
      </w:r>
      <w:r>
        <w:rPr>
          <w:sz w:val="18"/>
        </w:rPr>
        <w:t>base</w:t>
      </w:r>
      <w:r>
        <w:rPr>
          <w:spacing w:val="-9"/>
          <w:sz w:val="18"/>
        </w:rPr>
        <w:t> </w:t>
      </w:r>
      <w:r>
        <w:rPr>
          <w:sz w:val="18"/>
        </w:rPr>
        <w:t>de</w:t>
      </w:r>
      <w:r>
        <w:rPr>
          <w:spacing w:val="-9"/>
          <w:sz w:val="18"/>
        </w:rPr>
        <w:t> </w:t>
      </w:r>
      <w:r>
        <w:rPr>
          <w:sz w:val="18"/>
        </w:rPr>
        <w:t>datos</w:t>
      </w:r>
      <w:r>
        <w:rPr>
          <w:spacing w:val="-9"/>
          <w:sz w:val="18"/>
        </w:rPr>
        <w:t> </w:t>
      </w:r>
      <w:r>
        <w:rPr>
          <w:sz w:val="18"/>
        </w:rPr>
        <w:t>indicada</w:t>
      </w:r>
      <w:r>
        <w:rPr>
          <w:spacing w:val="-10"/>
          <w:sz w:val="18"/>
        </w:rPr>
        <w:t> </w:t>
      </w:r>
      <w:r>
        <w:rPr>
          <w:sz w:val="18"/>
        </w:rPr>
        <w:t>por</w:t>
      </w:r>
      <w:r>
        <w:rPr>
          <w:spacing w:val="-9"/>
          <w:sz w:val="18"/>
        </w:rPr>
        <w:t> </w:t>
      </w:r>
      <w:r>
        <w:rPr>
          <w:sz w:val="18"/>
        </w:rPr>
        <w:t>la</w:t>
      </w:r>
      <w:r>
        <w:rPr>
          <w:spacing w:val="-9"/>
          <w:sz w:val="18"/>
        </w:rPr>
        <w:t> </w:t>
      </w:r>
      <w:r>
        <w:rPr>
          <w:sz w:val="18"/>
        </w:rPr>
        <w:t>unidad</w:t>
      </w:r>
      <w:r>
        <w:rPr>
          <w:spacing w:val="-9"/>
          <w:sz w:val="18"/>
        </w:rPr>
        <w:t> </w:t>
      </w:r>
      <w:r>
        <w:rPr>
          <w:sz w:val="18"/>
        </w:rPr>
        <w:t>de</w:t>
      </w:r>
      <w:r>
        <w:rPr>
          <w:spacing w:val="-9"/>
          <w:sz w:val="18"/>
        </w:rPr>
        <w:t> </w:t>
      </w:r>
      <w:r>
        <w:rPr>
          <w:sz w:val="18"/>
        </w:rPr>
        <w:t>información pública</w:t>
      </w:r>
      <w:r>
        <w:rPr>
          <w:spacing w:val="-14"/>
          <w:sz w:val="18"/>
        </w:rPr>
        <w:t> </w:t>
      </w:r>
      <w:r>
        <w:rPr>
          <w:sz w:val="18"/>
        </w:rPr>
        <w:t>gubernamental</w:t>
      </w:r>
      <w:r>
        <w:rPr>
          <w:spacing w:val="-14"/>
          <w:sz w:val="18"/>
        </w:rPr>
        <w:t> </w:t>
      </w:r>
      <w:r>
        <w:rPr>
          <w:sz w:val="18"/>
        </w:rPr>
        <w:t>del</w:t>
      </w:r>
      <w:r>
        <w:rPr>
          <w:spacing w:val="-14"/>
          <w:sz w:val="18"/>
        </w:rPr>
        <w:t> </w:t>
      </w:r>
      <w:r>
        <w:rPr>
          <w:sz w:val="18"/>
        </w:rPr>
        <w:t>poder</w:t>
      </w:r>
      <w:r>
        <w:rPr>
          <w:spacing w:val="-14"/>
          <w:sz w:val="18"/>
        </w:rPr>
        <w:t> </w:t>
      </w:r>
      <w:r>
        <w:rPr>
          <w:sz w:val="18"/>
        </w:rPr>
        <w:t>ejecutivo</w:t>
      </w:r>
      <w:r>
        <w:rPr>
          <w:spacing w:val="-15"/>
          <w:sz w:val="18"/>
        </w:rPr>
        <w:t> </w:t>
      </w:r>
      <w:r>
        <w:rPr>
          <w:sz w:val="18"/>
        </w:rPr>
        <w:t>del</w:t>
      </w:r>
      <w:r>
        <w:rPr>
          <w:spacing w:val="-14"/>
          <w:sz w:val="18"/>
        </w:rPr>
        <w:t> </w:t>
      </w:r>
      <w:r>
        <w:rPr>
          <w:sz w:val="18"/>
        </w:rPr>
        <w:t>Estado</w:t>
      </w:r>
      <w:r>
        <w:rPr>
          <w:spacing w:val="-15"/>
          <w:sz w:val="18"/>
        </w:rPr>
        <w:t> </w:t>
      </w:r>
      <w:r>
        <w:rPr>
          <w:sz w:val="18"/>
        </w:rPr>
        <w:t>de</w:t>
      </w:r>
      <w:r>
        <w:rPr>
          <w:spacing w:val="-14"/>
          <w:sz w:val="18"/>
        </w:rPr>
        <w:t> </w:t>
      </w:r>
      <w:r>
        <w:rPr>
          <w:sz w:val="18"/>
        </w:rPr>
        <w:t>Hidalgo,</w:t>
      </w:r>
      <w:r>
        <w:rPr>
          <w:spacing w:val="-14"/>
          <w:sz w:val="18"/>
        </w:rPr>
        <w:t> </w:t>
      </w:r>
      <w:r>
        <w:rPr>
          <w:sz w:val="18"/>
        </w:rPr>
        <w:t>según</w:t>
      </w:r>
      <w:r>
        <w:rPr>
          <w:spacing w:val="-14"/>
          <w:sz w:val="18"/>
        </w:rPr>
        <w:t> </w:t>
      </w:r>
      <w:r>
        <w:rPr>
          <w:sz w:val="18"/>
        </w:rPr>
        <w:t>solicitud</w:t>
      </w:r>
      <w:r>
        <w:rPr>
          <w:spacing w:val="-14"/>
          <w:sz w:val="18"/>
        </w:rPr>
        <w:t> </w:t>
      </w:r>
      <w:r>
        <w:rPr>
          <w:sz w:val="18"/>
        </w:rPr>
        <w:t>con</w:t>
      </w:r>
      <w:r>
        <w:rPr>
          <w:spacing w:val="-14"/>
          <w:sz w:val="18"/>
        </w:rPr>
        <w:t> </w:t>
      </w:r>
      <w:r>
        <w:rPr>
          <w:sz w:val="18"/>
        </w:rPr>
        <w:t>el</w:t>
      </w:r>
      <w:r>
        <w:rPr>
          <w:spacing w:val="-15"/>
          <w:sz w:val="18"/>
        </w:rPr>
        <w:t> </w:t>
      </w:r>
      <w:r>
        <w:rPr>
          <w:sz w:val="18"/>
        </w:rPr>
        <w:t>número de expediente 00167010 del sistema INFOMEX Hidalgo, 14 de febrero del año</w:t>
      </w:r>
      <w:r>
        <w:rPr>
          <w:spacing w:val="-8"/>
          <w:sz w:val="18"/>
        </w:rPr>
        <w:t> </w:t>
      </w:r>
      <w:r>
        <w:rPr>
          <w:sz w:val="18"/>
        </w:rPr>
        <w:t>2011.</w:t>
      </w:r>
    </w:p>
    <w:p>
      <w:pPr>
        <w:spacing w:after="0" w:line="200" w:lineRule="exact"/>
        <w:jc w:val="both"/>
        <w:rPr>
          <w:sz w:val="18"/>
        </w:rPr>
        <w:sectPr>
          <w:pgSz w:w="9360" w:h="13040"/>
          <w:pgMar w:header="547" w:footer="515" w:top="720" w:bottom="700" w:left="740" w:right="1300"/>
        </w:sectPr>
      </w:pPr>
    </w:p>
    <w:p>
      <w:pPr>
        <w:pStyle w:val="BodyText"/>
        <w:spacing w:before="11"/>
        <w:rPr>
          <w:sz w:val="29"/>
        </w:rPr>
      </w:pPr>
    </w:p>
    <w:p>
      <w:pPr>
        <w:pStyle w:val="BodyText"/>
        <w:spacing w:line="235" w:lineRule="auto" w:before="75"/>
        <w:ind w:left="684" w:right="107"/>
        <w:jc w:val="both"/>
      </w:pPr>
      <w:r>
        <w:rPr/>
        <w:t>inversión federal y veinticinco millones quinientos noventa y cinco</w:t>
      </w:r>
      <w:r>
        <w:rPr>
          <w:spacing w:val="-33"/>
        </w:rPr>
        <w:t> </w:t>
      </w:r>
      <w:r>
        <w:rPr/>
        <w:t>mil cuatrocientos</w:t>
      </w:r>
      <w:r>
        <w:rPr>
          <w:spacing w:val="-25"/>
        </w:rPr>
        <w:t> </w:t>
      </w:r>
      <w:r>
        <w:rPr/>
        <w:t>pesos</w:t>
      </w:r>
      <w:r>
        <w:rPr>
          <w:spacing w:val="-24"/>
        </w:rPr>
        <w:t> </w:t>
      </w:r>
      <w:r>
        <w:rPr/>
        <w:t>de</w:t>
      </w:r>
      <w:r>
        <w:rPr>
          <w:spacing w:val="-24"/>
        </w:rPr>
        <w:t> </w:t>
      </w:r>
      <w:r>
        <w:rPr/>
        <w:t>inversión</w:t>
      </w:r>
      <w:r>
        <w:rPr>
          <w:spacing w:val="-24"/>
        </w:rPr>
        <w:t> </w:t>
      </w:r>
      <w:r>
        <w:rPr/>
        <w:t>estatal</w:t>
      </w:r>
      <w:r>
        <w:rPr>
          <w:spacing w:val="-24"/>
        </w:rPr>
        <w:t> </w:t>
      </w:r>
      <w:r>
        <w:rPr/>
        <w:t>en</w:t>
      </w:r>
      <w:r>
        <w:rPr>
          <w:spacing w:val="-24"/>
        </w:rPr>
        <w:t> </w:t>
      </w:r>
      <w:r>
        <w:rPr/>
        <w:t>reconocimiento</w:t>
      </w:r>
      <w:r>
        <w:rPr>
          <w:spacing w:val="-24"/>
        </w:rPr>
        <w:t> </w:t>
      </w:r>
      <w:r>
        <w:rPr/>
        <w:t>al</w:t>
      </w:r>
      <w:r>
        <w:rPr>
          <w:spacing w:val="-24"/>
        </w:rPr>
        <w:t> </w:t>
      </w:r>
      <w:r>
        <w:rPr/>
        <w:t>desempeño docente, un millón setecientos noventa y cinco mil ochocientos pesos de inversión federal y ochocientos veintisiete mil setecientos pesos de inversión estatal en apoyo a la supervisión escolar, tres millones ciento cuarenta y nueve mil cuatrocientos veinticuatro pesos de inversión federal en apoyo económico a integrantes del equipo técnico y asesor técnico pedagógico, y catorce millones seiscientos sesenta y cinco mil ochocientos pesos de inversión federal en apoyo a la gestión escolar y apoyo económico y capacitación asesores comunitarios</w:t>
      </w:r>
      <w:r>
        <w:rPr>
          <w:position w:val="8"/>
          <w:sz w:val="13"/>
        </w:rPr>
        <w:t>191</w:t>
      </w:r>
      <w:r>
        <w:rPr/>
        <w:t>;</w:t>
      </w:r>
      <w:r>
        <w:rPr>
          <w:spacing w:val="1"/>
        </w:rPr>
        <w:t> </w:t>
      </w:r>
      <w:r>
        <w:rPr/>
        <w:t>y</w:t>
      </w:r>
    </w:p>
    <w:p>
      <w:pPr>
        <w:pStyle w:val="ListParagraph"/>
        <w:numPr>
          <w:ilvl w:val="0"/>
          <w:numId w:val="12"/>
        </w:numPr>
        <w:tabs>
          <w:tab w:pos="685" w:val="left" w:leader="none"/>
        </w:tabs>
        <w:spacing w:line="235" w:lineRule="auto" w:before="0" w:after="0"/>
        <w:ind w:left="684" w:right="107" w:hanging="284"/>
        <w:jc w:val="both"/>
        <w:rPr>
          <w:sz w:val="23"/>
        </w:rPr>
      </w:pPr>
      <w:r>
        <w:rPr>
          <w:i/>
          <w:sz w:val="23"/>
        </w:rPr>
        <w:t>programa nacional de becas (PRONABES)</w:t>
      </w:r>
      <w:r>
        <w:rPr>
          <w:sz w:val="23"/>
        </w:rPr>
        <w:t>, esquema de capacidades en la educación superior, se gastaron ciento nueve millones ciento cincuenta</w:t>
      </w:r>
      <w:r>
        <w:rPr>
          <w:spacing w:val="-18"/>
          <w:sz w:val="23"/>
        </w:rPr>
        <w:t> </w:t>
      </w:r>
      <w:r>
        <w:rPr>
          <w:sz w:val="23"/>
        </w:rPr>
        <w:t>y</w:t>
      </w:r>
      <w:r>
        <w:rPr>
          <w:spacing w:val="-17"/>
          <w:sz w:val="23"/>
        </w:rPr>
        <w:t> </w:t>
      </w:r>
      <w:r>
        <w:rPr>
          <w:sz w:val="23"/>
        </w:rPr>
        <w:t>tres</w:t>
      </w:r>
      <w:r>
        <w:rPr>
          <w:spacing w:val="-18"/>
          <w:sz w:val="23"/>
        </w:rPr>
        <w:t> </w:t>
      </w:r>
      <w:r>
        <w:rPr>
          <w:sz w:val="23"/>
        </w:rPr>
        <w:t>mil</w:t>
      </w:r>
      <w:r>
        <w:rPr>
          <w:spacing w:val="-17"/>
          <w:sz w:val="23"/>
        </w:rPr>
        <w:t> </w:t>
      </w:r>
      <w:r>
        <w:rPr>
          <w:sz w:val="23"/>
        </w:rPr>
        <w:t>quinientos</w:t>
      </w:r>
      <w:r>
        <w:rPr>
          <w:spacing w:val="-17"/>
          <w:sz w:val="23"/>
        </w:rPr>
        <w:t> </w:t>
      </w:r>
      <w:r>
        <w:rPr>
          <w:sz w:val="23"/>
        </w:rPr>
        <w:t>sesenta</w:t>
      </w:r>
      <w:r>
        <w:rPr>
          <w:spacing w:val="-17"/>
          <w:sz w:val="23"/>
        </w:rPr>
        <w:t> </w:t>
      </w:r>
      <w:r>
        <w:rPr>
          <w:sz w:val="23"/>
        </w:rPr>
        <w:t>pesos</w:t>
      </w:r>
      <w:r>
        <w:rPr>
          <w:spacing w:val="-17"/>
          <w:sz w:val="23"/>
        </w:rPr>
        <w:t> </w:t>
      </w:r>
      <w:r>
        <w:rPr>
          <w:sz w:val="23"/>
        </w:rPr>
        <w:t>de</w:t>
      </w:r>
      <w:r>
        <w:rPr>
          <w:spacing w:val="-17"/>
          <w:sz w:val="23"/>
        </w:rPr>
        <w:t> </w:t>
      </w:r>
      <w:r>
        <w:rPr>
          <w:sz w:val="23"/>
        </w:rPr>
        <w:t>inversión</w:t>
      </w:r>
      <w:r>
        <w:rPr>
          <w:spacing w:val="-18"/>
          <w:sz w:val="23"/>
        </w:rPr>
        <w:t> </w:t>
      </w:r>
      <w:r>
        <w:rPr>
          <w:sz w:val="23"/>
        </w:rPr>
        <w:t>federal-estatal en proporción 50-50, para beneficiar al diez mil setecientos treinta y nueve becarios en el</w:t>
      </w:r>
      <w:r>
        <w:rPr>
          <w:spacing w:val="4"/>
          <w:sz w:val="23"/>
        </w:rPr>
        <w:t> </w:t>
      </w:r>
      <w:r>
        <w:rPr>
          <w:sz w:val="23"/>
        </w:rPr>
        <w:t>estado</w:t>
      </w:r>
      <w:r>
        <w:rPr>
          <w:position w:val="8"/>
          <w:sz w:val="13"/>
        </w:rPr>
        <w:t>192</w:t>
      </w:r>
      <w:r>
        <w:rPr>
          <w:sz w:val="23"/>
        </w:rPr>
        <w:t>.</w:t>
      </w:r>
    </w:p>
    <w:p>
      <w:pPr>
        <w:pStyle w:val="BodyText"/>
        <w:spacing w:before="7"/>
        <w:rPr>
          <w:sz w:val="22"/>
        </w:rPr>
      </w:pPr>
    </w:p>
    <w:p>
      <w:pPr>
        <w:pStyle w:val="BodyText"/>
        <w:spacing w:line="235" w:lineRule="auto" w:before="1"/>
        <w:ind w:left="117" w:right="107"/>
        <w:jc w:val="both"/>
      </w:pPr>
      <w:r>
        <w:rPr/>
        <w:t>La contraparte de lo anterior  está  constituida  por  cuatro  programas  que por iniciativa propia implementa la Secretaría de Educación Pública del estado, la mitad de ellos son de capacidades y la parte complementaria son asistenciales. Los programas de capacidades son: a) </w:t>
      </w:r>
      <w:r>
        <w:rPr>
          <w:i/>
        </w:rPr>
        <w:t>programa de atención   </w:t>
      </w:r>
      <w:r>
        <w:rPr>
          <w:i/>
        </w:rPr>
        <w:t>a los indicadores de deserción, reprobación y mejora del logro educativo</w:t>
      </w:r>
      <w:r>
        <w:rPr/>
        <w:t>; cuya dinámica de trabajo es la formación de nodos escolares a través de veinte funcionarios que atienden de manera personalizada a los estudiantes en situación de riesgo de los niveles primaria y secundaria</w:t>
      </w:r>
      <w:r>
        <w:rPr>
          <w:position w:val="8"/>
          <w:sz w:val="13"/>
        </w:rPr>
        <w:t>193</w:t>
      </w:r>
      <w:r>
        <w:rPr/>
        <w:t>; y b) </w:t>
      </w:r>
      <w:r>
        <w:rPr>
          <w:i/>
        </w:rPr>
        <w:t>programa </w:t>
      </w:r>
      <w:r>
        <w:rPr>
          <w:i/>
        </w:rPr>
        <w:t>de reconocimiento al desempeño docente</w:t>
      </w:r>
      <w:r>
        <w:rPr/>
        <w:t>, basado en la asignación de una compensación extraordinaria a profesores para que, en un horario extra-clase (dos horas de lunes a viernes), implementen dos periodos para regularizar a los alumnos que presentan bajos promedios y para apoyar a los candidatos a reprobar,</w:t>
      </w:r>
      <w:r>
        <w:rPr>
          <w:spacing w:val="-5"/>
        </w:rPr>
        <w:t> </w:t>
      </w:r>
      <w:r>
        <w:rPr/>
        <w:t>respectivamente</w:t>
      </w:r>
      <w:r>
        <w:rPr>
          <w:position w:val="8"/>
          <w:sz w:val="13"/>
        </w:rPr>
        <w:t>194</w:t>
      </w:r>
      <w:r>
        <w:rPr/>
        <w:t>.</w:t>
      </w:r>
    </w:p>
    <w:p>
      <w:pPr>
        <w:pStyle w:val="BodyText"/>
        <w:spacing w:before="10"/>
        <w:rPr>
          <w:sz w:val="22"/>
        </w:rPr>
      </w:pPr>
    </w:p>
    <w:p>
      <w:pPr>
        <w:pStyle w:val="BodyText"/>
        <w:spacing w:line="260" w:lineRule="exact"/>
        <w:ind w:left="117" w:right="107"/>
        <w:jc w:val="both"/>
        <w:rPr>
          <w:i/>
        </w:rPr>
      </w:pPr>
      <w:r>
        <w:rPr/>
        <w:pict>
          <v:line style="position:absolute;mso-position-horizontal-relative:page;mso-position-vertical-relative:paragraph;z-index:3136;mso-wrap-distance-left:0;mso-wrap-distance-right:0" from="70.866096pt,53.661098pt" to="142.866096pt,53.661098pt" stroked="true" strokeweight="1pt" strokecolor="#000000">
            <w10:wrap type="topAndBottom"/>
          </v:line>
        </w:pict>
      </w:r>
      <w:r>
        <w:rPr/>
        <w:t>Los</w:t>
      </w:r>
      <w:r>
        <w:rPr>
          <w:spacing w:val="-19"/>
        </w:rPr>
        <w:t> </w:t>
      </w:r>
      <w:r>
        <w:rPr/>
        <w:t>programas</w:t>
      </w:r>
      <w:r>
        <w:rPr>
          <w:spacing w:val="-19"/>
        </w:rPr>
        <w:t> </w:t>
      </w:r>
      <w:r>
        <w:rPr/>
        <w:t>asistenciales</w:t>
      </w:r>
      <w:r>
        <w:rPr>
          <w:spacing w:val="-19"/>
        </w:rPr>
        <w:t> </w:t>
      </w:r>
      <w:r>
        <w:rPr/>
        <w:t>cubren</w:t>
      </w:r>
      <w:r>
        <w:rPr>
          <w:spacing w:val="-19"/>
        </w:rPr>
        <w:t> </w:t>
      </w:r>
      <w:r>
        <w:rPr/>
        <w:t>las</w:t>
      </w:r>
      <w:r>
        <w:rPr>
          <w:spacing w:val="-19"/>
        </w:rPr>
        <w:t> </w:t>
      </w:r>
      <w:r>
        <w:rPr/>
        <w:t>siguientes</w:t>
      </w:r>
      <w:r>
        <w:rPr>
          <w:spacing w:val="-18"/>
        </w:rPr>
        <w:t> </w:t>
      </w:r>
      <w:r>
        <w:rPr/>
        <w:t>vertiente</w:t>
      </w:r>
      <w:r>
        <w:rPr>
          <w:spacing w:val="-19"/>
        </w:rPr>
        <w:t> </w:t>
      </w:r>
      <w:r>
        <w:rPr/>
        <w:t>y</w:t>
      </w:r>
      <w:r>
        <w:rPr>
          <w:spacing w:val="-19"/>
        </w:rPr>
        <w:t> </w:t>
      </w:r>
      <w:r>
        <w:rPr/>
        <w:t>metas:</w:t>
      </w:r>
      <w:r>
        <w:rPr>
          <w:spacing w:val="-19"/>
        </w:rPr>
        <w:t> </w:t>
      </w:r>
      <w:r>
        <w:rPr/>
        <w:t>1)</w:t>
      </w:r>
      <w:r>
        <w:rPr>
          <w:spacing w:val="-19"/>
        </w:rPr>
        <w:t> </w:t>
      </w:r>
      <w:r>
        <w:rPr>
          <w:i/>
        </w:rPr>
        <w:t>entrega </w:t>
      </w:r>
      <w:r>
        <w:rPr>
          <w:i/>
        </w:rPr>
        <w:t>de útiles escolares</w:t>
      </w:r>
      <w:r>
        <w:rPr/>
        <w:t>, se entregan a estudiantes de educación preescolar, prima- ria y secundaria paquetes de útiles escolares, las metas 2010-2011 llegaron   a seiscientos ocho mil seiscientos treinta y nueve paquete</w:t>
      </w:r>
      <w:r>
        <w:rPr>
          <w:position w:val="8"/>
          <w:sz w:val="13"/>
        </w:rPr>
        <w:t>195</w:t>
      </w:r>
      <w:r>
        <w:rPr/>
        <w:t>; y 2)  </w:t>
      </w:r>
      <w:r>
        <w:rPr>
          <w:spacing w:val="15"/>
        </w:rPr>
        <w:t> </w:t>
      </w:r>
      <w:r>
        <w:rPr>
          <w:i/>
        </w:rPr>
        <w:t>programa</w:t>
      </w:r>
    </w:p>
    <w:p>
      <w:pPr>
        <w:spacing w:before="28"/>
        <w:ind w:left="117" w:right="0" w:firstLine="0"/>
        <w:jc w:val="both"/>
        <w:rPr>
          <w:i/>
          <w:sz w:val="18"/>
        </w:rPr>
      </w:pPr>
      <w:r>
        <w:rPr>
          <w:w w:val="105"/>
          <w:position w:val="7"/>
          <w:sz w:val="11"/>
        </w:rPr>
        <w:t>191  </w:t>
      </w:r>
      <w:r>
        <w:rPr>
          <w:i/>
          <w:w w:val="105"/>
          <w:sz w:val="18"/>
        </w:rPr>
        <w:t>Ibídem.</w:t>
      </w:r>
    </w:p>
    <w:p>
      <w:pPr>
        <w:spacing w:line="211" w:lineRule="exact" w:before="28"/>
        <w:ind w:left="117" w:right="0" w:firstLine="0"/>
        <w:jc w:val="both"/>
        <w:rPr>
          <w:i/>
          <w:sz w:val="18"/>
        </w:rPr>
      </w:pPr>
      <w:r>
        <w:rPr>
          <w:w w:val="105"/>
          <w:position w:val="7"/>
          <w:sz w:val="11"/>
        </w:rPr>
        <w:t>192  </w:t>
      </w:r>
      <w:r>
        <w:rPr>
          <w:i/>
          <w:w w:val="105"/>
          <w:sz w:val="18"/>
        </w:rPr>
        <w:t>Ibídem.</w:t>
      </w:r>
    </w:p>
    <w:p>
      <w:pPr>
        <w:spacing w:line="242" w:lineRule="auto" w:before="0"/>
        <w:ind w:left="400" w:right="0" w:hanging="284"/>
        <w:jc w:val="left"/>
        <w:rPr>
          <w:sz w:val="18"/>
        </w:rPr>
      </w:pPr>
      <w:r>
        <w:rPr>
          <w:position w:val="7"/>
          <w:sz w:val="11"/>
        </w:rPr>
        <w:t>193 </w:t>
      </w:r>
      <w:r>
        <w:rPr>
          <w:sz w:val="18"/>
        </w:rPr>
        <w:t>Información proporcionada para esta investigación por personal de la Secretaría de Educación Pública del Estado de Hidalgo, 11 de febrero del 2011.</w:t>
      </w:r>
    </w:p>
    <w:p>
      <w:pPr>
        <w:spacing w:before="26"/>
        <w:ind w:left="117" w:right="0" w:firstLine="0"/>
        <w:jc w:val="both"/>
        <w:rPr>
          <w:i/>
          <w:sz w:val="18"/>
        </w:rPr>
      </w:pPr>
      <w:r>
        <w:rPr>
          <w:w w:val="105"/>
          <w:position w:val="7"/>
          <w:sz w:val="11"/>
        </w:rPr>
        <w:t>194  </w:t>
      </w:r>
      <w:r>
        <w:rPr>
          <w:i/>
          <w:w w:val="105"/>
          <w:sz w:val="18"/>
        </w:rPr>
        <w:t>Ibídem.</w:t>
      </w:r>
    </w:p>
    <w:p>
      <w:pPr>
        <w:spacing w:before="28"/>
        <w:ind w:left="117" w:right="0" w:firstLine="0"/>
        <w:jc w:val="both"/>
        <w:rPr>
          <w:i/>
          <w:sz w:val="18"/>
        </w:rPr>
      </w:pPr>
      <w:r>
        <w:rPr>
          <w:w w:val="105"/>
          <w:position w:val="7"/>
          <w:sz w:val="11"/>
        </w:rPr>
        <w:t>195  </w:t>
      </w:r>
      <w:r>
        <w:rPr>
          <w:i/>
          <w:w w:val="105"/>
          <w:sz w:val="18"/>
        </w:rPr>
        <w:t>Ibídem.</w:t>
      </w:r>
    </w:p>
    <w:p>
      <w:pPr>
        <w:spacing w:after="0"/>
        <w:jc w:val="both"/>
        <w:rPr>
          <w:sz w:val="18"/>
        </w:rPr>
        <w:sectPr>
          <w:pgSz w:w="9360" w:h="13040"/>
          <w:pgMar w:header="531" w:footer="515" w:top="940" w:bottom="700" w:left="1300" w:right="740"/>
        </w:sectPr>
      </w:pPr>
    </w:p>
    <w:p>
      <w:pPr>
        <w:pStyle w:val="BodyText"/>
        <w:rPr>
          <w:i/>
          <w:sz w:val="20"/>
        </w:rPr>
      </w:pPr>
    </w:p>
    <w:p>
      <w:pPr>
        <w:pStyle w:val="BodyText"/>
        <w:spacing w:before="1"/>
        <w:rPr>
          <w:i/>
          <w:sz w:val="29"/>
        </w:rPr>
      </w:pPr>
    </w:p>
    <w:p>
      <w:pPr>
        <w:pStyle w:val="BodyText"/>
        <w:spacing w:line="260" w:lineRule="exact" w:before="77"/>
        <w:ind w:left="110" w:right="114"/>
        <w:jc w:val="both"/>
      </w:pPr>
      <w:r>
        <w:rPr>
          <w:i/>
        </w:rPr>
        <w:t>de libros de texto gratuitos</w:t>
      </w:r>
      <w:r>
        <w:rPr/>
        <w:t>, fueron adquiridos ciento cuarenta títulos para educación secundaria, que equivale a una inversión de cuatro millones ciento noventa y ocho mil trescientos ochenta y dos pesos</w:t>
      </w:r>
      <w:r>
        <w:rPr>
          <w:position w:val="8"/>
          <w:sz w:val="13"/>
        </w:rPr>
        <w:t>196</w:t>
      </w:r>
      <w:r>
        <w:rPr/>
        <w:t>.</w:t>
      </w:r>
    </w:p>
    <w:p>
      <w:pPr>
        <w:pStyle w:val="BodyText"/>
        <w:rPr>
          <w:sz w:val="22"/>
        </w:rPr>
      </w:pPr>
    </w:p>
    <w:p>
      <w:pPr>
        <w:pStyle w:val="Heading3"/>
        <w:ind w:left="110"/>
      </w:pPr>
      <w:r>
        <w:rPr/>
        <w:t>El Centro Estatal de Lenguas y Culturas Indígenas (CELCI).</w:t>
      </w:r>
    </w:p>
    <w:p>
      <w:pPr>
        <w:pStyle w:val="BodyText"/>
        <w:spacing w:before="9"/>
        <w:rPr>
          <w:b/>
          <w:sz w:val="22"/>
        </w:rPr>
      </w:pPr>
    </w:p>
    <w:p>
      <w:pPr>
        <w:pStyle w:val="BodyText"/>
        <w:spacing w:line="260" w:lineRule="exact"/>
        <w:ind w:left="110" w:right="114"/>
        <w:jc w:val="both"/>
      </w:pPr>
      <w:r>
        <w:rPr/>
        <w:t>Como organismo desconcentrado de la Secretaría de Educación Pública,      se considera que este centro desarrolla un programa de diseño propio para promover las capacidades relacionadas con la comprensión de las lenguas indígenas del estado. Los principales medios para lograr el objeto del Centro Estatal de Lenguas y Cultura Indígena son: 1) la instalación del </w:t>
      </w:r>
      <w:r>
        <w:rPr>
          <w:i/>
        </w:rPr>
        <w:t>software </w:t>
      </w:r>
      <w:r>
        <w:rPr>
          <w:i/>
        </w:rPr>
        <w:t>Uantakua </w:t>
      </w:r>
      <w:r>
        <w:rPr/>
        <w:t>en diez primarias del </w:t>
      </w:r>
      <w:r>
        <w:rPr>
          <w:spacing w:val="-6"/>
        </w:rPr>
        <w:t>Valle </w:t>
      </w:r>
      <w:r>
        <w:rPr/>
        <w:t>del Mezquital y del </w:t>
      </w:r>
      <w:r>
        <w:rPr>
          <w:i/>
        </w:rPr>
        <w:t>programa de </w:t>
      </w:r>
      <w:r>
        <w:rPr>
          <w:i/>
        </w:rPr>
        <w:t>cómputo para revitalizar la lengua Hñahñü </w:t>
      </w:r>
      <w:r>
        <w:rPr/>
        <w:t>en diez primarias de Pachuca, </w:t>
      </w:r>
      <w:r>
        <w:rPr>
          <w:spacing w:val="21"/>
        </w:rPr>
        <w:t> </w:t>
      </w:r>
      <w:r>
        <w:rPr/>
        <w:t>y</w:t>
      </w:r>
    </w:p>
    <w:p>
      <w:pPr>
        <w:pStyle w:val="ListParagraph"/>
        <w:numPr>
          <w:ilvl w:val="0"/>
          <w:numId w:val="13"/>
        </w:numPr>
        <w:tabs>
          <w:tab w:pos="372" w:val="left" w:leader="none"/>
        </w:tabs>
        <w:spacing w:line="235" w:lineRule="auto" w:before="0" w:after="0"/>
        <w:ind w:left="110" w:right="114" w:firstLine="0"/>
        <w:jc w:val="both"/>
        <w:rPr>
          <w:sz w:val="23"/>
        </w:rPr>
      </w:pPr>
      <w:r>
        <w:rPr>
          <w:sz w:val="23"/>
        </w:rPr>
        <w:t>la impresión trimestral de las revistas </w:t>
      </w:r>
      <w:r>
        <w:rPr>
          <w:i/>
          <w:sz w:val="23"/>
        </w:rPr>
        <w:t>Olinka </w:t>
      </w:r>
      <w:r>
        <w:rPr>
          <w:sz w:val="23"/>
        </w:rPr>
        <w:t>y </w:t>
      </w:r>
      <w:r>
        <w:rPr>
          <w:i/>
          <w:sz w:val="23"/>
        </w:rPr>
        <w:t>Experiencias Docentes </w:t>
      </w:r>
      <w:r>
        <w:rPr>
          <w:sz w:val="23"/>
        </w:rPr>
        <w:t>(3 mil ejemplares cada edición), y la edición del </w:t>
      </w:r>
      <w:r>
        <w:rPr>
          <w:i/>
          <w:sz w:val="23"/>
        </w:rPr>
        <w:t>diccionario en lengua </w:t>
      </w:r>
      <w:r>
        <w:rPr>
          <w:i/>
          <w:spacing w:val="-4"/>
          <w:sz w:val="23"/>
        </w:rPr>
        <w:t>Tepehua </w:t>
      </w:r>
      <w:r>
        <w:rPr>
          <w:sz w:val="23"/>
        </w:rPr>
        <w:t>(mil ejemplares) y del libro </w:t>
      </w:r>
      <w:r>
        <w:rPr>
          <w:i/>
          <w:sz w:val="23"/>
        </w:rPr>
        <w:t>Xa Fentho </w:t>
      </w:r>
      <w:r>
        <w:rPr>
          <w:sz w:val="23"/>
        </w:rPr>
        <w:t>en lengua Hñahñü (mil</w:t>
      </w:r>
      <w:r>
        <w:rPr>
          <w:spacing w:val="-22"/>
          <w:sz w:val="23"/>
        </w:rPr>
        <w:t> </w:t>
      </w:r>
      <w:r>
        <w:rPr>
          <w:sz w:val="23"/>
        </w:rPr>
        <w:t>ejemplares)</w:t>
      </w:r>
      <w:r>
        <w:rPr>
          <w:position w:val="8"/>
          <w:sz w:val="13"/>
        </w:rPr>
        <w:t>197</w:t>
      </w:r>
      <w:r>
        <w:rPr>
          <w:sz w:val="23"/>
        </w:rPr>
        <w:t>.</w:t>
      </w:r>
    </w:p>
    <w:p>
      <w:pPr>
        <w:pStyle w:val="BodyText"/>
        <w:spacing w:before="3"/>
        <w:rPr>
          <w:sz w:val="22"/>
        </w:rPr>
      </w:pPr>
    </w:p>
    <w:p>
      <w:pPr>
        <w:pStyle w:val="Heading3"/>
        <w:ind w:left="110"/>
      </w:pPr>
      <w:r>
        <w:rPr/>
        <w:t>El Bachillerato del Estado de Hidalgo (BEH).</w:t>
      </w:r>
    </w:p>
    <w:p>
      <w:pPr>
        <w:pStyle w:val="BodyText"/>
        <w:spacing w:before="6"/>
        <w:rPr>
          <w:b/>
          <w:sz w:val="22"/>
        </w:rPr>
      </w:pPr>
    </w:p>
    <w:p>
      <w:pPr>
        <w:pStyle w:val="BodyText"/>
        <w:spacing w:line="235" w:lineRule="auto" w:before="1"/>
        <w:ind w:left="110" w:right="114"/>
        <w:jc w:val="both"/>
      </w:pPr>
      <w:r>
        <w:rPr/>
        <w:t>Éste</w:t>
      </w:r>
      <w:r>
        <w:rPr>
          <w:spacing w:val="-5"/>
        </w:rPr>
        <w:t> </w:t>
      </w:r>
      <w:r>
        <w:rPr/>
        <w:t>es</w:t>
      </w:r>
      <w:r>
        <w:rPr>
          <w:spacing w:val="-5"/>
        </w:rPr>
        <w:t> </w:t>
      </w:r>
      <w:r>
        <w:rPr/>
        <w:t>otro</w:t>
      </w:r>
      <w:r>
        <w:rPr>
          <w:spacing w:val="-5"/>
        </w:rPr>
        <w:t> </w:t>
      </w:r>
      <w:r>
        <w:rPr/>
        <w:t>organismo</w:t>
      </w:r>
      <w:r>
        <w:rPr>
          <w:spacing w:val="-5"/>
        </w:rPr>
        <w:t> </w:t>
      </w:r>
      <w:r>
        <w:rPr/>
        <w:t>desconcentrado</w:t>
      </w:r>
      <w:r>
        <w:rPr>
          <w:spacing w:val="-5"/>
        </w:rPr>
        <w:t> </w:t>
      </w:r>
      <w:r>
        <w:rPr/>
        <w:t>de</w:t>
      </w:r>
      <w:r>
        <w:rPr>
          <w:spacing w:val="-5"/>
        </w:rPr>
        <w:t> </w:t>
      </w:r>
      <w:r>
        <w:rPr/>
        <w:t>la</w:t>
      </w:r>
      <w:r>
        <w:rPr>
          <w:spacing w:val="-5"/>
        </w:rPr>
        <w:t> </w:t>
      </w:r>
      <w:r>
        <w:rPr/>
        <w:t>Secretaría</w:t>
      </w:r>
      <w:r>
        <w:rPr>
          <w:spacing w:val="-4"/>
        </w:rPr>
        <w:t> </w:t>
      </w:r>
      <w:r>
        <w:rPr/>
        <w:t>de</w:t>
      </w:r>
      <w:r>
        <w:rPr>
          <w:spacing w:val="-5"/>
        </w:rPr>
        <w:t> </w:t>
      </w:r>
      <w:r>
        <w:rPr/>
        <w:t>Educación</w:t>
      </w:r>
      <w:r>
        <w:rPr>
          <w:spacing w:val="-5"/>
        </w:rPr>
        <w:t> </w:t>
      </w:r>
      <w:r>
        <w:rPr/>
        <w:t>Pública que, en su caso, desarrolla un programa de diseño propio para promover capacidades relativas a la educación media </w:t>
      </w:r>
      <w:r>
        <w:rPr>
          <w:spacing w:val="-3"/>
        </w:rPr>
        <w:t>superior. </w:t>
      </w:r>
      <w:r>
        <w:rPr/>
        <w:t>Fue creado en 1994  bajo la denominación </w:t>
      </w:r>
      <w:r>
        <w:rPr>
          <w:i/>
        </w:rPr>
        <w:t>Telebachillerato del Estado de Hidalgo, </w:t>
      </w:r>
      <w:r>
        <w:rPr/>
        <w:t>con catorce planteles ubicados en las zonas  más  necesitadas  de  oferta  educativa  en ese nivel</w:t>
      </w:r>
      <w:r>
        <w:rPr>
          <w:position w:val="8"/>
          <w:sz w:val="13"/>
        </w:rPr>
        <w:t>198</w:t>
      </w:r>
      <w:r>
        <w:rPr/>
        <w:t>. En 2007 cambió su nombre por el actual y creó más planteles hasta llegar a un total de cincuenta y siete, de los cuales se han transferido veintinueve</w:t>
      </w:r>
      <w:r>
        <w:rPr>
          <w:spacing w:val="-9"/>
        </w:rPr>
        <w:t> </w:t>
      </w:r>
      <w:r>
        <w:rPr/>
        <w:t>a</w:t>
      </w:r>
      <w:r>
        <w:rPr>
          <w:spacing w:val="-9"/>
        </w:rPr>
        <w:t> </w:t>
      </w:r>
      <w:r>
        <w:rPr/>
        <w:t>los</w:t>
      </w:r>
      <w:r>
        <w:rPr>
          <w:spacing w:val="-9"/>
        </w:rPr>
        <w:t> </w:t>
      </w:r>
      <w:r>
        <w:rPr/>
        <w:t>subsistemas</w:t>
      </w:r>
      <w:r>
        <w:rPr>
          <w:spacing w:val="-9"/>
        </w:rPr>
        <w:t> </w:t>
      </w:r>
      <w:r>
        <w:rPr/>
        <w:t>Colegio</w:t>
      </w:r>
      <w:r>
        <w:rPr>
          <w:spacing w:val="-9"/>
        </w:rPr>
        <w:t> </w:t>
      </w:r>
      <w:r>
        <w:rPr/>
        <w:t>de</w:t>
      </w:r>
      <w:r>
        <w:rPr>
          <w:spacing w:val="-9"/>
        </w:rPr>
        <w:t> </w:t>
      </w:r>
      <w:r>
        <w:rPr/>
        <w:t>Estudios</w:t>
      </w:r>
      <w:r>
        <w:rPr>
          <w:spacing w:val="-9"/>
        </w:rPr>
        <w:t> </w:t>
      </w:r>
      <w:r>
        <w:rPr/>
        <w:t>Científicos</w:t>
      </w:r>
      <w:r>
        <w:rPr>
          <w:spacing w:val="-9"/>
        </w:rPr>
        <w:t> </w:t>
      </w:r>
      <w:r>
        <w:rPr/>
        <w:t>y</w:t>
      </w:r>
      <w:r>
        <w:rPr>
          <w:spacing w:val="-12"/>
        </w:rPr>
        <w:t> </w:t>
      </w:r>
      <w:r>
        <w:rPr/>
        <w:t>Tecnológicos del Estado de Hidalgo (CECYTEH), Colegio de Bachilleres del Estado de Hidalgo (COBAEH), y Centro de Educación Media Superior A Distancia (CEMSAD)</w:t>
      </w:r>
      <w:r>
        <w:rPr>
          <w:spacing w:val="-18"/>
        </w:rPr>
        <w:t> </w:t>
      </w:r>
      <w:r>
        <w:rPr>
          <w:position w:val="8"/>
          <w:sz w:val="13"/>
        </w:rPr>
        <w:t>199</w:t>
      </w:r>
      <w:r>
        <w:rPr/>
        <w:t>.</w:t>
      </w:r>
    </w:p>
    <w:p>
      <w:pPr>
        <w:pStyle w:val="BodyText"/>
        <w:spacing w:before="10"/>
        <w:rPr>
          <w:sz w:val="22"/>
        </w:rPr>
      </w:pPr>
    </w:p>
    <w:p>
      <w:pPr>
        <w:pStyle w:val="BodyText"/>
        <w:spacing w:line="260" w:lineRule="exact"/>
        <w:ind w:left="110" w:right="113"/>
        <w:jc w:val="both"/>
      </w:pPr>
      <w:r>
        <w:rPr/>
        <w:pict>
          <v:line style="position:absolute;mso-position-horizontal-relative:page;mso-position-vertical-relative:paragraph;z-index:3160;mso-wrap-distance-left:0;mso-wrap-distance-right:0" from="42.519699pt,29.249897pt" to="114.519699pt,29.249897pt" stroked="true" strokeweight="1pt" strokecolor="#000000">
            <w10:wrap type="topAndBottom"/>
          </v:line>
        </w:pict>
      </w:r>
      <w:r>
        <w:rPr/>
        <w:t>El rasgo característico del funcionamiento del Bachillerato del Estado de Hidalgo</w:t>
      </w:r>
      <w:r>
        <w:rPr>
          <w:spacing w:val="-16"/>
        </w:rPr>
        <w:t> </w:t>
      </w:r>
      <w:r>
        <w:rPr/>
        <w:t>es</w:t>
      </w:r>
      <w:r>
        <w:rPr>
          <w:spacing w:val="-16"/>
        </w:rPr>
        <w:t> </w:t>
      </w:r>
      <w:r>
        <w:rPr/>
        <w:t>iniciar</w:t>
      </w:r>
      <w:r>
        <w:rPr>
          <w:spacing w:val="-17"/>
        </w:rPr>
        <w:t> </w:t>
      </w:r>
      <w:r>
        <w:rPr/>
        <w:t>planteles</w:t>
      </w:r>
      <w:r>
        <w:rPr>
          <w:spacing w:val="-16"/>
        </w:rPr>
        <w:t> </w:t>
      </w:r>
      <w:r>
        <w:rPr/>
        <w:t>en</w:t>
      </w:r>
      <w:r>
        <w:rPr>
          <w:spacing w:val="-16"/>
        </w:rPr>
        <w:t> </w:t>
      </w:r>
      <w:r>
        <w:rPr/>
        <w:t>las</w:t>
      </w:r>
      <w:r>
        <w:rPr>
          <w:spacing w:val="-16"/>
        </w:rPr>
        <w:t> </w:t>
      </w:r>
      <w:r>
        <w:rPr/>
        <w:t>regiones</w:t>
      </w:r>
      <w:r>
        <w:rPr>
          <w:spacing w:val="-16"/>
        </w:rPr>
        <w:t> </w:t>
      </w:r>
      <w:r>
        <w:rPr/>
        <w:t>del</w:t>
      </w:r>
      <w:r>
        <w:rPr>
          <w:spacing w:val="-16"/>
        </w:rPr>
        <w:t> </w:t>
      </w:r>
      <w:r>
        <w:rPr/>
        <w:t>estado</w:t>
      </w:r>
      <w:r>
        <w:rPr>
          <w:spacing w:val="-16"/>
        </w:rPr>
        <w:t> </w:t>
      </w:r>
      <w:r>
        <w:rPr/>
        <w:t>carentes</w:t>
      </w:r>
      <w:r>
        <w:rPr>
          <w:spacing w:val="-17"/>
        </w:rPr>
        <w:t> </w:t>
      </w:r>
      <w:r>
        <w:rPr/>
        <w:t>de</w:t>
      </w:r>
      <w:r>
        <w:rPr>
          <w:spacing w:val="-16"/>
        </w:rPr>
        <w:t> </w:t>
      </w:r>
      <w:r>
        <w:rPr/>
        <w:t>instalaciones</w:t>
      </w:r>
    </w:p>
    <w:p>
      <w:pPr>
        <w:spacing w:before="28"/>
        <w:ind w:left="110" w:right="0" w:firstLine="0"/>
        <w:jc w:val="both"/>
        <w:rPr>
          <w:i/>
          <w:sz w:val="18"/>
        </w:rPr>
      </w:pPr>
      <w:r>
        <w:rPr>
          <w:w w:val="105"/>
          <w:position w:val="7"/>
          <w:sz w:val="11"/>
        </w:rPr>
        <w:t>196  </w:t>
      </w:r>
      <w:r>
        <w:rPr>
          <w:i/>
          <w:w w:val="105"/>
          <w:sz w:val="18"/>
        </w:rPr>
        <w:t>Ibídem.</w:t>
      </w:r>
    </w:p>
    <w:p>
      <w:pPr>
        <w:spacing w:before="28"/>
        <w:ind w:left="110" w:right="0" w:firstLine="0"/>
        <w:jc w:val="both"/>
        <w:rPr>
          <w:i/>
          <w:sz w:val="18"/>
        </w:rPr>
      </w:pPr>
      <w:r>
        <w:rPr>
          <w:w w:val="105"/>
          <w:position w:val="7"/>
          <w:sz w:val="11"/>
        </w:rPr>
        <w:t>197  </w:t>
      </w:r>
      <w:r>
        <w:rPr>
          <w:i/>
          <w:w w:val="105"/>
          <w:sz w:val="18"/>
        </w:rPr>
        <w:t>Ibídem.</w:t>
      </w:r>
    </w:p>
    <w:p>
      <w:pPr>
        <w:spacing w:line="249" w:lineRule="auto" w:before="28"/>
        <w:ind w:left="393" w:right="115" w:hanging="284"/>
        <w:jc w:val="both"/>
        <w:rPr>
          <w:sz w:val="18"/>
        </w:rPr>
      </w:pPr>
      <w:r>
        <w:rPr>
          <w:position w:val="7"/>
          <w:sz w:val="11"/>
        </w:rPr>
        <w:t>198</w:t>
      </w:r>
      <w:r>
        <w:rPr>
          <w:spacing w:val="19"/>
          <w:position w:val="7"/>
          <w:sz w:val="11"/>
        </w:rPr>
        <w:t> </w:t>
      </w:r>
      <w:r>
        <w:rPr>
          <w:sz w:val="18"/>
        </w:rPr>
        <w:t>Estas</w:t>
      </w:r>
      <w:r>
        <w:rPr>
          <w:spacing w:val="-10"/>
          <w:sz w:val="18"/>
        </w:rPr>
        <w:t> </w:t>
      </w:r>
      <w:r>
        <w:rPr>
          <w:sz w:val="18"/>
        </w:rPr>
        <w:t>zonas</w:t>
      </w:r>
      <w:r>
        <w:rPr>
          <w:spacing w:val="-10"/>
          <w:sz w:val="18"/>
        </w:rPr>
        <w:t> </w:t>
      </w:r>
      <w:r>
        <w:rPr>
          <w:sz w:val="18"/>
        </w:rPr>
        <w:t>se</w:t>
      </w:r>
      <w:r>
        <w:rPr>
          <w:spacing w:val="-10"/>
          <w:sz w:val="18"/>
        </w:rPr>
        <w:t> </w:t>
      </w:r>
      <w:r>
        <w:rPr>
          <w:sz w:val="18"/>
        </w:rPr>
        <w:t>referían</w:t>
      </w:r>
      <w:r>
        <w:rPr>
          <w:spacing w:val="-10"/>
          <w:sz w:val="18"/>
        </w:rPr>
        <w:t> </w:t>
      </w:r>
      <w:r>
        <w:rPr>
          <w:sz w:val="18"/>
        </w:rPr>
        <w:t>a</w:t>
      </w:r>
      <w:r>
        <w:rPr>
          <w:spacing w:val="-10"/>
          <w:sz w:val="18"/>
        </w:rPr>
        <w:t> </w:t>
      </w:r>
      <w:r>
        <w:rPr>
          <w:sz w:val="18"/>
        </w:rPr>
        <w:t>las</w:t>
      </w:r>
      <w:r>
        <w:rPr>
          <w:spacing w:val="-10"/>
          <w:sz w:val="18"/>
        </w:rPr>
        <w:t> </w:t>
      </w:r>
      <w:r>
        <w:rPr>
          <w:sz w:val="18"/>
        </w:rPr>
        <w:t>localidades</w:t>
      </w:r>
      <w:r>
        <w:rPr>
          <w:spacing w:val="-10"/>
          <w:sz w:val="18"/>
        </w:rPr>
        <w:t> </w:t>
      </w:r>
      <w:r>
        <w:rPr>
          <w:sz w:val="18"/>
        </w:rPr>
        <w:t>de</w:t>
      </w:r>
      <w:r>
        <w:rPr>
          <w:spacing w:val="-20"/>
          <w:sz w:val="18"/>
        </w:rPr>
        <w:t> </w:t>
      </w:r>
      <w:r>
        <w:rPr>
          <w:sz w:val="18"/>
        </w:rPr>
        <w:t>Acatlán,</w:t>
      </w:r>
      <w:r>
        <w:rPr>
          <w:spacing w:val="-19"/>
          <w:sz w:val="18"/>
        </w:rPr>
        <w:t> </w:t>
      </w:r>
      <w:r>
        <w:rPr>
          <w:sz w:val="18"/>
        </w:rPr>
        <w:t>Almoloya,</w:t>
      </w:r>
      <w:r>
        <w:rPr>
          <w:spacing w:val="-9"/>
          <w:sz w:val="18"/>
        </w:rPr>
        <w:t> </w:t>
      </w:r>
      <w:r>
        <w:rPr>
          <w:sz w:val="18"/>
        </w:rPr>
        <w:t>Huazalingo,</w:t>
      </w:r>
      <w:r>
        <w:rPr>
          <w:spacing w:val="-10"/>
          <w:sz w:val="18"/>
        </w:rPr>
        <w:t> </w:t>
      </w:r>
      <w:r>
        <w:rPr>
          <w:sz w:val="18"/>
        </w:rPr>
        <w:t>Jatocán,</w:t>
      </w:r>
      <w:r>
        <w:rPr>
          <w:spacing w:val="-10"/>
          <w:sz w:val="18"/>
        </w:rPr>
        <w:t> </w:t>
      </w:r>
      <w:r>
        <w:rPr>
          <w:sz w:val="18"/>
        </w:rPr>
        <w:t>Metztitlán, Papatlatla,</w:t>
      </w:r>
      <w:r>
        <w:rPr>
          <w:spacing w:val="-20"/>
          <w:sz w:val="18"/>
        </w:rPr>
        <w:t> </w:t>
      </w:r>
      <w:r>
        <w:rPr>
          <w:sz w:val="18"/>
        </w:rPr>
        <w:t>Pisaflores,</w:t>
      </w:r>
      <w:r>
        <w:rPr>
          <w:spacing w:val="-20"/>
          <w:sz w:val="18"/>
        </w:rPr>
        <w:t> </w:t>
      </w:r>
      <w:r>
        <w:rPr>
          <w:sz w:val="18"/>
        </w:rPr>
        <w:t>Poxindeje,</w:t>
      </w:r>
      <w:r>
        <w:rPr>
          <w:spacing w:val="-20"/>
          <w:sz w:val="18"/>
        </w:rPr>
        <w:t> </w:t>
      </w:r>
      <w:r>
        <w:rPr>
          <w:sz w:val="18"/>
        </w:rPr>
        <w:t>San</w:t>
      </w:r>
      <w:r>
        <w:rPr>
          <w:spacing w:val="-20"/>
          <w:sz w:val="18"/>
        </w:rPr>
        <w:t> </w:t>
      </w:r>
      <w:r>
        <w:rPr>
          <w:sz w:val="18"/>
        </w:rPr>
        <w:t>Bartolo</w:t>
      </w:r>
      <w:r>
        <w:rPr>
          <w:spacing w:val="-23"/>
          <w:sz w:val="18"/>
        </w:rPr>
        <w:t> </w:t>
      </w:r>
      <w:r>
        <w:rPr>
          <w:sz w:val="18"/>
        </w:rPr>
        <w:t>Tutotepec,</w:t>
      </w:r>
      <w:r>
        <w:rPr>
          <w:spacing w:val="-20"/>
          <w:sz w:val="18"/>
        </w:rPr>
        <w:t> </w:t>
      </w:r>
      <w:r>
        <w:rPr>
          <w:sz w:val="18"/>
        </w:rPr>
        <w:t>Santa</w:t>
      </w:r>
      <w:r>
        <w:rPr>
          <w:spacing w:val="-20"/>
          <w:sz w:val="18"/>
        </w:rPr>
        <w:t> </w:t>
      </w:r>
      <w:r>
        <w:rPr>
          <w:sz w:val="18"/>
        </w:rPr>
        <w:t>Cruz,</w:t>
      </w:r>
      <w:r>
        <w:rPr>
          <w:spacing w:val="-20"/>
          <w:sz w:val="18"/>
        </w:rPr>
        <w:t> </w:t>
      </w:r>
      <w:r>
        <w:rPr>
          <w:sz w:val="18"/>
        </w:rPr>
        <w:t>Xochiatipan,</w:t>
      </w:r>
      <w:r>
        <w:rPr>
          <w:spacing w:val="-20"/>
          <w:sz w:val="18"/>
        </w:rPr>
        <w:t> </w:t>
      </w:r>
      <w:r>
        <w:rPr>
          <w:sz w:val="18"/>
        </w:rPr>
        <w:t>Xochicoatlán, Ahuatitla, y San Agustín</w:t>
      </w:r>
      <w:r>
        <w:rPr>
          <w:spacing w:val="-30"/>
          <w:sz w:val="18"/>
        </w:rPr>
        <w:t> </w:t>
      </w:r>
      <w:r>
        <w:rPr>
          <w:sz w:val="18"/>
        </w:rPr>
        <w:t>Tlaxiaca.</w:t>
      </w:r>
    </w:p>
    <w:p>
      <w:pPr>
        <w:spacing w:line="249" w:lineRule="auto" w:before="20"/>
        <w:ind w:left="393" w:right="0" w:hanging="284"/>
        <w:jc w:val="left"/>
        <w:rPr>
          <w:sz w:val="18"/>
        </w:rPr>
      </w:pPr>
      <w:r>
        <w:rPr>
          <w:position w:val="7"/>
          <w:sz w:val="11"/>
        </w:rPr>
        <w:t>199 </w:t>
      </w:r>
      <w:r>
        <w:rPr>
          <w:sz w:val="18"/>
        </w:rPr>
        <w:t>Información proporcionada para esta investigación por personal de la Secretaría de Educación Pública del Estado de Hidalgo, 16 de febrero del 2011.</w:t>
      </w:r>
    </w:p>
    <w:p>
      <w:pPr>
        <w:spacing w:after="0" w:line="249" w:lineRule="auto"/>
        <w:jc w:val="left"/>
        <w:rPr>
          <w:sz w:val="18"/>
        </w:rPr>
        <w:sectPr>
          <w:pgSz w:w="9360" w:h="13040"/>
          <w:pgMar w:header="547" w:footer="515" w:top="720" w:bottom="700" w:left="740" w:right="1300"/>
        </w:sectPr>
      </w:pPr>
    </w:p>
    <w:p>
      <w:pPr>
        <w:pStyle w:val="BodyText"/>
        <w:spacing w:before="11"/>
        <w:rPr>
          <w:sz w:val="29"/>
        </w:rPr>
      </w:pPr>
    </w:p>
    <w:p>
      <w:pPr>
        <w:pStyle w:val="BodyText"/>
        <w:spacing w:line="235" w:lineRule="auto" w:before="75"/>
        <w:ind w:left="117" w:right="107"/>
        <w:jc w:val="both"/>
      </w:pPr>
      <w:r>
        <w:rPr/>
        <w:t>de</w:t>
      </w:r>
      <w:r>
        <w:rPr>
          <w:spacing w:val="-21"/>
        </w:rPr>
        <w:t> </w:t>
      </w:r>
      <w:r>
        <w:rPr/>
        <w:t>educación</w:t>
      </w:r>
      <w:r>
        <w:rPr>
          <w:spacing w:val="-22"/>
        </w:rPr>
        <w:t> </w:t>
      </w:r>
      <w:r>
        <w:rPr/>
        <w:t>media</w:t>
      </w:r>
      <w:r>
        <w:rPr>
          <w:spacing w:val="-21"/>
        </w:rPr>
        <w:t> </w:t>
      </w:r>
      <w:r>
        <w:rPr/>
        <w:t>superior,</w:t>
      </w:r>
      <w:r>
        <w:rPr>
          <w:spacing w:val="-21"/>
        </w:rPr>
        <w:t> </w:t>
      </w:r>
      <w:r>
        <w:rPr/>
        <w:t>para</w:t>
      </w:r>
      <w:r>
        <w:rPr>
          <w:spacing w:val="-21"/>
        </w:rPr>
        <w:t> </w:t>
      </w:r>
      <w:r>
        <w:rPr/>
        <w:t>posteriormente</w:t>
      </w:r>
      <w:r>
        <w:rPr>
          <w:spacing w:val="-21"/>
        </w:rPr>
        <w:t> </w:t>
      </w:r>
      <w:r>
        <w:rPr/>
        <w:t>transferirlas</w:t>
      </w:r>
      <w:r>
        <w:rPr>
          <w:spacing w:val="-22"/>
        </w:rPr>
        <w:t> </w:t>
      </w:r>
      <w:r>
        <w:rPr/>
        <w:t>a</w:t>
      </w:r>
      <w:r>
        <w:rPr>
          <w:spacing w:val="-21"/>
        </w:rPr>
        <w:t> </w:t>
      </w:r>
      <w:r>
        <w:rPr/>
        <w:t>otros</w:t>
      </w:r>
      <w:r>
        <w:rPr>
          <w:spacing w:val="-21"/>
        </w:rPr>
        <w:t> </w:t>
      </w:r>
      <w:r>
        <w:rPr/>
        <w:t>sistemas y</w:t>
      </w:r>
      <w:r>
        <w:rPr>
          <w:spacing w:val="-7"/>
        </w:rPr>
        <w:t> </w:t>
      </w:r>
      <w:r>
        <w:rPr/>
        <w:t>emplear</w:t>
      </w:r>
      <w:r>
        <w:rPr>
          <w:spacing w:val="-7"/>
        </w:rPr>
        <w:t> </w:t>
      </w:r>
      <w:r>
        <w:rPr/>
        <w:t>su</w:t>
      </w:r>
      <w:r>
        <w:rPr>
          <w:spacing w:val="-7"/>
        </w:rPr>
        <w:t> </w:t>
      </w:r>
      <w:r>
        <w:rPr/>
        <w:t>presupuesto</w:t>
      </w:r>
      <w:r>
        <w:rPr>
          <w:spacing w:val="-7"/>
        </w:rPr>
        <w:t> </w:t>
      </w:r>
      <w:r>
        <w:rPr/>
        <w:t>exclusivamente</w:t>
      </w:r>
      <w:r>
        <w:rPr>
          <w:spacing w:val="-8"/>
        </w:rPr>
        <w:t> </w:t>
      </w:r>
      <w:r>
        <w:rPr/>
        <w:t>en</w:t>
      </w:r>
      <w:r>
        <w:rPr>
          <w:spacing w:val="-7"/>
        </w:rPr>
        <w:t> </w:t>
      </w:r>
      <w:r>
        <w:rPr/>
        <w:t>la</w:t>
      </w:r>
      <w:r>
        <w:rPr>
          <w:spacing w:val="-7"/>
        </w:rPr>
        <w:t> </w:t>
      </w:r>
      <w:r>
        <w:rPr/>
        <w:t>función</w:t>
      </w:r>
      <w:r>
        <w:rPr>
          <w:spacing w:val="-7"/>
        </w:rPr>
        <w:t> </w:t>
      </w:r>
      <w:r>
        <w:rPr/>
        <w:t>de</w:t>
      </w:r>
      <w:r>
        <w:rPr>
          <w:spacing w:val="-7"/>
        </w:rPr>
        <w:t> </w:t>
      </w:r>
      <w:r>
        <w:rPr/>
        <w:t>continuar</w:t>
      </w:r>
      <w:r>
        <w:rPr>
          <w:spacing w:val="-7"/>
        </w:rPr>
        <w:t> </w:t>
      </w:r>
      <w:r>
        <w:rPr/>
        <w:t>abriendo nuevos planteles en regiones carentes de escuelas de bachillerato. En el año 2010 el Bachillerato tenía presencia en veintiséis municipios y contaba con una matrícula de cuatro mil doscientos veintisiete alumnos, los estudios de nivel medio superior son complementados a partir del tercer semestre con capacitación para el trabajo en las siguientes especialidades: conservación de alimentos, corte y confección, carpintería y ebanistería, computación secre- tarial,</w:t>
      </w:r>
      <w:r>
        <w:rPr>
          <w:spacing w:val="-10"/>
        </w:rPr>
        <w:t> </w:t>
      </w:r>
      <w:r>
        <w:rPr/>
        <w:t>construcción</w:t>
      </w:r>
      <w:r>
        <w:rPr>
          <w:spacing w:val="-11"/>
        </w:rPr>
        <w:t> </w:t>
      </w:r>
      <w:r>
        <w:rPr/>
        <w:t>de</w:t>
      </w:r>
      <w:r>
        <w:rPr>
          <w:spacing w:val="-10"/>
        </w:rPr>
        <w:t> </w:t>
      </w:r>
      <w:r>
        <w:rPr/>
        <w:t>vivienda,</w:t>
      </w:r>
      <w:r>
        <w:rPr>
          <w:spacing w:val="-10"/>
        </w:rPr>
        <w:t> </w:t>
      </w:r>
      <w:r>
        <w:rPr/>
        <w:t>enfermería</w:t>
      </w:r>
      <w:r>
        <w:rPr>
          <w:spacing w:val="-11"/>
        </w:rPr>
        <w:t> </w:t>
      </w:r>
      <w:r>
        <w:rPr/>
        <w:t>paramédica,</w:t>
      </w:r>
      <w:r>
        <w:rPr>
          <w:spacing w:val="-10"/>
        </w:rPr>
        <w:t> </w:t>
      </w:r>
      <w:r>
        <w:rPr/>
        <w:t>estructuras</w:t>
      </w:r>
      <w:r>
        <w:rPr>
          <w:spacing w:val="-11"/>
        </w:rPr>
        <w:t> </w:t>
      </w:r>
      <w:r>
        <w:rPr/>
        <w:t>metálicas soldadas, instalaciones domésticas, instalaciones eléctricas residenciales y comerciales, mecánica automotriz, y serigrafía. Cada plantel cuenta con dos especialidades</w:t>
      </w:r>
      <w:r>
        <w:rPr>
          <w:position w:val="8"/>
          <w:sz w:val="13"/>
        </w:rPr>
        <w:t>200</w:t>
      </w:r>
      <w:r>
        <w:rPr/>
        <w:t>.</w:t>
      </w:r>
    </w:p>
    <w:p>
      <w:pPr>
        <w:pStyle w:val="BodyText"/>
        <w:spacing w:before="10"/>
        <w:rPr>
          <w:sz w:val="22"/>
        </w:rPr>
      </w:pPr>
    </w:p>
    <w:p>
      <w:pPr>
        <w:pStyle w:val="Heading3"/>
        <w:spacing w:line="260" w:lineRule="exact"/>
        <w:ind w:right="105"/>
      </w:pPr>
      <w:r>
        <w:rPr/>
        <w:t>El Instituto Hidalguense de Financiamiento a la Educación Superior (IHFES).</w:t>
      </w:r>
    </w:p>
    <w:p>
      <w:pPr>
        <w:pStyle w:val="BodyText"/>
        <w:spacing w:before="4"/>
        <w:rPr>
          <w:b/>
          <w:sz w:val="22"/>
        </w:rPr>
      </w:pPr>
    </w:p>
    <w:p>
      <w:pPr>
        <w:spacing w:line="235" w:lineRule="auto" w:before="0"/>
        <w:ind w:left="117" w:right="107" w:firstLine="0"/>
        <w:jc w:val="both"/>
        <w:rPr>
          <w:sz w:val="23"/>
        </w:rPr>
      </w:pPr>
      <w:r>
        <w:rPr>
          <w:sz w:val="23"/>
        </w:rPr>
        <w:t>El IHFES, un organismo desconcentrado más del sector educativo estatal, implementa</w:t>
      </w:r>
      <w:r>
        <w:rPr>
          <w:spacing w:val="-24"/>
          <w:sz w:val="23"/>
        </w:rPr>
        <w:t> </w:t>
      </w:r>
      <w:r>
        <w:rPr>
          <w:sz w:val="23"/>
        </w:rPr>
        <w:t>un</w:t>
      </w:r>
      <w:r>
        <w:rPr>
          <w:spacing w:val="-23"/>
          <w:sz w:val="23"/>
        </w:rPr>
        <w:t> </w:t>
      </w:r>
      <w:r>
        <w:rPr>
          <w:sz w:val="23"/>
        </w:rPr>
        <w:t>programa</w:t>
      </w:r>
      <w:r>
        <w:rPr>
          <w:spacing w:val="-23"/>
          <w:sz w:val="23"/>
        </w:rPr>
        <w:t> </w:t>
      </w:r>
      <w:r>
        <w:rPr>
          <w:sz w:val="23"/>
        </w:rPr>
        <w:t>de</w:t>
      </w:r>
      <w:r>
        <w:rPr>
          <w:spacing w:val="-23"/>
          <w:sz w:val="23"/>
        </w:rPr>
        <w:t> </w:t>
      </w:r>
      <w:r>
        <w:rPr>
          <w:sz w:val="23"/>
        </w:rPr>
        <w:t>diseño</w:t>
      </w:r>
      <w:r>
        <w:rPr>
          <w:spacing w:val="-23"/>
          <w:sz w:val="23"/>
        </w:rPr>
        <w:t> </w:t>
      </w:r>
      <w:r>
        <w:rPr>
          <w:sz w:val="23"/>
        </w:rPr>
        <w:t>propio</w:t>
      </w:r>
      <w:r>
        <w:rPr>
          <w:spacing w:val="-23"/>
          <w:sz w:val="23"/>
        </w:rPr>
        <w:t> </w:t>
      </w:r>
      <w:r>
        <w:rPr>
          <w:sz w:val="23"/>
        </w:rPr>
        <w:t>en</w:t>
      </w:r>
      <w:r>
        <w:rPr>
          <w:spacing w:val="-24"/>
          <w:sz w:val="23"/>
        </w:rPr>
        <w:t> </w:t>
      </w:r>
      <w:r>
        <w:rPr>
          <w:sz w:val="23"/>
        </w:rPr>
        <w:t>el</w:t>
      </w:r>
      <w:r>
        <w:rPr>
          <w:spacing w:val="-23"/>
          <w:sz w:val="23"/>
        </w:rPr>
        <w:t> </w:t>
      </w:r>
      <w:r>
        <w:rPr>
          <w:sz w:val="23"/>
        </w:rPr>
        <w:t>rubro</w:t>
      </w:r>
      <w:r>
        <w:rPr>
          <w:spacing w:val="-23"/>
          <w:sz w:val="23"/>
        </w:rPr>
        <w:t> </w:t>
      </w:r>
      <w:r>
        <w:rPr>
          <w:sz w:val="23"/>
        </w:rPr>
        <w:t>de</w:t>
      </w:r>
      <w:r>
        <w:rPr>
          <w:spacing w:val="-23"/>
          <w:sz w:val="23"/>
        </w:rPr>
        <w:t> </w:t>
      </w:r>
      <w:r>
        <w:rPr>
          <w:sz w:val="23"/>
        </w:rPr>
        <w:t>capacidades</w:t>
      </w:r>
      <w:r>
        <w:rPr>
          <w:spacing w:val="-24"/>
          <w:sz w:val="23"/>
        </w:rPr>
        <w:t> </w:t>
      </w:r>
      <w:r>
        <w:rPr>
          <w:sz w:val="23"/>
        </w:rPr>
        <w:t>destinado al financiamiento recuperable de la educación superior. Ese financiamiento, según</w:t>
      </w:r>
      <w:r>
        <w:rPr>
          <w:spacing w:val="-11"/>
          <w:sz w:val="23"/>
        </w:rPr>
        <w:t> </w:t>
      </w:r>
      <w:r>
        <w:rPr>
          <w:sz w:val="23"/>
        </w:rPr>
        <w:t>sus</w:t>
      </w:r>
      <w:r>
        <w:rPr>
          <w:spacing w:val="-11"/>
          <w:sz w:val="23"/>
        </w:rPr>
        <w:t> </w:t>
      </w:r>
      <w:r>
        <w:rPr>
          <w:sz w:val="23"/>
        </w:rPr>
        <w:t>términos:</w:t>
      </w:r>
      <w:r>
        <w:rPr>
          <w:spacing w:val="-12"/>
          <w:sz w:val="23"/>
        </w:rPr>
        <w:t> </w:t>
      </w:r>
      <w:r>
        <w:rPr>
          <w:i/>
          <w:sz w:val="23"/>
        </w:rPr>
        <w:t>es</w:t>
      </w:r>
      <w:r>
        <w:rPr>
          <w:i/>
          <w:spacing w:val="-11"/>
          <w:sz w:val="23"/>
        </w:rPr>
        <w:t> </w:t>
      </w:r>
      <w:r>
        <w:rPr>
          <w:i/>
          <w:sz w:val="23"/>
        </w:rPr>
        <w:t>revolvente:</w:t>
      </w:r>
      <w:r>
        <w:rPr>
          <w:i/>
          <w:spacing w:val="-11"/>
          <w:sz w:val="23"/>
        </w:rPr>
        <w:t> </w:t>
      </w:r>
      <w:r>
        <w:rPr>
          <w:i/>
          <w:sz w:val="23"/>
        </w:rPr>
        <w:t>despierta</w:t>
      </w:r>
      <w:r>
        <w:rPr>
          <w:i/>
          <w:spacing w:val="-11"/>
          <w:sz w:val="23"/>
        </w:rPr>
        <w:t> </w:t>
      </w:r>
      <w:r>
        <w:rPr>
          <w:i/>
          <w:sz w:val="23"/>
        </w:rPr>
        <w:t>en</w:t>
      </w:r>
      <w:r>
        <w:rPr>
          <w:i/>
          <w:spacing w:val="-11"/>
          <w:sz w:val="23"/>
        </w:rPr>
        <w:t> </w:t>
      </w:r>
      <w:r>
        <w:rPr>
          <w:i/>
          <w:sz w:val="23"/>
        </w:rPr>
        <w:t>el</w:t>
      </w:r>
      <w:r>
        <w:rPr>
          <w:i/>
          <w:spacing w:val="-11"/>
          <w:sz w:val="23"/>
        </w:rPr>
        <w:t> </w:t>
      </w:r>
      <w:r>
        <w:rPr>
          <w:i/>
          <w:sz w:val="23"/>
        </w:rPr>
        <w:t>acreditado</w:t>
      </w:r>
      <w:r>
        <w:rPr>
          <w:i/>
          <w:spacing w:val="-11"/>
          <w:sz w:val="23"/>
        </w:rPr>
        <w:t> </w:t>
      </w:r>
      <w:r>
        <w:rPr>
          <w:i/>
          <w:sz w:val="23"/>
        </w:rPr>
        <w:t>la</w:t>
      </w:r>
      <w:r>
        <w:rPr>
          <w:i/>
          <w:spacing w:val="-11"/>
          <w:sz w:val="23"/>
        </w:rPr>
        <w:t> </w:t>
      </w:r>
      <w:r>
        <w:rPr>
          <w:i/>
          <w:sz w:val="23"/>
        </w:rPr>
        <w:t>conciencia</w:t>
      </w:r>
      <w:r>
        <w:rPr>
          <w:i/>
          <w:spacing w:val="-11"/>
          <w:sz w:val="23"/>
        </w:rPr>
        <w:t> </w:t>
      </w:r>
      <w:r>
        <w:rPr>
          <w:i/>
          <w:sz w:val="23"/>
        </w:rPr>
        <w:t>de </w:t>
      </w:r>
      <w:r>
        <w:rPr>
          <w:i/>
          <w:sz w:val="23"/>
        </w:rPr>
        <w:t>compromiso</w:t>
      </w:r>
      <w:r>
        <w:rPr>
          <w:i/>
          <w:spacing w:val="-28"/>
          <w:sz w:val="23"/>
        </w:rPr>
        <w:t> </w:t>
      </w:r>
      <w:r>
        <w:rPr>
          <w:i/>
          <w:sz w:val="23"/>
        </w:rPr>
        <w:t>y</w:t>
      </w:r>
      <w:r>
        <w:rPr>
          <w:i/>
          <w:spacing w:val="-28"/>
          <w:sz w:val="23"/>
        </w:rPr>
        <w:t> </w:t>
      </w:r>
      <w:r>
        <w:rPr>
          <w:i/>
          <w:sz w:val="23"/>
        </w:rPr>
        <w:t>solidaridad;</w:t>
      </w:r>
      <w:r>
        <w:rPr>
          <w:i/>
          <w:spacing w:val="-27"/>
          <w:sz w:val="23"/>
        </w:rPr>
        <w:t> </w:t>
      </w:r>
      <w:r>
        <w:rPr>
          <w:i/>
          <w:sz w:val="23"/>
        </w:rPr>
        <w:t>es</w:t>
      </w:r>
      <w:r>
        <w:rPr>
          <w:i/>
          <w:spacing w:val="-28"/>
          <w:sz w:val="23"/>
        </w:rPr>
        <w:t> </w:t>
      </w:r>
      <w:r>
        <w:rPr>
          <w:i/>
          <w:sz w:val="23"/>
        </w:rPr>
        <w:t>periódico:</w:t>
      </w:r>
      <w:r>
        <w:rPr>
          <w:i/>
          <w:spacing w:val="-28"/>
          <w:sz w:val="23"/>
        </w:rPr>
        <w:t> </w:t>
      </w:r>
      <w:r>
        <w:rPr>
          <w:i/>
          <w:sz w:val="23"/>
        </w:rPr>
        <w:t>el</w:t>
      </w:r>
      <w:r>
        <w:rPr>
          <w:i/>
          <w:spacing w:val="-28"/>
          <w:sz w:val="23"/>
        </w:rPr>
        <w:t> </w:t>
      </w:r>
      <w:r>
        <w:rPr>
          <w:i/>
          <w:sz w:val="23"/>
        </w:rPr>
        <w:t>contrato</w:t>
      </w:r>
      <w:r>
        <w:rPr>
          <w:i/>
          <w:spacing w:val="-28"/>
          <w:sz w:val="23"/>
        </w:rPr>
        <w:t> </w:t>
      </w:r>
      <w:r>
        <w:rPr>
          <w:i/>
          <w:sz w:val="23"/>
        </w:rPr>
        <w:t>se</w:t>
      </w:r>
      <w:r>
        <w:rPr>
          <w:i/>
          <w:spacing w:val="-28"/>
          <w:sz w:val="23"/>
        </w:rPr>
        <w:t> </w:t>
      </w:r>
      <w:r>
        <w:rPr>
          <w:i/>
          <w:sz w:val="23"/>
        </w:rPr>
        <w:t>lleva</w:t>
      </w:r>
      <w:r>
        <w:rPr>
          <w:i/>
          <w:spacing w:val="-28"/>
          <w:sz w:val="23"/>
        </w:rPr>
        <w:t> </w:t>
      </w:r>
      <w:r>
        <w:rPr>
          <w:i/>
          <w:spacing w:val="6"/>
          <w:sz w:val="23"/>
        </w:rPr>
        <w:t>acabo</w:t>
      </w:r>
      <w:r>
        <w:rPr>
          <w:i/>
          <w:spacing w:val="-28"/>
          <w:sz w:val="23"/>
        </w:rPr>
        <w:t> </w:t>
      </w:r>
      <w:r>
        <w:rPr>
          <w:i/>
          <w:sz w:val="23"/>
        </w:rPr>
        <w:t>por</w:t>
      </w:r>
      <w:r>
        <w:rPr>
          <w:i/>
          <w:spacing w:val="-28"/>
          <w:sz w:val="23"/>
        </w:rPr>
        <w:t> </w:t>
      </w:r>
      <w:r>
        <w:rPr>
          <w:i/>
          <w:sz w:val="23"/>
        </w:rPr>
        <w:t>periodo escolar; es flexible: se adapta a la situación personal; y es complementario: lo</w:t>
      </w:r>
      <w:r>
        <w:rPr>
          <w:i/>
          <w:spacing w:val="-4"/>
          <w:sz w:val="23"/>
        </w:rPr>
        <w:t> </w:t>
      </w:r>
      <w:r>
        <w:rPr>
          <w:i/>
          <w:sz w:val="23"/>
        </w:rPr>
        <w:t>puedes</w:t>
      </w:r>
      <w:r>
        <w:rPr>
          <w:i/>
          <w:spacing w:val="-4"/>
          <w:sz w:val="23"/>
        </w:rPr>
        <w:t> </w:t>
      </w:r>
      <w:r>
        <w:rPr>
          <w:i/>
          <w:sz w:val="23"/>
        </w:rPr>
        <w:t>usar</w:t>
      </w:r>
      <w:r>
        <w:rPr>
          <w:i/>
          <w:spacing w:val="-4"/>
          <w:sz w:val="23"/>
        </w:rPr>
        <w:t> </w:t>
      </w:r>
      <w:r>
        <w:rPr>
          <w:i/>
          <w:sz w:val="23"/>
        </w:rPr>
        <w:t>para</w:t>
      </w:r>
      <w:r>
        <w:rPr>
          <w:i/>
          <w:spacing w:val="-4"/>
          <w:sz w:val="23"/>
        </w:rPr>
        <w:t> </w:t>
      </w:r>
      <w:r>
        <w:rPr>
          <w:i/>
          <w:sz w:val="23"/>
        </w:rPr>
        <w:t>cubrir</w:t>
      </w:r>
      <w:r>
        <w:rPr>
          <w:i/>
          <w:spacing w:val="-5"/>
          <w:sz w:val="23"/>
        </w:rPr>
        <w:t> </w:t>
      </w:r>
      <w:r>
        <w:rPr>
          <w:i/>
          <w:sz w:val="23"/>
        </w:rPr>
        <w:t>un</w:t>
      </w:r>
      <w:r>
        <w:rPr>
          <w:i/>
          <w:spacing w:val="-4"/>
          <w:sz w:val="23"/>
        </w:rPr>
        <w:t> </w:t>
      </w:r>
      <w:r>
        <w:rPr>
          <w:i/>
          <w:sz w:val="23"/>
        </w:rPr>
        <w:t>porcentaje</w:t>
      </w:r>
      <w:r>
        <w:rPr>
          <w:i/>
          <w:spacing w:val="-5"/>
          <w:sz w:val="23"/>
        </w:rPr>
        <w:t> </w:t>
      </w:r>
      <w:r>
        <w:rPr>
          <w:i/>
          <w:sz w:val="23"/>
        </w:rPr>
        <w:t>de</w:t>
      </w:r>
      <w:r>
        <w:rPr>
          <w:i/>
          <w:spacing w:val="-4"/>
          <w:sz w:val="23"/>
        </w:rPr>
        <w:t> </w:t>
      </w:r>
      <w:r>
        <w:rPr>
          <w:i/>
          <w:sz w:val="23"/>
        </w:rPr>
        <w:t>cualquier</w:t>
      </w:r>
      <w:r>
        <w:rPr>
          <w:i/>
          <w:spacing w:val="-5"/>
          <w:sz w:val="23"/>
        </w:rPr>
        <w:t> </w:t>
      </w:r>
      <w:r>
        <w:rPr>
          <w:i/>
          <w:sz w:val="23"/>
        </w:rPr>
        <w:t>gasto</w:t>
      </w:r>
      <w:r>
        <w:rPr>
          <w:i/>
          <w:spacing w:val="-4"/>
          <w:sz w:val="23"/>
        </w:rPr>
        <w:t> </w:t>
      </w:r>
      <w:r>
        <w:rPr>
          <w:i/>
          <w:sz w:val="23"/>
        </w:rPr>
        <w:t>relacionado</w:t>
      </w:r>
      <w:r>
        <w:rPr>
          <w:i/>
          <w:spacing w:val="-5"/>
          <w:sz w:val="23"/>
        </w:rPr>
        <w:t> </w:t>
      </w:r>
      <w:r>
        <w:rPr>
          <w:i/>
          <w:sz w:val="23"/>
        </w:rPr>
        <w:t>con tu educación</w:t>
      </w:r>
      <w:r>
        <w:rPr>
          <w:i/>
          <w:position w:val="8"/>
          <w:sz w:val="13"/>
        </w:rPr>
        <w:t>201</w:t>
      </w:r>
      <w:r>
        <w:rPr>
          <w:i/>
          <w:sz w:val="23"/>
        </w:rPr>
        <w:t>. </w:t>
      </w:r>
      <w:r>
        <w:rPr>
          <w:sz w:val="23"/>
        </w:rPr>
        <w:t>El porcentaje de financiamiento se determina mediante la evaluación de un proyecto académico que los interesados presentan en forma anexa a sus solicitudes. El programa permite financiar estudios en el estado, en el país o en el extranjero; siendo factible también financiar licenciaturas, maestrías, especialidades y doctorados. Las solicitudes son analizadas por un comité que resuelve por criterios relacionados con el desarrollo económico   y social del estado, asimismo, la elegibilidad de las propuestas depende de   la capacidad de pago del solicitante con relación al monto del crédito que se le asigna. Las metas históricas se refieren al financiamiento de trescientos veintiocho estudiantes entre 2005 y</w:t>
      </w:r>
      <w:r>
        <w:rPr>
          <w:spacing w:val="3"/>
          <w:sz w:val="23"/>
        </w:rPr>
        <w:t> </w:t>
      </w:r>
      <w:r>
        <w:rPr>
          <w:sz w:val="23"/>
        </w:rPr>
        <w:t>2010</w:t>
      </w:r>
      <w:r>
        <w:rPr>
          <w:position w:val="8"/>
          <w:sz w:val="13"/>
        </w:rPr>
        <w:t>202</w:t>
      </w:r>
      <w:r>
        <w:rPr>
          <w:sz w:val="23"/>
        </w:rPr>
        <w:t>.</w:t>
      </w:r>
    </w:p>
    <w:p>
      <w:pPr>
        <w:pStyle w:val="BodyText"/>
        <w:rPr>
          <w:sz w:val="20"/>
        </w:rPr>
      </w:pPr>
    </w:p>
    <w:p>
      <w:pPr>
        <w:pStyle w:val="BodyText"/>
        <w:spacing w:before="4"/>
        <w:rPr>
          <w:sz w:val="21"/>
        </w:rPr>
      </w:pPr>
      <w:r>
        <w:rPr/>
        <w:pict>
          <v:line style="position:absolute;mso-position-horizontal-relative:page;mso-position-vertical-relative:paragraph;z-index:3184;mso-wrap-distance-left:0;mso-wrap-distance-right:0" from="70.866203pt,14.725771pt" to="142.866203pt,14.725771pt" stroked="true" strokeweight="1pt" strokecolor="#000000">
            <w10:wrap type="topAndBottom"/>
          </v:line>
        </w:pict>
      </w:r>
    </w:p>
    <w:p>
      <w:pPr>
        <w:spacing w:before="28"/>
        <w:ind w:left="117" w:right="0" w:firstLine="0"/>
        <w:jc w:val="left"/>
        <w:rPr>
          <w:i/>
          <w:sz w:val="18"/>
        </w:rPr>
      </w:pPr>
      <w:r>
        <w:rPr>
          <w:w w:val="105"/>
          <w:position w:val="7"/>
          <w:sz w:val="11"/>
        </w:rPr>
        <w:t>200  </w:t>
      </w:r>
      <w:r>
        <w:rPr>
          <w:i/>
          <w:w w:val="105"/>
          <w:sz w:val="18"/>
        </w:rPr>
        <w:t>Ibídem.</w:t>
      </w:r>
    </w:p>
    <w:p>
      <w:pPr>
        <w:spacing w:before="28"/>
        <w:ind w:left="117" w:right="0" w:firstLine="0"/>
        <w:jc w:val="left"/>
        <w:rPr>
          <w:i/>
          <w:sz w:val="18"/>
        </w:rPr>
      </w:pPr>
      <w:r>
        <w:rPr>
          <w:position w:val="7"/>
          <w:sz w:val="11"/>
        </w:rPr>
        <w:t>201   </w:t>
      </w:r>
      <w:r>
        <w:rPr>
          <w:sz w:val="18"/>
        </w:rPr>
        <w:t>Gobierno del Estado de Hidalgo, IHFES; </w:t>
      </w:r>
      <w:r>
        <w:rPr>
          <w:i/>
          <w:sz w:val="18"/>
        </w:rPr>
        <w:t>¿deseas realizar estudios de educación superior y no</w:t>
      </w:r>
    </w:p>
    <w:p>
      <w:pPr>
        <w:spacing w:before="9"/>
        <w:ind w:left="400" w:right="0" w:firstLine="0"/>
        <w:jc w:val="left"/>
        <w:rPr>
          <w:sz w:val="18"/>
        </w:rPr>
      </w:pPr>
      <w:r>
        <w:rPr>
          <w:i/>
          <w:sz w:val="18"/>
        </w:rPr>
        <w:t>cuentas con el recurso suficiente para hacerlo?</w:t>
      </w:r>
      <w:r>
        <w:rPr>
          <w:sz w:val="18"/>
        </w:rPr>
        <w:t>, tríptico.</w:t>
      </w:r>
    </w:p>
    <w:p>
      <w:pPr>
        <w:spacing w:before="28"/>
        <w:ind w:left="117" w:right="0" w:firstLine="0"/>
        <w:jc w:val="left"/>
        <w:rPr>
          <w:sz w:val="18"/>
        </w:rPr>
      </w:pPr>
      <w:r>
        <w:rPr>
          <w:position w:val="7"/>
          <w:sz w:val="11"/>
        </w:rPr>
        <w:t>202          </w:t>
      </w:r>
      <w:r>
        <w:rPr>
          <w:sz w:val="18"/>
        </w:rPr>
        <w:t>Información proporcionada para esta investigación por personal del instituto hidalguense de</w:t>
      </w:r>
    </w:p>
    <w:p>
      <w:pPr>
        <w:spacing w:before="9"/>
        <w:ind w:left="400" w:right="0" w:firstLine="0"/>
        <w:jc w:val="left"/>
        <w:rPr>
          <w:sz w:val="18"/>
        </w:rPr>
      </w:pPr>
      <w:r>
        <w:rPr>
          <w:sz w:val="18"/>
        </w:rPr>
        <w:t>financiamiento a la educación superior (IHFES), 16 de febrero del 2011.</w:t>
      </w:r>
    </w:p>
    <w:p>
      <w:pPr>
        <w:spacing w:after="0"/>
        <w:jc w:val="left"/>
        <w:rPr>
          <w:sz w:val="18"/>
        </w:rPr>
        <w:sectPr>
          <w:pgSz w:w="9360" w:h="13040"/>
          <w:pgMar w:header="531" w:footer="515" w:top="940" w:bottom="700" w:left="1300" w:right="740"/>
        </w:sectPr>
      </w:pPr>
    </w:p>
    <w:p>
      <w:pPr>
        <w:pStyle w:val="BodyText"/>
        <w:rPr>
          <w:sz w:val="20"/>
        </w:rPr>
      </w:pPr>
    </w:p>
    <w:p>
      <w:pPr>
        <w:pStyle w:val="BodyText"/>
        <w:spacing w:before="9"/>
        <w:rPr>
          <w:sz w:val="28"/>
        </w:rPr>
      </w:pPr>
    </w:p>
    <w:p>
      <w:pPr>
        <w:pStyle w:val="Heading3"/>
        <w:spacing w:before="70"/>
        <w:ind w:left="110"/>
      </w:pPr>
      <w:r>
        <w:rPr/>
        <w:t>La Secretaría de Salud del Estado de Hidalgo (SSH).</w:t>
      </w:r>
    </w:p>
    <w:p>
      <w:pPr>
        <w:pStyle w:val="BodyText"/>
        <w:spacing w:before="8"/>
        <w:rPr>
          <w:b/>
          <w:sz w:val="21"/>
        </w:rPr>
      </w:pPr>
    </w:p>
    <w:p>
      <w:pPr>
        <w:spacing w:line="250" w:lineRule="exact" w:before="0"/>
        <w:ind w:left="110" w:right="114" w:firstLine="0"/>
        <w:jc w:val="both"/>
        <w:rPr>
          <w:sz w:val="23"/>
        </w:rPr>
      </w:pPr>
      <w:r>
        <w:rPr>
          <w:sz w:val="23"/>
        </w:rPr>
        <w:t>El desempeño estratégico del sector salud del Estado de Hidalgo se refiere a realizar </w:t>
      </w:r>
      <w:r>
        <w:rPr>
          <w:i/>
          <w:sz w:val="23"/>
        </w:rPr>
        <w:t>acciones que se suman al cumplimiento de los programas federales</w:t>
      </w:r>
      <w:r>
        <w:rPr>
          <w:sz w:val="23"/>
        </w:rPr>
        <w:t>. A manera de ejemplo, existe un programa federal para </w:t>
      </w:r>
      <w:r>
        <w:rPr>
          <w:i/>
          <w:sz w:val="23"/>
        </w:rPr>
        <w:t>prevención y control </w:t>
      </w:r>
      <w:r>
        <w:rPr>
          <w:i/>
          <w:sz w:val="23"/>
        </w:rPr>
        <w:t>de</w:t>
      </w:r>
      <w:r>
        <w:rPr>
          <w:i/>
          <w:spacing w:val="-6"/>
          <w:sz w:val="23"/>
        </w:rPr>
        <w:t> </w:t>
      </w:r>
      <w:r>
        <w:rPr>
          <w:i/>
          <w:sz w:val="23"/>
        </w:rPr>
        <w:t>la</w:t>
      </w:r>
      <w:r>
        <w:rPr>
          <w:i/>
          <w:spacing w:val="-6"/>
          <w:sz w:val="23"/>
        </w:rPr>
        <w:t> </w:t>
      </w:r>
      <w:r>
        <w:rPr>
          <w:i/>
          <w:sz w:val="23"/>
        </w:rPr>
        <w:t>rabia</w:t>
      </w:r>
      <w:r>
        <w:rPr>
          <w:i/>
          <w:spacing w:val="-6"/>
          <w:sz w:val="23"/>
        </w:rPr>
        <w:t> </w:t>
      </w:r>
      <w:r>
        <w:rPr>
          <w:i/>
          <w:sz w:val="23"/>
        </w:rPr>
        <w:t>humana</w:t>
      </w:r>
      <w:r>
        <w:rPr>
          <w:i/>
          <w:spacing w:val="-6"/>
          <w:sz w:val="23"/>
        </w:rPr>
        <w:t> </w:t>
      </w:r>
      <w:r>
        <w:rPr>
          <w:i/>
          <w:sz w:val="23"/>
        </w:rPr>
        <w:t>transmitida</w:t>
      </w:r>
      <w:r>
        <w:rPr>
          <w:i/>
          <w:spacing w:val="-7"/>
          <w:sz w:val="23"/>
        </w:rPr>
        <w:t> </w:t>
      </w:r>
      <w:r>
        <w:rPr>
          <w:i/>
          <w:sz w:val="23"/>
        </w:rPr>
        <w:t>por</w:t>
      </w:r>
      <w:r>
        <w:rPr>
          <w:i/>
          <w:spacing w:val="-6"/>
          <w:sz w:val="23"/>
        </w:rPr>
        <w:t> </w:t>
      </w:r>
      <w:r>
        <w:rPr>
          <w:i/>
          <w:sz w:val="23"/>
        </w:rPr>
        <w:t>el</w:t>
      </w:r>
      <w:r>
        <w:rPr>
          <w:i/>
          <w:spacing w:val="-6"/>
          <w:sz w:val="23"/>
        </w:rPr>
        <w:t> </w:t>
      </w:r>
      <w:r>
        <w:rPr>
          <w:i/>
          <w:sz w:val="23"/>
        </w:rPr>
        <w:t>perro</w:t>
      </w:r>
      <w:r>
        <w:rPr>
          <w:i/>
          <w:spacing w:val="-6"/>
          <w:sz w:val="23"/>
        </w:rPr>
        <w:t> </w:t>
      </w:r>
      <w:r>
        <w:rPr>
          <w:i/>
          <w:sz w:val="23"/>
        </w:rPr>
        <w:t>y</w:t>
      </w:r>
      <w:r>
        <w:rPr>
          <w:i/>
          <w:spacing w:val="-6"/>
          <w:sz w:val="23"/>
        </w:rPr>
        <w:t> </w:t>
      </w:r>
      <w:r>
        <w:rPr>
          <w:i/>
          <w:sz w:val="23"/>
        </w:rPr>
        <w:t>otras</w:t>
      </w:r>
      <w:r>
        <w:rPr>
          <w:i/>
          <w:spacing w:val="-6"/>
          <w:sz w:val="23"/>
        </w:rPr>
        <w:t> </w:t>
      </w:r>
      <w:r>
        <w:rPr>
          <w:i/>
          <w:sz w:val="23"/>
        </w:rPr>
        <w:t>zoonosis</w:t>
      </w:r>
      <w:r>
        <w:rPr>
          <w:sz w:val="23"/>
        </w:rPr>
        <w:t>,</w:t>
      </w:r>
      <w:r>
        <w:rPr>
          <w:spacing w:val="-6"/>
          <w:sz w:val="23"/>
        </w:rPr>
        <w:t> </w:t>
      </w:r>
      <w:r>
        <w:rPr>
          <w:sz w:val="23"/>
        </w:rPr>
        <w:t>y</w:t>
      </w:r>
      <w:r>
        <w:rPr>
          <w:spacing w:val="-6"/>
          <w:sz w:val="23"/>
        </w:rPr>
        <w:t> </w:t>
      </w:r>
      <w:r>
        <w:rPr>
          <w:sz w:val="23"/>
        </w:rPr>
        <w:t>en</w:t>
      </w:r>
      <w:r>
        <w:rPr>
          <w:spacing w:val="-6"/>
          <w:sz w:val="23"/>
        </w:rPr>
        <w:t> </w:t>
      </w:r>
      <w:r>
        <w:rPr>
          <w:sz w:val="23"/>
        </w:rPr>
        <w:t>tal</w:t>
      </w:r>
      <w:r>
        <w:rPr>
          <w:spacing w:val="-6"/>
          <w:sz w:val="23"/>
        </w:rPr>
        <w:t> </w:t>
      </w:r>
      <w:r>
        <w:rPr>
          <w:sz w:val="23"/>
        </w:rPr>
        <w:t>sentido el gobierno del estado adquiere unidades móviles para facilitar las acciones de este</w:t>
      </w:r>
      <w:r>
        <w:rPr>
          <w:spacing w:val="4"/>
          <w:sz w:val="23"/>
        </w:rPr>
        <w:t> </w:t>
      </w:r>
      <w:r>
        <w:rPr>
          <w:sz w:val="23"/>
        </w:rPr>
        <w:t>programa</w:t>
      </w:r>
      <w:r>
        <w:rPr>
          <w:position w:val="8"/>
          <w:sz w:val="13"/>
        </w:rPr>
        <w:t>203</w:t>
      </w:r>
      <w:r>
        <w:rPr>
          <w:sz w:val="23"/>
        </w:rPr>
        <w:t>.</w:t>
      </w:r>
    </w:p>
    <w:p>
      <w:pPr>
        <w:pStyle w:val="BodyText"/>
        <w:spacing w:before="8"/>
        <w:rPr>
          <w:sz w:val="21"/>
        </w:rPr>
      </w:pPr>
    </w:p>
    <w:p>
      <w:pPr>
        <w:pStyle w:val="BodyText"/>
        <w:spacing w:line="250" w:lineRule="exact"/>
        <w:ind w:left="110" w:right="115"/>
        <w:jc w:val="both"/>
      </w:pPr>
      <w:r>
        <w:rPr/>
        <w:t>Los esquemas médico asistenciales federales que orientan las acciones del sector salud estatal son veintinueve:</w:t>
      </w:r>
    </w:p>
    <w:p>
      <w:pPr>
        <w:pStyle w:val="BodyText"/>
        <w:spacing w:before="5"/>
        <w:rPr>
          <w:sz w:val="20"/>
        </w:rPr>
      </w:pPr>
    </w:p>
    <w:p>
      <w:pPr>
        <w:pStyle w:val="ListParagraph"/>
        <w:numPr>
          <w:ilvl w:val="1"/>
          <w:numId w:val="13"/>
        </w:numPr>
        <w:tabs>
          <w:tab w:pos="791" w:val="left" w:leader="none"/>
        </w:tabs>
        <w:spacing w:line="257" w:lineRule="exact" w:before="0" w:after="0"/>
        <w:ind w:left="789" w:right="0" w:hanging="279"/>
        <w:jc w:val="left"/>
        <w:rPr>
          <w:sz w:val="23"/>
        </w:rPr>
      </w:pPr>
      <w:r>
        <w:rPr>
          <w:i/>
          <w:sz w:val="23"/>
        </w:rPr>
        <w:t>prevención y control de la diabetes</w:t>
      </w:r>
      <w:r>
        <w:rPr>
          <w:i/>
          <w:spacing w:val="-28"/>
          <w:sz w:val="23"/>
        </w:rPr>
        <w:t> </w:t>
      </w:r>
      <w:r>
        <w:rPr>
          <w:i/>
          <w:sz w:val="23"/>
        </w:rPr>
        <w:t>mellitus</w:t>
      </w:r>
      <w:r>
        <w:rPr>
          <w:sz w:val="23"/>
        </w:rPr>
        <w:t>;</w:t>
      </w:r>
    </w:p>
    <w:p>
      <w:pPr>
        <w:pStyle w:val="ListParagraph"/>
        <w:numPr>
          <w:ilvl w:val="1"/>
          <w:numId w:val="13"/>
        </w:numPr>
        <w:tabs>
          <w:tab w:pos="790" w:val="left" w:leader="none"/>
        </w:tabs>
        <w:spacing w:line="250" w:lineRule="exact" w:before="0" w:after="0"/>
        <w:ind w:left="789" w:right="0" w:hanging="279"/>
        <w:jc w:val="left"/>
        <w:rPr>
          <w:sz w:val="23"/>
        </w:rPr>
      </w:pPr>
      <w:r>
        <w:rPr>
          <w:i/>
          <w:sz w:val="23"/>
        </w:rPr>
        <w:t>programa nacional de seguridad</w:t>
      </w:r>
      <w:r>
        <w:rPr>
          <w:i/>
          <w:spacing w:val="-19"/>
          <w:sz w:val="23"/>
        </w:rPr>
        <w:t> </w:t>
      </w:r>
      <w:r>
        <w:rPr>
          <w:i/>
          <w:sz w:val="23"/>
        </w:rPr>
        <w:t>vial</w:t>
      </w:r>
      <w:r>
        <w:rPr>
          <w:sz w:val="23"/>
        </w:rPr>
        <w:t>;</w:t>
      </w:r>
    </w:p>
    <w:p>
      <w:pPr>
        <w:pStyle w:val="ListParagraph"/>
        <w:numPr>
          <w:ilvl w:val="1"/>
          <w:numId w:val="13"/>
        </w:numPr>
        <w:tabs>
          <w:tab w:pos="790" w:val="left" w:leader="none"/>
        </w:tabs>
        <w:spacing w:line="250" w:lineRule="exact" w:before="0" w:after="0"/>
        <w:ind w:left="789" w:right="0" w:hanging="280"/>
        <w:jc w:val="left"/>
        <w:rPr>
          <w:sz w:val="23"/>
        </w:rPr>
      </w:pPr>
      <w:r>
        <w:rPr>
          <w:i/>
          <w:sz w:val="23"/>
        </w:rPr>
        <w:t>programa</w:t>
      </w:r>
      <w:r>
        <w:rPr>
          <w:i/>
          <w:spacing w:val="-33"/>
          <w:sz w:val="23"/>
        </w:rPr>
        <w:t> </w:t>
      </w:r>
      <w:r>
        <w:rPr>
          <w:i/>
          <w:sz w:val="23"/>
        </w:rPr>
        <w:t>nacional</w:t>
      </w:r>
      <w:r>
        <w:rPr>
          <w:i/>
          <w:spacing w:val="-33"/>
          <w:sz w:val="23"/>
        </w:rPr>
        <w:t> </w:t>
      </w:r>
      <w:r>
        <w:rPr>
          <w:i/>
          <w:sz w:val="23"/>
        </w:rPr>
        <w:t>de</w:t>
      </w:r>
      <w:r>
        <w:rPr>
          <w:i/>
          <w:spacing w:val="-33"/>
          <w:sz w:val="23"/>
        </w:rPr>
        <w:t> </w:t>
      </w:r>
      <w:r>
        <w:rPr>
          <w:i/>
          <w:sz w:val="23"/>
        </w:rPr>
        <w:t>reducción</w:t>
      </w:r>
      <w:r>
        <w:rPr>
          <w:i/>
          <w:spacing w:val="-33"/>
          <w:sz w:val="23"/>
        </w:rPr>
        <w:t> </w:t>
      </w:r>
      <w:r>
        <w:rPr>
          <w:i/>
          <w:sz w:val="23"/>
        </w:rPr>
        <w:t>de</w:t>
      </w:r>
      <w:r>
        <w:rPr>
          <w:i/>
          <w:spacing w:val="-33"/>
          <w:sz w:val="23"/>
        </w:rPr>
        <w:t> </w:t>
      </w:r>
      <w:r>
        <w:rPr>
          <w:i/>
          <w:sz w:val="23"/>
        </w:rPr>
        <w:t>la</w:t>
      </w:r>
      <w:r>
        <w:rPr>
          <w:i/>
          <w:spacing w:val="-33"/>
          <w:sz w:val="23"/>
        </w:rPr>
        <w:t> </w:t>
      </w:r>
      <w:r>
        <w:rPr>
          <w:i/>
          <w:sz w:val="23"/>
        </w:rPr>
        <w:t>mortalidad</w:t>
      </w:r>
      <w:r>
        <w:rPr>
          <w:i/>
          <w:spacing w:val="-33"/>
          <w:sz w:val="23"/>
        </w:rPr>
        <w:t> </w:t>
      </w:r>
      <w:r>
        <w:rPr>
          <w:i/>
          <w:sz w:val="23"/>
        </w:rPr>
        <w:t>infantil</w:t>
      </w:r>
      <w:r>
        <w:rPr>
          <w:i/>
          <w:spacing w:val="-33"/>
          <w:sz w:val="23"/>
        </w:rPr>
        <w:t> </w:t>
      </w:r>
      <w:r>
        <w:rPr>
          <w:i/>
          <w:spacing w:val="2"/>
          <w:sz w:val="23"/>
        </w:rPr>
        <w:t>yvacunación</w:t>
      </w:r>
      <w:r>
        <w:rPr>
          <w:spacing w:val="2"/>
          <w:sz w:val="23"/>
        </w:rPr>
        <w:t>;</w:t>
      </w:r>
    </w:p>
    <w:p>
      <w:pPr>
        <w:pStyle w:val="ListParagraph"/>
        <w:numPr>
          <w:ilvl w:val="1"/>
          <w:numId w:val="13"/>
        </w:numPr>
        <w:tabs>
          <w:tab w:pos="790" w:val="left" w:leader="none"/>
        </w:tabs>
        <w:spacing w:line="250" w:lineRule="exact" w:before="0" w:after="0"/>
        <w:ind w:left="789" w:right="0" w:hanging="280"/>
        <w:jc w:val="left"/>
        <w:rPr>
          <w:sz w:val="23"/>
        </w:rPr>
      </w:pPr>
      <w:r>
        <w:rPr>
          <w:i/>
          <w:sz w:val="23"/>
        </w:rPr>
        <w:t>prevención, detección y atención temprana del cáncer de</w:t>
      </w:r>
      <w:r>
        <w:rPr>
          <w:i/>
          <w:spacing w:val="-16"/>
          <w:sz w:val="23"/>
        </w:rPr>
        <w:t> </w:t>
      </w:r>
      <w:r>
        <w:rPr>
          <w:i/>
          <w:sz w:val="23"/>
        </w:rPr>
        <w:t>mama</w:t>
      </w:r>
      <w:r>
        <w:rPr>
          <w:sz w:val="23"/>
        </w:rPr>
        <w:t>;</w:t>
      </w:r>
    </w:p>
    <w:p>
      <w:pPr>
        <w:pStyle w:val="ListParagraph"/>
        <w:numPr>
          <w:ilvl w:val="1"/>
          <w:numId w:val="13"/>
        </w:numPr>
        <w:tabs>
          <w:tab w:pos="790" w:val="left" w:leader="none"/>
        </w:tabs>
        <w:spacing w:line="250" w:lineRule="exact" w:before="0" w:after="0"/>
        <w:ind w:left="789" w:right="0" w:hanging="280"/>
        <w:jc w:val="left"/>
        <w:rPr>
          <w:sz w:val="23"/>
        </w:rPr>
      </w:pPr>
      <w:r>
        <w:rPr>
          <w:i/>
          <w:sz w:val="23"/>
        </w:rPr>
        <w:t>prevención, detección y atención temprana del cáncer de</w:t>
      </w:r>
      <w:r>
        <w:rPr>
          <w:i/>
          <w:spacing w:val="-13"/>
          <w:sz w:val="23"/>
        </w:rPr>
        <w:t> </w:t>
      </w:r>
      <w:r>
        <w:rPr>
          <w:i/>
          <w:sz w:val="23"/>
        </w:rPr>
        <w:t>cérvix</w:t>
      </w:r>
      <w:r>
        <w:rPr>
          <w:sz w:val="23"/>
        </w:rPr>
        <w:t>;</w:t>
      </w:r>
    </w:p>
    <w:p>
      <w:pPr>
        <w:pStyle w:val="ListParagraph"/>
        <w:numPr>
          <w:ilvl w:val="1"/>
          <w:numId w:val="13"/>
        </w:numPr>
        <w:tabs>
          <w:tab w:pos="790" w:val="left" w:leader="none"/>
        </w:tabs>
        <w:spacing w:line="250" w:lineRule="exact" w:before="7" w:after="0"/>
        <w:ind w:left="789" w:right="116" w:hanging="280"/>
        <w:jc w:val="left"/>
        <w:rPr>
          <w:sz w:val="23"/>
        </w:rPr>
      </w:pPr>
      <w:r>
        <w:rPr>
          <w:i/>
          <w:sz w:val="23"/>
        </w:rPr>
        <w:t>arranque parejo en la vida </w:t>
      </w:r>
      <w:r>
        <w:rPr>
          <w:sz w:val="23"/>
        </w:rPr>
        <w:t>(embarazo saludable, parto seguro y puerperio sin</w:t>
      </w:r>
      <w:r>
        <w:rPr>
          <w:spacing w:val="-2"/>
          <w:sz w:val="23"/>
        </w:rPr>
        <w:t> </w:t>
      </w:r>
      <w:r>
        <w:rPr>
          <w:sz w:val="23"/>
        </w:rPr>
        <w:t>complicaciones);</w:t>
      </w:r>
    </w:p>
    <w:p>
      <w:pPr>
        <w:pStyle w:val="ListParagraph"/>
        <w:numPr>
          <w:ilvl w:val="1"/>
          <w:numId w:val="13"/>
        </w:numPr>
        <w:tabs>
          <w:tab w:pos="790" w:val="left" w:leader="none"/>
        </w:tabs>
        <w:spacing w:line="243" w:lineRule="exact" w:before="0" w:after="0"/>
        <w:ind w:left="789" w:right="0" w:hanging="280"/>
        <w:jc w:val="left"/>
        <w:rPr>
          <w:sz w:val="23"/>
        </w:rPr>
      </w:pPr>
      <w:r>
        <w:rPr>
          <w:i/>
          <w:sz w:val="23"/>
        </w:rPr>
        <w:t>planificación familiar y</w:t>
      </w:r>
      <w:r>
        <w:rPr>
          <w:i/>
          <w:spacing w:val="-14"/>
          <w:sz w:val="23"/>
        </w:rPr>
        <w:t> </w:t>
      </w:r>
      <w:r>
        <w:rPr>
          <w:i/>
          <w:sz w:val="23"/>
        </w:rPr>
        <w:t>anticoncepción</w:t>
      </w:r>
      <w:r>
        <w:rPr>
          <w:sz w:val="23"/>
        </w:rPr>
        <w:t>;</w:t>
      </w:r>
    </w:p>
    <w:p>
      <w:pPr>
        <w:pStyle w:val="ListParagraph"/>
        <w:numPr>
          <w:ilvl w:val="1"/>
          <w:numId w:val="13"/>
        </w:numPr>
        <w:tabs>
          <w:tab w:pos="790" w:val="left" w:leader="none"/>
        </w:tabs>
        <w:spacing w:line="250" w:lineRule="exact" w:before="7" w:after="0"/>
        <w:ind w:left="789" w:right="116" w:hanging="280"/>
        <w:jc w:val="left"/>
        <w:rPr>
          <w:sz w:val="23"/>
        </w:rPr>
      </w:pPr>
      <w:r>
        <w:rPr>
          <w:i/>
          <w:sz w:val="23"/>
        </w:rPr>
        <w:t>prevención</w:t>
      </w:r>
      <w:r>
        <w:rPr>
          <w:i/>
          <w:spacing w:val="-14"/>
          <w:sz w:val="23"/>
        </w:rPr>
        <w:t> </w:t>
      </w:r>
      <w:r>
        <w:rPr>
          <w:i/>
          <w:sz w:val="23"/>
        </w:rPr>
        <w:t>y</w:t>
      </w:r>
      <w:r>
        <w:rPr>
          <w:i/>
          <w:spacing w:val="-14"/>
          <w:sz w:val="23"/>
        </w:rPr>
        <w:t> </w:t>
      </w:r>
      <w:r>
        <w:rPr>
          <w:i/>
          <w:sz w:val="23"/>
        </w:rPr>
        <w:t>control</w:t>
      </w:r>
      <w:r>
        <w:rPr>
          <w:i/>
          <w:spacing w:val="-14"/>
          <w:sz w:val="23"/>
        </w:rPr>
        <w:t> </w:t>
      </w:r>
      <w:r>
        <w:rPr>
          <w:i/>
          <w:sz w:val="23"/>
        </w:rPr>
        <w:t>del</w:t>
      </w:r>
      <w:r>
        <w:rPr>
          <w:i/>
          <w:spacing w:val="-14"/>
          <w:sz w:val="23"/>
        </w:rPr>
        <w:t> </w:t>
      </w:r>
      <w:r>
        <w:rPr>
          <w:i/>
          <w:sz w:val="23"/>
        </w:rPr>
        <w:t>VIH</w:t>
      </w:r>
      <w:r>
        <w:rPr>
          <w:i/>
          <w:spacing w:val="-14"/>
          <w:sz w:val="23"/>
        </w:rPr>
        <w:t> </w:t>
      </w:r>
      <w:r>
        <w:rPr>
          <w:i/>
          <w:sz w:val="23"/>
        </w:rPr>
        <w:t>y</w:t>
      </w:r>
      <w:r>
        <w:rPr>
          <w:i/>
          <w:spacing w:val="-14"/>
          <w:sz w:val="23"/>
        </w:rPr>
        <w:t> </w:t>
      </w:r>
      <w:r>
        <w:rPr>
          <w:i/>
          <w:sz w:val="23"/>
        </w:rPr>
        <w:t>otras</w:t>
      </w:r>
      <w:r>
        <w:rPr>
          <w:i/>
          <w:spacing w:val="-14"/>
          <w:sz w:val="23"/>
        </w:rPr>
        <w:t> </w:t>
      </w:r>
      <w:r>
        <w:rPr>
          <w:i/>
          <w:sz w:val="23"/>
        </w:rPr>
        <w:t>infecciones</w:t>
      </w:r>
      <w:r>
        <w:rPr>
          <w:i/>
          <w:spacing w:val="-15"/>
          <w:sz w:val="23"/>
        </w:rPr>
        <w:t> </w:t>
      </w:r>
      <w:r>
        <w:rPr>
          <w:i/>
          <w:sz w:val="23"/>
        </w:rPr>
        <w:t>de</w:t>
      </w:r>
      <w:r>
        <w:rPr>
          <w:i/>
          <w:spacing w:val="-14"/>
          <w:sz w:val="23"/>
        </w:rPr>
        <w:t> </w:t>
      </w:r>
      <w:r>
        <w:rPr>
          <w:i/>
          <w:sz w:val="23"/>
        </w:rPr>
        <w:t>transmisión</w:t>
      </w:r>
      <w:r>
        <w:rPr>
          <w:i/>
          <w:spacing w:val="-15"/>
          <w:sz w:val="23"/>
        </w:rPr>
        <w:t> </w:t>
      </w:r>
      <w:r>
        <w:rPr>
          <w:i/>
          <w:sz w:val="23"/>
        </w:rPr>
        <w:t>sexual </w:t>
      </w:r>
      <w:r>
        <w:rPr>
          <w:i/>
          <w:sz w:val="23"/>
        </w:rPr>
        <w:t>(ITS)</w:t>
      </w:r>
      <w:r>
        <w:rPr>
          <w:sz w:val="23"/>
        </w:rPr>
        <w:t>;</w:t>
      </w:r>
    </w:p>
    <w:p>
      <w:pPr>
        <w:pStyle w:val="ListParagraph"/>
        <w:numPr>
          <w:ilvl w:val="1"/>
          <w:numId w:val="13"/>
        </w:numPr>
        <w:tabs>
          <w:tab w:pos="790" w:val="left" w:leader="none"/>
        </w:tabs>
        <w:spacing w:line="243" w:lineRule="exact" w:before="0" w:after="0"/>
        <w:ind w:left="789" w:right="0" w:hanging="280"/>
        <w:jc w:val="left"/>
        <w:rPr>
          <w:sz w:val="23"/>
        </w:rPr>
      </w:pPr>
      <w:r>
        <w:rPr>
          <w:i/>
          <w:sz w:val="23"/>
        </w:rPr>
        <w:t>prevención y control del</w:t>
      </w:r>
      <w:r>
        <w:rPr>
          <w:i/>
          <w:spacing w:val="-20"/>
          <w:sz w:val="23"/>
        </w:rPr>
        <w:t> </w:t>
      </w:r>
      <w:r>
        <w:rPr>
          <w:i/>
          <w:sz w:val="23"/>
        </w:rPr>
        <w:t>dengue</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prevención, atención y rehabilitación de personas con</w:t>
      </w:r>
      <w:r>
        <w:rPr>
          <w:i/>
          <w:spacing w:val="-23"/>
          <w:sz w:val="23"/>
        </w:rPr>
        <w:t> </w:t>
      </w:r>
      <w:r>
        <w:rPr>
          <w:i/>
          <w:sz w:val="23"/>
        </w:rPr>
        <w:t>discapacidad</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salud mental,</w:t>
      </w:r>
      <w:r>
        <w:rPr>
          <w:i/>
          <w:spacing w:val="-20"/>
          <w:sz w:val="23"/>
        </w:rPr>
        <w:t> </w:t>
      </w:r>
      <w:r>
        <w:rPr>
          <w:i/>
          <w:sz w:val="23"/>
        </w:rPr>
        <w:t>depresión</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promoción de la salud: hacia una nueva cultura por la</w:t>
      </w:r>
      <w:r>
        <w:rPr>
          <w:i/>
          <w:spacing w:val="-23"/>
          <w:sz w:val="23"/>
        </w:rPr>
        <w:t> </w:t>
      </w:r>
      <w:r>
        <w:rPr>
          <w:i/>
          <w:sz w:val="23"/>
        </w:rPr>
        <w:t>salud</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entorno y comunidades saludables </w:t>
      </w:r>
      <w:r>
        <w:rPr>
          <w:sz w:val="23"/>
        </w:rPr>
        <w:t>(vinculación municipal en</w:t>
      </w:r>
      <w:r>
        <w:rPr>
          <w:spacing w:val="-20"/>
          <w:sz w:val="23"/>
        </w:rPr>
        <w:t> </w:t>
      </w:r>
      <w:r>
        <w:rPr>
          <w:sz w:val="23"/>
        </w:rPr>
        <w:t>salud);</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atención al</w:t>
      </w:r>
      <w:r>
        <w:rPr>
          <w:i/>
          <w:spacing w:val="-1"/>
          <w:sz w:val="23"/>
        </w:rPr>
        <w:t> </w:t>
      </w:r>
      <w:r>
        <w:rPr>
          <w:i/>
          <w:sz w:val="23"/>
        </w:rPr>
        <w:t>envejecimiento</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salud sexual y reproductiva de los</w:t>
      </w:r>
      <w:r>
        <w:rPr>
          <w:i/>
          <w:spacing w:val="-29"/>
          <w:sz w:val="23"/>
        </w:rPr>
        <w:t> </w:t>
      </w:r>
      <w:r>
        <w:rPr>
          <w:i/>
          <w:sz w:val="23"/>
        </w:rPr>
        <w:t>adolescentes</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prevención y atención de la violencia familiar y de</w:t>
      </w:r>
      <w:r>
        <w:rPr>
          <w:i/>
          <w:spacing w:val="-23"/>
          <w:sz w:val="23"/>
        </w:rPr>
        <w:t> </w:t>
      </w:r>
      <w:r>
        <w:rPr>
          <w:i/>
          <w:sz w:val="23"/>
        </w:rPr>
        <w:t>género</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igualdad de género en</w:t>
      </w:r>
      <w:r>
        <w:rPr>
          <w:i/>
          <w:spacing w:val="-15"/>
          <w:sz w:val="23"/>
        </w:rPr>
        <w:t> </w:t>
      </w:r>
      <w:r>
        <w:rPr>
          <w:i/>
          <w:sz w:val="23"/>
        </w:rPr>
        <w:t>salud</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prevención y  control de la</w:t>
      </w:r>
      <w:r>
        <w:rPr>
          <w:i/>
          <w:spacing w:val="-30"/>
          <w:sz w:val="23"/>
        </w:rPr>
        <w:t> </w:t>
      </w:r>
      <w:r>
        <w:rPr>
          <w:i/>
          <w:sz w:val="23"/>
        </w:rPr>
        <w:t>tuberculosis</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prevención y control del</w:t>
      </w:r>
      <w:r>
        <w:rPr>
          <w:i/>
          <w:spacing w:val="-20"/>
          <w:sz w:val="23"/>
        </w:rPr>
        <w:t> </w:t>
      </w:r>
      <w:r>
        <w:rPr>
          <w:i/>
          <w:sz w:val="23"/>
        </w:rPr>
        <w:t>paludismo</w:t>
      </w:r>
      <w:r>
        <w:rPr>
          <w:sz w:val="23"/>
        </w:rPr>
        <w:t>;</w:t>
      </w:r>
    </w:p>
    <w:p>
      <w:pPr>
        <w:pStyle w:val="ListParagraph"/>
        <w:numPr>
          <w:ilvl w:val="1"/>
          <w:numId w:val="13"/>
        </w:numPr>
        <w:tabs>
          <w:tab w:pos="790" w:val="left" w:leader="none"/>
        </w:tabs>
        <w:spacing w:line="250" w:lineRule="exact" w:before="7" w:after="0"/>
        <w:ind w:left="789" w:right="116" w:hanging="400"/>
        <w:jc w:val="left"/>
        <w:rPr>
          <w:sz w:val="23"/>
        </w:rPr>
      </w:pPr>
      <w:r>
        <w:rPr>
          <w:i/>
          <w:sz w:val="23"/>
        </w:rPr>
        <w:t>prevención y control de la rabia humana transmitida por el perro y </w:t>
      </w:r>
      <w:r>
        <w:rPr>
          <w:i/>
          <w:sz w:val="23"/>
        </w:rPr>
        <w:t>otras</w:t>
      </w:r>
      <w:r>
        <w:rPr>
          <w:i/>
          <w:spacing w:val="-8"/>
          <w:sz w:val="23"/>
        </w:rPr>
        <w:t> </w:t>
      </w:r>
      <w:r>
        <w:rPr>
          <w:i/>
          <w:sz w:val="23"/>
        </w:rPr>
        <w:t>zoonosis</w:t>
      </w:r>
      <w:r>
        <w:rPr>
          <w:sz w:val="23"/>
        </w:rPr>
        <w:t>;</w:t>
      </w:r>
    </w:p>
    <w:p>
      <w:pPr>
        <w:pStyle w:val="ListParagraph"/>
        <w:numPr>
          <w:ilvl w:val="1"/>
          <w:numId w:val="13"/>
        </w:numPr>
        <w:tabs>
          <w:tab w:pos="790" w:val="left" w:leader="none"/>
        </w:tabs>
        <w:spacing w:line="243" w:lineRule="exact" w:before="0" w:after="0"/>
        <w:ind w:left="789" w:right="0" w:hanging="400"/>
        <w:jc w:val="left"/>
        <w:rPr>
          <w:sz w:val="23"/>
        </w:rPr>
      </w:pPr>
      <w:r>
        <w:rPr>
          <w:i/>
          <w:sz w:val="23"/>
        </w:rPr>
        <w:t>prevención y control de urgencias epidemiológicas y</w:t>
      </w:r>
      <w:r>
        <w:rPr>
          <w:i/>
          <w:spacing w:val="-39"/>
          <w:sz w:val="23"/>
        </w:rPr>
        <w:t> </w:t>
      </w:r>
      <w:r>
        <w:rPr>
          <w:i/>
          <w:sz w:val="23"/>
        </w:rPr>
        <w:t>desastres</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vigilancia</w:t>
      </w:r>
      <w:r>
        <w:rPr>
          <w:i/>
          <w:spacing w:val="-2"/>
          <w:sz w:val="23"/>
        </w:rPr>
        <w:t> </w:t>
      </w:r>
      <w:r>
        <w:rPr>
          <w:i/>
          <w:sz w:val="23"/>
        </w:rPr>
        <w:t>epidemiológica</w:t>
      </w:r>
      <w:r>
        <w:rPr>
          <w:sz w:val="23"/>
        </w:rPr>
        <w:t>;</w:t>
      </w:r>
    </w:p>
    <w:p>
      <w:pPr>
        <w:pStyle w:val="ListParagraph"/>
        <w:numPr>
          <w:ilvl w:val="1"/>
          <w:numId w:val="13"/>
        </w:numPr>
        <w:tabs>
          <w:tab w:pos="790" w:val="left" w:leader="none"/>
        </w:tabs>
        <w:spacing w:line="250" w:lineRule="exact" w:before="0" w:after="0"/>
        <w:ind w:left="789" w:right="0" w:hanging="400"/>
        <w:jc w:val="left"/>
        <w:rPr>
          <w:sz w:val="23"/>
        </w:rPr>
      </w:pPr>
      <w:r>
        <w:rPr>
          <w:i/>
          <w:sz w:val="23"/>
        </w:rPr>
        <w:t>programa vete sano, </w:t>
      </w:r>
      <w:r>
        <w:rPr>
          <w:i/>
          <w:spacing w:val="-3"/>
          <w:sz w:val="23"/>
        </w:rPr>
        <w:t>regresa</w:t>
      </w:r>
      <w:r>
        <w:rPr>
          <w:i/>
          <w:spacing w:val="-16"/>
          <w:sz w:val="23"/>
        </w:rPr>
        <w:t> </w:t>
      </w:r>
      <w:r>
        <w:rPr>
          <w:i/>
          <w:sz w:val="23"/>
        </w:rPr>
        <w:t>sano</w:t>
      </w:r>
      <w:r>
        <w:rPr>
          <w:sz w:val="23"/>
        </w:rPr>
        <w:t>;</w:t>
      </w:r>
    </w:p>
    <w:p>
      <w:pPr>
        <w:pStyle w:val="ListParagraph"/>
        <w:numPr>
          <w:ilvl w:val="1"/>
          <w:numId w:val="13"/>
        </w:numPr>
        <w:tabs>
          <w:tab w:pos="790" w:val="left" w:leader="none"/>
        </w:tabs>
        <w:spacing w:line="257" w:lineRule="exact" w:before="0" w:after="0"/>
        <w:ind w:left="789" w:right="0" w:hanging="400"/>
        <w:jc w:val="left"/>
        <w:rPr>
          <w:sz w:val="23"/>
        </w:rPr>
      </w:pPr>
      <w:r>
        <w:rPr/>
        <w:pict>
          <v:line style="position:absolute;mso-position-horizontal-relative:page;mso-position-vertical-relative:paragraph;z-index:3208;mso-wrap-distance-left:0;mso-wrap-distance-right:0" from="42.519699pt,15.007042pt" to="114.519699pt,15.007042pt" stroked="true" strokeweight="1pt" strokecolor="#000000">
            <w10:wrap type="topAndBottom"/>
          </v:line>
        </w:pict>
      </w:r>
      <w:r>
        <w:rPr>
          <w:i/>
          <w:sz w:val="23"/>
        </w:rPr>
        <w:t>salud</w:t>
      </w:r>
      <w:r>
        <w:rPr>
          <w:i/>
          <w:spacing w:val="-4"/>
          <w:sz w:val="23"/>
        </w:rPr>
        <w:t> </w:t>
      </w:r>
      <w:r>
        <w:rPr>
          <w:i/>
          <w:sz w:val="23"/>
        </w:rPr>
        <w:t>bucal</w:t>
      </w:r>
      <w:r>
        <w:rPr>
          <w:sz w:val="23"/>
        </w:rPr>
        <w:t>;</w:t>
      </w:r>
    </w:p>
    <w:p>
      <w:pPr>
        <w:spacing w:line="249" w:lineRule="auto" w:before="28"/>
        <w:ind w:left="393" w:right="140" w:hanging="284"/>
        <w:jc w:val="left"/>
        <w:rPr>
          <w:sz w:val="18"/>
        </w:rPr>
      </w:pPr>
      <w:r>
        <w:rPr>
          <w:position w:val="7"/>
          <w:sz w:val="11"/>
        </w:rPr>
        <w:t>203 </w:t>
      </w:r>
      <w:r>
        <w:rPr>
          <w:sz w:val="18"/>
        </w:rPr>
        <w:t>Información proporcionada para esta investigación por el director de planeación del sector salud estatal, 18 de octubre del</w:t>
      </w:r>
      <w:r>
        <w:rPr>
          <w:spacing w:val="-5"/>
          <w:sz w:val="18"/>
        </w:rPr>
        <w:t> </w:t>
      </w:r>
      <w:r>
        <w:rPr>
          <w:sz w:val="18"/>
        </w:rPr>
        <w:t>2010.</w:t>
      </w:r>
    </w:p>
    <w:p>
      <w:pPr>
        <w:spacing w:after="0" w:line="249" w:lineRule="auto"/>
        <w:jc w:val="left"/>
        <w:rPr>
          <w:sz w:val="18"/>
        </w:rPr>
        <w:sectPr>
          <w:pgSz w:w="9360" w:h="13040"/>
          <w:pgMar w:header="547" w:footer="515" w:top="720" w:bottom="700" w:left="740" w:right="1300"/>
        </w:sectPr>
      </w:pPr>
    </w:p>
    <w:p>
      <w:pPr>
        <w:pStyle w:val="BodyText"/>
        <w:spacing w:before="11"/>
        <w:rPr>
          <w:sz w:val="29"/>
        </w:rPr>
      </w:pPr>
    </w:p>
    <w:p>
      <w:pPr>
        <w:pStyle w:val="ListParagraph"/>
        <w:numPr>
          <w:ilvl w:val="1"/>
          <w:numId w:val="13"/>
        </w:numPr>
        <w:tabs>
          <w:tab w:pos="798" w:val="left" w:leader="none"/>
        </w:tabs>
        <w:spacing w:line="257" w:lineRule="exact" w:before="71" w:after="0"/>
        <w:ind w:left="797" w:right="0" w:hanging="400"/>
        <w:jc w:val="left"/>
        <w:rPr>
          <w:sz w:val="23"/>
        </w:rPr>
      </w:pPr>
      <w:r>
        <w:rPr>
          <w:i/>
          <w:sz w:val="23"/>
        </w:rPr>
        <w:t>prevención y control de</w:t>
      </w:r>
      <w:r>
        <w:rPr>
          <w:i/>
          <w:spacing w:val="-20"/>
          <w:sz w:val="23"/>
        </w:rPr>
        <w:t> </w:t>
      </w:r>
      <w:r>
        <w:rPr>
          <w:i/>
          <w:sz w:val="23"/>
        </w:rPr>
        <w:t>cólera</w:t>
      </w:r>
      <w:r>
        <w:rPr>
          <w:sz w:val="23"/>
        </w:rPr>
        <w:t>;</w:t>
      </w:r>
    </w:p>
    <w:p>
      <w:pPr>
        <w:pStyle w:val="ListParagraph"/>
        <w:numPr>
          <w:ilvl w:val="1"/>
          <w:numId w:val="13"/>
        </w:numPr>
        <w:tabs>
          <w:tab w:pos="798" w:val="left" w:leader="none"/>
        </w:tabs>
        <w:spacing w:line="250" w:lineRule="exact" w:before="0" w:after="0"/>
        <w:ind w:left="797" w:right="0" w:hanging="400"/>
        <w:jc w:val="left"/>
        <w:rPr>
          <w:sz w:val="23"/>
        </w:rPr>
      </w:pPr>
      <w:r>
        <w:rPr>
          <w:i/>
          <w:sz w:val="23"/>
        </w:rPr>
        <w:t>prevención y control de la</w:t>
      </w:r>
      <w:r>
        <w:rPr>
          <w:i/>
          <w:spacing w:val="-21"/>
          <w:sz w:val="23"/>
        </w:rPr>
        <w:t> </w:t>
      </w:r>
      <w:r>
        <w:rPr>
          <w:i/>
          <w:sz w:val="23"/>
        </w:rPr>
        <w:t>lepra</w:t>
      </w:r>
      <w:r>
        <w:rPr>
          <w:sz w:val="23"/>
        </w:rPr>
        <w:t>;</w:t>
      </w:r>
    </w:p>
    <w:p>
      <w:pPr>
        <w:pStyle w:val="ListParagraph"/>
        <w:numPr>
          <w:ilvl w:val="1"/>
          <w:numId w:val="13"/>
        </w:numPr>
        <w:tabs>
          <w:tab w:pos="798" w:val="left" w:leader="none"/>
        </w:tabs>
        <w:spacing w:line="250" w:lineRule="exact" w:before="7" w:after="0"/>
        <w:ind w:left="797" w:right="108" w:hanging="400"/>
        <w:jc w:val="left"/>
        <w:rPr>
          <w:sz w:val="23"/>
        </w:rPr>
      </w:pPr>
      <w:r>
        <w:rPr>
          <w:i/>
          <w:sz w:val="23"/>
        </w:rPr>
        <w:t>otras enfermedades de transmisión viral </w:t>
      </w:r>
      <w:r>
        <w:rPr>
          <w:spacing w:val="-6"/>
          <w:sz w:val="23"/>
        </w:rPr>
        <w:t>(ETV, </w:t>
      </w:r>
      <w:r>
        <w:rPr>
          <w:sz w:val="23"/>
        </w:rPr>
        <w:t>oncocercosis, intoxicación</w:t>
      </w:r>
      <w:r>
        <w:rPr>
          <w:spacing w:val="-9"/>
          <w:sz w:val="23"/>
        </w:rPr>
        <w:t> </w:t>
      </w:r>
      <w:r>
        <w:rPr>
          <w:sz w:val="23"/>
        </w:rPr>
        <w:t>por</w:t>
      </w:r>
      <w:r>
        <w:rPr>
          <w:spacing w:val="-8"/>
          <w:sz w:val="23"/>
        </w:rPr>
        <w:t> </w:t>
      </w:r>
      <w:r>
        <w:rPr>
          <w:sz w:val="23"/>
        </w:rPr>
        <w:t>picadura</w:t>
      </w:r>
      <w:r>
        <w:rPr>
          <w:spacing w:val="-8"/>
          <w:sz w:val="23"/>
        </w:rPr>
        <w:t> </w:t>
      </w:r>
      <w:r>
        <w:rPr>
          <w:sz w:val="23"/>
        </w:rPr>
        <w:t>de</w:t>
      </w:r>
      <w:r>
        <w:rPr>
          <w:spacing w:val="-8"/>
          <w:sz w:val="23"/>
        </w:rPr>
        <w:t> </w:t>
      </w:r>
      <w:r>
        <w:rPr>
          <w:sz w:val="23"/>
        </w:rPr>
        <w:t>alacrán,</w:t>
      </w:r>
      <w:r>
        <w:rPr>
          <w:spacing w:val="-9"/>
          <w:sz w:val="23"/>
        </w:rPr>
        <w:t> </w:t>
      </w:r>
      <w:r>
        <w:rPr>
          <w:sz w:val="23"/>
        </w:rPr>
        <w:t>chagas,</w:t>
      </w:r>
      <w:r>
        <w:rPr>
          <w:spacing w:val="-9"/>
          <w:sz w:val="23"/>
        </w:rPr>
        <w:t> </w:t>
      </w:r>
      <w:r>
        <w:rPr>
          <w:sz w:val="23"/>
        </w:rPr>
        <w:t>virus</w:t>
      </w:r>
      <w:r>
        <w:rPr>
          <w:spacing w:val="-8"/>
          <w:sz w:val="23"/>
        </w:rPr>
        <w:t> </w:t>
      </w:r>
      <w:r>
        <w:rPr>
          <w:sz w:val="23"/>
        </w:rPr>
        <w:t>del</w:t>
      </w:r>
      <w:r>
        <w:rPr>
          <w:spacing w:val="-8"/>
          <w:sz w:val="23"/>
        </w:rPr>
        <w:t> </w:t>
      </w:r>
      <w:r>
        <w:rPr>
          <w:sz w:val="23"/>
        </w:rPr>
        <w:t>oeste</w:t>
      </w:r>
      <w:r>
        <w:rPr>
          <w:spacing w:val="-8"/>
          <w:sz w:val="23"/>
        </w:rPr>
        <w:t> </w:t>
      </w:r>
      <w:r>
        <w:rPr>
          <w:sz w:val="23"/>
        </w:rPr>
        <w:t>del</w:t>
      </w:r>
      <w:r>
        <w:rPr>
          <w:spacing w:val="-8"/>
          <w:sz w:val="23"/>
        </w:rPr>
        <w:t> </w:t>
      </w:r>
      <w:r>
        <w:rPr>
          <w:sz w:val="23"/>
        </w:rPr>
        <w:t>Nilo);</w:t>
      </w:r>
    </w:p>
    <w:p>
      <w:pPr>
        <w:pStyle w:val="ListParagraph"/>
        <w:numPr>
          <w:ilvl w:val="1"/>
          <w:numId w:val="13"/>
        </w:numPr>
        <w:tabs>
          <w:tab w:pos="798" w:val="left" w:leader="none"/>
        </w:tabs>
        <w:spacing w:line="243" w:lineRule="exact" w:before="0" w:after="0"/>
        <w:ind w:left="797" w:right="0" w:hanging="400"/>
        <w:jc w:val="left"/>
        <w:rPr>
          <w:sz w:val="23"/>
        </w:rPr>
      </w:pPr>
      <w:r>
        <w:rPr>
          <w:i/>
          <w:sz w:val="23"/>
        </w:rPr>
        <w:t>prevención y tratamiento de adicciones</w:t>
      </w:r>
      <w:r>
        <w:rPr>
          <w:sz w:val="23"/>
        </w:rPr>
        <w:t>;</w:t>
      </w:r>
      <w:r>
        <w:rPr>
          <w:spacing w:val="-12"/>
          <w:sz w:val="23"/>
        </w:rPr>
        <w:t> </w:t>
      </w:r>
      <w:r>
        <w:rPr>
          <w:sz w:val="23"/>
        </w:rPr>
        <w:t>y</w:t>
      </w:r>
    </w:p>
    <w:p>
      <w:pPr>
        <w:pStyle w:val="ListParagraph"/>
        <w:numPr>
          <w:ilvl w:val="1"/>
          <w:numId w:val="13"/>
        </w:numPr>
        <w:tabs>
          <w:tab w:pos="798" w:val="left" w:leader="none"/>
        </w:tabs>
        <w:spacing w:line="250" w:lineRule="exact" w:before="7" w:after="0"/>
        <w:ind w:left="797" w:right="108" w:hanging="400"/>
        <w:jc w:val="left"/>
        <w:rPr>
          <w:sz w:val="23"/>
        </w:rPr>
      </w:pPr>
      <w:r>
        <w:rPr>
          <w:i/>
          <w:sz w:val="23"/>
        </w:rPr>
        <w:t>escuela y salud </w:t>
      </w:r>
      <w:r>
        <w:rPr>
          <w:sz w:val="23"/>
        </w:rPr>
        <w:t>(vinculación en salud con escuelas desde nivel básico hasta superior)</w:t>
      </w:r>
      <w:r>
        <w:rPr>
          <w:spacing w:val="-26"/>
          <w:sz w:val="23"/>
        </w:rPr>
        <w:t> </w:t>
      </w:r>
      <w:r>
        <w:rPr>
          <w:position w:val="8"/>
          <w:sz w:val="13"/>
        </w:rPr>
        <w:t>204</w:t>
      </w:r>
      <w:r>
        <w:rPr>
          <w:sz w:val="23"/>
        </w:rPr>
        <w:t>.</w:t>
      </w:r>
    </w:p>
    <w:p>
      <w:pPr>
        <w:pStyle w:val="BodyText"/>
        <w:spacing w:before="8"/>
        <w:rPr>
          <w:sz w:val="21"/>
        </w:rPr>
      </w:pPr>
    </w:p>
    <w:p>
      <w:pPr>
        <w:pStyle w:val="BodyText"/>
        <w:spacing w:line="250" w:lineRule="exact"/>
        <w:ind w:left="117" w:right="107"/>
        <w:jc w:val="both"/>
      </w:pPr>
      <w:r>
        <w:rPr/>
        <w:t>Adicionalmente, el equipamiento del sector salud estatal está integrado por un centro estatal de transfusión sanguínea, un laboratorio estatal de salud pública, ciento sesenta y ocho equipos de salud itinerantes (ESI), quince hospitales, cuatrocientos setenta centros de salud, cinco unidades móviles dentales, veintidós unidades especializadas y once caravanas de salud</w:t>
      </w:r>
      <w:r>
        <w:rPr>
          <w:position w:val="8"/>
          <w:sz w:val="13"/>
        </w:rPr>
        <w:t>205</w:t>
      </w:r>
      <w:r>
        <w:rPr/>
        <w:t>.</w:t>
      </w:r>
    </w:p>
    <w:p>
      <w:pPr>
        <w:pStyle w:val="BodyText"/>
        <w:spacing w:before="5"/>
        <w:rPr>
          <w:sz w:val="20"/>
        </w:rPr>
      </w:pPr>
    </w:p>
    <w:p>
      <w:pPr>
        <w:pStyle w:val="Heading3"/>
      </w:pPr>
      <w:r>
        <w:rPr/>
        <w:t>El Sistema Estatal para el Desarrollo Integral de la Familia (DIFEH).</w:t>
      </w:r>
    </w:p>
    <w:p>
      <w:pPr>
        <w:pStyle w:val="BodyText"/>
        <w:spacing w:before="4"/>
        <w:rPr>
          <w:b/>
          <w:sz w:val="21"/>
        </w:rPr>
      </w:pPr>
    </w:p>
    <w:p>
      <w:pPr>
        <w:spacing w:line="228" w:lineRule="auto" w:before="0"/>
        <w:ind w:left="117" w:right="107" w:firstLine="0"/>
        <w:jc w:val="both"/>
        <w:rPr>
          <w:sz w:val="23"/>
        </w:rPr>
      </w:pPr>
      <w:r>
        <w:rPr>
          <w:sz w:val="23"/>
        </w:rPr>
        <w:t>La estrategia del DIFEH está definida por dieciocho esquemas que descentraliza el sector análogo federal, de los cuales dos son de capacitación y</w:t>
      </w:r>
      <w:r>
        <w:rPr>
          <w:spacing w:val="-6"/>
          <w:sz w:val="23"/>
        </w:rPr>
        <w:t> </w:t>
      </w:r>
      <w:r>
        <w:rPr>
          <w:sz w:val="23"/>
        </w:rPr>
        <w:t>dieciséis</w:t>
      </w:r>
      <w:r>
        <w:rPr>
          <w:spacing w:val="-6"/>
          <w:sz w:val="23"/>
        </w:rPr>
        <w:t> </w:t>
      </w:r>
      <w:r>
        <w:rPr>
          <w:sz w:val="23"/>
        </w:rPr>
        <w:t>asistenciales:</w:t>
      </w:r>
      <w:r>
        <w:rPr>
          <w:spacing w:val="-7"/>
          <w:sz w:val="23"/>
        </w:rPr>
        <w:t> </w:t>
      </w:r>
      <w:r>
        <w:rPr>
          <w:sz w:val="23"/>
        </w:rPr>
        <w:t>1)</w:t>
      </w:r>
      <w:r>
        <w:rPr>
          <w:spacing w:val="-6"/>
          <w:sz w:val="23"/>
        </w:rPr>
        <w:t> </w:t>
      </w:r>
      <w:r>
        <w:rPr>
          <w:i/>
          <w:sz w:val="23"/>
        </w:rPr>
        <w:t>espacios</w:t>
      </w:r>
      <w:r>
        <w:rPr>
          <w:i/>
          <w:spacing w:val="-6"/>
          <w:sz w:val="23"/>
        </w:rPr>
        <w:t> </w:t>
      </w:r>
      <w:r>
        <w:rPr>
          <w:i/>
          <w:sz w:val="23"/>
        </w:rPr>
        <w:t>de</w:t>
      </w:r>
      <w:r>
        <w:rPr>
          <w:i/>
          <w:spacing w:val="-6"/>
          <w:sz w:val="23"/>
        </w:rPr>
        <w:t> </w:t>
      </w:r>
      <w:r>
        <w:rPr>
          <w:i/>
          <w:sz w:val="23"/>
        </w:rPr>
        <w:t>alimentación,</w:t>
      </w:r>
      <w:r>
        <w:rPr>
          <w:i/>
          <w:spacing w:val="-6"/>
          <w:sz w:val="23"/>
        </w:rPr>
        <w:t> </w:t>
      </w:r>
      <w:r>
        <w:rPr>
          <w:i/>
          <w:sz w:val="23"/>
        </w:rPr>
        <w:t>encuentro</w:t>
      </w:r>
      <w:r>
        <w:rPr>
          <w:i/>
          <w:spacing w:val="-6"/>
          <w:sz w:val="23"/>
        </w:rPr>
        <w:t> </w:t>
      </w:r>
      <w:r>
        <w:rPr>
          <w:i/>
          <w:sz w:val="23"/>
        </w:rPr>
        <w:t>y</w:t>
      </w:r>
      <w:r>
        <w:rPr>
          <w:i/>
          <w:spacing w:val="-6"/>
          <w:sz w:val="23"/>
        </w:rPr>
        <w:t> </w:t>
      </w:r>
      <w:r>
        <w:rPr>
          <w:i/>
          <w:sz w:val="23"/>
        </w:rPr>
        <w:t>desarrollo</w:t>
      </w:r>
      <w:r>
        <w:rPr>
          <w:sz w:val="23"/>
        </w:rPr>
        <w:t>, distribución</w:t>
      </w:r>
      <w:r>
        <w:rPr>
          <w:spacing w:val="-27"/>
          <w:sz w:val="23"/>
        </w:rPr>
        <w:t> </w:t>
      </w:r>
      <w:r>
        <w:rPr>
          <w:sz w:val="23"/>
        </w:rPr>
        <w:t>de</w:t>
      </w:r>
      <w:r>
        <w:rPr>
          <w:spacing w:val="-27"/>
          <w:sz w:val="23"/>
        </w:rPr>
        <w:t> </w:t>
      </w:r>
      <w:r>
        <w:rPr>
          <w:sz w:val="23"/>
        </w:rPr>
        <w:t>raciones</w:t>
      </w:r>
      <w:r>
        <w:rPr>
          <w:spacing w:val="-27"/>
          <w:sz w:val="23"/>
        </w:rPr>
        <w:t> </w:t>
      </w:r>
      <w:r>
        <w:rPr>
          <w:sz w:val="23"/>
        </w:rPr>
        <w:t>alimenticias</w:t>
      </w:r>
      <w:r>
        <w:rPr>
          <w:spacing w:val="-28"/>
          <w:sz w:val="23"/>
        </w:rPr>
        <w:t> </w:t>
      </w:r>
      <w:r>
        <w:rPr>
          <w:sz w:val="23"/>
        </w:rPr>
        <w:t>diarias</w:t>
      </w:r>
      <w:r>
        <w:rPr>
          <w:spacing w:val="-27"/>
          <w:sz w:val="23"/>
        </w:rPr>
        <w:t> </w:t>
      </w:r>
      <w:r>
        <w:rPr>
          <w:sz w:val="23"/>
        </w:rPr>
        <w:t>elaboradas</w:t>
      </w:r>
      <w:r>
        <w:rPr>
          <w:spacing w:val="-28"/>
          <w:sz w:val="23"/>
        </w:rPr>
        <w:t> </w:t>
      </w:r>
      <w:r>
        <w:rPr>
          <w:i/>
          <w:sz w:val="23"/>
        </w:rPr>
        <w:t>in</w:t>
      </w:r>
      <w:r>
        <w:rPr>
          <w:i/>
          <w:spacing w:val="-27"/>
          <w:sz w:val="23"/>
        </w:rPr>
        <w:t> </w:t>
      </w:r>
      <w:r>
        <w:rPr>
          <w:i/>
          <w:sz w:val="23"/>
        </w:rPr>
        <w:t>situ</w:t>
      </w:r>
      <w:r>
        <w:rPr>
          <w:i/>
          <w:spacing w:val="-27"/>
          <w:sz w:val="23"/>
        </w:rPr>
        <w:t> </w:t>
      </w:r>
      <w:r>
        <w:rPr>
          <w:sz w:val="23"/>
        </w:rPr>
        <w:t>para</w:t>
      </w:r>
      <w:r>
        <w:rPr>
          <w:spacing w:val="-27"/>
          <w:sz w:val="23"/>
        </w:rPr>
        <w:t> </w:t>
      </w:r>
      <w:r>
        <w:rPr>
          <w:sz w:val="23"/>
        </w:rPr>
        <w:t>la</w:t>
      </w:r>
      <w:r>
        <w:rPr>
          <w:spacing w:val="-27"/>
          <w:sz w:val="23"/>
        </w:rPr>
        <w:t> </w:t>
      </w:r>
      <w:r>
        <w:rPr>
          <w:sz w:val="23"/>
        </w:rPr>
        <w:t>población abierta, 92.60% son para menores en edad preescolar y escolar; 2)</w:t>
      </w:r>
      <w:r>
        <w:rPr>
          <w:spacing w:val="-17"/>
          <w:sz w:val="23"/>
        </w:rPr>
        <w:t> </w:t>
      </w:r>
      <w:r>
        <w:rPr>
          <w:i/>
          <w:sz w:val="23"/>
        </w:rPr>
        <w:t>desayunos </w:t>
      </w:r>
      <w:r>
        <w:rPr>
          <w:i/>
          <w:sz w:val="23"/>
        </w:rPr>
        <w:t>calientes, </w:t>
      </w:r>
      <w:r>
        <w:rPr>
          <w:sz w:val="23"/>
        </w:rPr>
        <w:t>reparto de raciones alimenticias de calidad nutricia y orientación alimentaria; 3) </w:t>
      </w:r>
      <w:r>
        <w:rPr>
          <w:i/>
          <w:sz w:val="23"/>
        </w:rPr>
        <w:t>desayunos fríos, </w:t>
      </w:r>
      <w:r>
        <w:rPr>
          <w:sz w:val="23"/>
        </w:rPr>
        <w:t>elaborados para niños en edad preescolar y escolar; 4) </w:t>
      </w:r>
      <w:r>
        <w:rPr>
          <w:i/>
          <w:sz w:val="23"/>
        </w:rPr>
        <w:t>plan Invernal, </w:t>
      </w:r>
      <w:r>
        <w:rPr>
          <w:sz w:val="23"/>
        </w:rPr>
        <w:t>distribución de apoyos en especie para combatir   el frío; 5) </w:t>
      </w:r>
      <w:r>
        <w:rPr>
          <w:i/>
          <w:sz w:val="23"/>
        </w:rPr>
        <w:t>complemento alimenticio</w:t>
      </w:r>
      <w:r>
        <w:rPr>
          <w:sz w:val="23"/>
        </w:rPr>
        <w:t>; 6) </w:t>
      </w:r>
      <w:r>
        <w:rPr>
          <w:i/>
          <w:sz w:val="23"/>
        </w:rPr>
        <w:t>comunidad DIFerente, </w:t>
      </w:r>
      <w:r>
        <w:rPr>
          <w:sz w:val="23"/>
        </w:rPr>
        <w:t>capacitación para proyectos comunitarios; 7) </w:t>
      </w:r>
      <w:r>
        <w:rPr>
          <w:i/>
          <w:sz w:val="23"/>
        </w:rPr>
        <w:t>atención a grupos vulnerables, </w:t>
      </w:r>
      <w:r>
        <w:rPr>
          <w:sz w:val="23"/>
        </w:rPr>
        <w:t>distribución de apoyos en especie para vulnerabilidades específicas; 8) </w:t>
      </w:r>
      <w:r>
        <w:rPr>
          <w:i/>
          <w:sz w:val="23"/>
        </w:rPr>
        <w:t>procuraduría de </w:t>
      </w:r>
      <w:r>
        <w:rPr>
          <w:i/>
          <w:sz w:val="23"/>
        </w:rPr>
        <w:t>la defensa del menor y la familia</w:t>
      </w:r>
      <w:r>
        <w:rPr>
          <w:sz w:val="23"/>
        </w:rPr>
        <w:t>, asesoría jurídica; 9) </w:t>
      </w:r>
      <w:r>
        <w:rPr>
          <w:i/>
          <w:sz w:val="23"/>
        </w:rPr>
        <w:t>casa cuna, </w:t>
      </w:r>
      <w:r>
        <w:rPr>
          <w:sz w:val="23"/>
        </w:rPr>
        <w:t>hogar para menores</w:t>
      </w:r>
      <w:r>
        <w:rPr>
          <w:spacing w:val="-18"/>
          <w:sz w:val="23"/>
        </w:rPr>
        <w:t> </w:t>
      </w:r>
      <w:r>
        <w:rPr>
          <w:sz w:val="23"/>
        </w:rPr>
        <w:t>de</w:t>
      </w:r>
      <w:r>
        <w:rPr>
          <w:spacing w:val="-17"/>
          <w:sz w:val="23"/>
        </w:rPr>
        <w:t> </w:t>
      </w:r>
      <w:r>
        <w:rPr>
          <w:sz w:val="23"/>
        </w:rPr>
        <w:t>cero</w:t>
      </w:r>
      <w:r>
        <w:rPr>
          <w:spacing w:val="-17"/>
          <w:sz w:val="23"/>
        </w:rPr>
        <w:t> </w:t>
      </w:r>
      <w:r>
        <w:rPr>
          <w:sz w:val="23"/>
        </w:rPr>
        <w:t>a</w:t>
      </w:r>
      <w:r>
        <w:rPr>
          <w:spacing w:val="-17"/>
          <w:sz w:val="23"/>
        </w:rPr>
        <w:t> </w:t>
      </w:r>
      <w:r>
        <w:rPr>
          <w:sz w:val="23"/>
        </w:rPr>
        <w:t>seis</w:t>
      </w:r>
      <w:r>
        <w:rPr>
          <w:spacing w:val="-17"/>
          <w:sz w:val="23"/>
        </w:rPr>
        <w:t> </w:t>
      </w:r>
      <w:r>
        <w:rPr>
          <w:sz w:val="23"/>
        </w:rPr>
        <w:t>años</w:t>
      </w:r>
      <w:r>
        <w:rPr>
          <w:spacing w:val="-17"/>
          <w:sz w:val="23"/>
        </w:rPr>
        <w:t> </w:t>
      </w:r>
      <w:r>
        <w:rPr>
          <w:sz w:val="23"/>
        </w:rPr>
        <w:t>mientras</w:t>
      </w:r>
      <w:r>
        <w:rPr>
          <w:spacing w:val="-18"/>
          <w:sz w:val="23"/>
        </w:rPr>
        <w:t> </w:t>
      </w:r>
      <w:r>
        <w:rPr>
          <w:sz w:val="23"/>
        </w:rPr>
        <w:t>se</w:t>
      </w:r>
      <w:r>
        <w:rPr>
          <w:spacing w:val="-17"/>
          <w:sz w:val="23"/>
        </w:rPr>
        <w:t> </w:t>
      </w:r>
      <w:r>
        <w:rPr>
          <w:sz w:val="23"/>
        </w:rPr>
        <w:t>resuelve</w:t>
      </w:r>
      <w:r>
        <w:rPr>
          <w:spacing w:val="-17"/>
          <w:sz w:val="23"/>
        </w:rPr>
        <w:t> </w:t>
      </w:r>
      <w:r>
        <w:rPr>
          <w:sz w:val="23"/>
        </w:rPr>
        <w:t>su</w:t>
      </w:r>
      <w:r>
        <w:rPr>
          <w:spacing w:val="-17"/>
          <w:sz w:val="23"/>
        </w:rPr>
        <w:t> </w:t>
      </w:r>
      <w:r>
        <w:rPr>
          <w:sz w:val="23"/>
        </w:rPr>
        <w:t>situación</w:t>
      </w:r>
      <w:r>
        <w:rPr>
          <w:spacing w:val="-17"/>
          <w:sz w:val="23"/>
        </w:rPr>
        <w:t> </w:t>
      </w:r>
      <w:r>
        <w:rPr>
          <w:sz w:val="23"/>
        </w:rPr>
        <w:t>jurídica;</w:t>
      </w:r>
      <w:r>
        <w:rPr>
          <w:spacing w:val="-18"/>
          <w:sz w:val="23"/>
        </w:rPr>
        <w:t> </w:t>
      </w:r>
      <w:r>
        <w:rPr>
          <w:sz w:val="23"/>
        </w:rPr>
        <w:t>10)</w:t>
      </w:r>
      <w:r>
        <w:rPr>
          <w:spacing w:val="-17"/>
          <w:sz w:val="23"/>
        </w:rPr>
        <w:t> </w:t>
      </w:r>
      <w:r>
        <w:rPr>
          <w:i/>
          <w:sz w:val="23"/>
        </w:rPr>
        <w:t>casa </w:t>
      </w:r>
      <w:r>
        <w:rPr>
          <w:i/>
          <w:sz w:val="23"/>
        </w:rPr>
        <w:t>de la niña, </w:t>
      </w:r>
      <w:r>
        <w:rPr>
          <w:sz w:val="23"/>
        </w:rPr>
        <w:t>hogar para féminas de seis a dieciocho años mientras se resuelve su</w:t>
      </w:r>
      <w:r>
        <w:rPr>
          <w:spacing w:val="-11"/>
          <w:sz w:val="23"/>
        </w:rPr>
        <w:t> </w:t>
      </w:r>
      <w:r>
        <w:rPr>
          <w:sz w:val="23"/>
        </w:rPr>
        <w:t>situación</w:t>
      </w:r>
      <w:r>
        <w:rPr>
          <w:spacing w:val="-11"/>
          <w:sz w:val="23"/>
        </w:rPr>
        <w:t> </w:t>
      </w:r>
      <w:r>
        <w:rPr>
          <w:sz w:val="23"/>
        </w:rPr>
        <w:t>jurídica;</w:t>
      </w:r>
      <w:r>
        <w:rPr>
          <w:spacing w:val="-12"/>
          <w:sz w:val="23"/>
        </w:rPr>
        <w:t> </w:t>
      </w:r>
      <w:r>
        <w:rPr>
          <w:spacing w:val="-3"/>
          <w:sz w:val="23"/>
        </w:rPr>
        <w:t>11)</w:t>
      </w:r>
      <w:r>
        <w:rPr>
          <w:spacing w:val="-11"/>
          <w:sz w:val="23"/>
        </w:rPr>
        <w:t> </w:t>
      </w:r>
      <w:r>
        <w:rPr>
          <w:i/>
          <w:sz w:val="23"/>
        </w:rPr>
        <w:t>casa</w:t>
      </w:r>
      <w:r>
        <w:rPr>
          <w:i/>
          <w:spacing w:val="-11"/>
          <w:sz w:val="23"/>
        </w:rPr>
        <w:t> </w:t>
      </w:r>
      <w:r>
        <w:rPr>
          <w:i/>
          <w:sz w:val="23"/>
        </w:rPr>
        <w:t>del</w:t>
      </w:r>
      <w:r>
        <w:rPr>
          <w:i/>
          <w:spacing w:val="-11"/>
          <w:sz w:val="23"/>
        </w:rPr>
        <w:t> </w:t>
      </w:r>
      <w:r>
        <w:rPr>
          <w:i/>
          <w:sz w:val="23"/>
        </w:rPr>
        <w:t>niño,</w:t>
      </w:r>
      <w:r>
        <w:rPr>
          <w:i/>
          <w:spacing w:val="-11"/>
          <w:sz w:val="23"/>
        </w:rPr>
        <w:t> </w:t>
      </w:r>
      <w:r>
        <w:rPr>
          <w:sz w:val="23"/>
        </w:rPr>
        <w:t>hogar</w:t>
      </w:r>
      <w:r>
        <w:rPr>
          <w:spacing w:val="-11"/>
          <w:sz w:val="23"/>
        </w:rPr>
        <w:t> </w:t>
      </w:r>
      <w:r>
        <w:rPr>
          <w:sz w:val="23"/>
        </w:rPr>
        <w:t>para</w:t>
      </w:r>
      <w:r>
        <w:rPr>
          <w:spacing w:val="-11"/>
          <w:sz w:val="23"/>
        </w:rPr>
        <w:t> </w:t>
      </w:r>
      <w:r>
        <w:rPr>
          <w:sz w:val="23"/>
        </w:rPr>
        <w:t>varones</w:t>
      </w:r>
      <w:r>
        <w:rPr>
          <w:spacing w:val="-11"/>
          <w:sz w:val="23"/>
        </w:rPr>
        <w:t> </w:t>
      </w:r>
      <w:r>
        <w:rPr>
          <w:sz w:val="23"/>
        </w:rPr>
        <w:t>de</w:t>
      </w:r>
      <w:r>
        <w:rPr>
          <w:spacing w:val="-11"/>
          <w:sz w:val="23"/>
        </w:rPr>
        <w:t> </w:t>
      </w:r>
      <w:r>
        <w:rPr>
          <w:sz w:val="23"/>
        </w:rPr>
        <w:t>seis</w:t>
      </w:r>
      <w:r>
        <w:rPr>
          <w:spacing w:val="-11"/>
          <w:sz w:val="23"/>
        </w:rPr>
        <w:t> </w:t>
      </w:r>
      <w:r>
        <w:rPr>
          <w:sz w:val="23"/>
        </w:rPr>
        <w:t>a</w:t>
      </w:r>
      <w:r>
        <w:rPr>
          <w:spacing w:val="-11"/>
          <w:sz w:val="23"/>
        </w:rPr>
        <w:t> </w:t>
      </w:r>
      <w:r>
        <w:rPr>
          <w:sz w:val="23"/>
        </w:rPr>
        <w:t>dieciocho años mientras se resuelve su situación jurídica; 12) </w:t>
      </w:r>
      <w:r>
        <w:rPr>
          <w:i/>
          <w:sz w:val="23"/>
        </w:rPr>
        <w:t>casa de la tercera edad, </w:t>
      </w:r>
      <w:r>
        <w:rPr>
          <w:sz w:val="23"/>
        </w:rPr>
        <w:t>hogar para mayores de sesenta y cinco años en estado de abandono; 13) </w:t>
      </w:r>
      <w:r>
        <w:rPr>
          <w:i/>
          <w:sz w:val="23"/>
        </w:rPr>
        <w:t>casa </w:t>
      </w:r>
      <w:r>
        <w:rPr>
          <w:i/>
          <w:sz w:val="23"/>
        </w:rPr>
        <w:t>de</w:t>
      </w:r>
      <w:r>
        <w:rPr>
          <w:i/>
          <w:spacing w:val="-18"/>
          <w:sz w:val="23"/>
        </w:rPr>
        <w:t> </w:t>
      </w:r>
      <w:r>
        <w:rPr>
          <w:i/>
          <w:sz w:val="23"/>
        </w:rPr>
        <w:t>descanso,</w:t>
      </w:r>
      <w:r>
        <w:rPr>
          <w:i/>
          <w:spacing w:val="-18"/>
          <w:sz w:val="23"/>
        </w:rPr>
        <w:t> </w:t>
      </w:r>
      <w:r>
        <w:rPr>
          <w:sz w:val="23"/>
        </w:rPr>
        <w:t>espacio</w:t>
      </w:r>
      <w:r>
        <w:rPr>
          <w:spacing w:val="-19"/>
          <w:sz w:val="23"/>
        </w:rPr>
        <w:t> </w:t>
      </w:r>
      <w:r>
        <w:rPr>
          <w:sz w:val="23"/>
        </w:rPr>
        <w:t>de</w:t>
      </w:r>
      <w:r>
        <w:rPr>
          <w:spacing w:val="-18"/>
          <w:sz w:val="23"/>
        </w:rPr>
        <w:t> </w:t>
      </w:r>
      <w:r>
        <w:rPr>
          <w:sz w:val="23"/>
        </w:rPr>
        <w:t>convivencia</w:t>
      </w:r>
      <w:r>
        <w:rPr>
          <w:spacing w:val="-19"/>
          <w:sz w:val="23"/>
        </w:rPr>
        <w:t> </w:t>
      </w:r>
      <w:r>
        <w:rPr>
          <w:sz w:val="23"/>
        </w:rPr>
        <w:t>para</w:t>
      </w:r>
      <w:r>
        <w:rPr>
          <w:spacing w:val="-18"/>
          <w:sz w:val="23"/>
        </w:rPr>
        <w:t> </w:t>
      </w:r>
      <w:r>
        <w:rPr>
          <w:sz w:val="23"/>
        </w:rPr>
        <w:t>mayores</w:t>
      </w:r>
      <w:r>
        <w:rPr>
          <w:spacing w:val="-19"/>
          <w:sz w:val="23"/>
        </w:rPr>
        <w:t> </w:t>
      </w:r>
      <w:r>
        <w:rPr>
          <w:sz w:val="23"/>
        </w:rPr>
        <w:t>de</w:t>
      </w:r>
      <w:r>
        <w:rPr>
          <w:spacing w:val="-18"/>
          <w:sz w:val="23"/>
        </w:rPr>
        <w:t> </w:t>
      </w:r>
      <w:r>
        <w:rPr>
          <w:sz w:val="23"/>
        </w:rPr>
        <w:t>sesenta</w:t>
      </w:r>
      <w:r>
        <w:rPr>
          <w:spacing w:val="-18"/>
          <w:sz w:val="23"/>
        </w:rPr>
        <w:t> </w:t>
      </w:r>
      <w:r>
        <w:rPr>
          <w:sz w:val="23"/>
        </w:rPr>
        <w:t>y</w:t>
      </w:r>
      <w:r>
        <w:rPr>
          <w:spacing w:val="-18"/>
          <w:sz w:val="23"/>
        </w:rPr>
        <w:t> </w:t>
      </w:r>
      <w:r>
        <w:rPr>
          <w:sz w:val="23"/>
        </w:rPr>
        <w:t>cinco</w:t>
      </w:r>
      <w:r>
        <w:rPr>
          <w:spacing w:val="-18"/>
          <w:sz w:val="23"/>
        </w:rPr>
        <w:t> </w:t>
      </w:r>
      <w:r>
        <w:rPr>
          <w:sz w:val="23"/>
        </w:rPr>
        <w:t>años;</w:t>
      </w:r>
      <w:r>
        <w:rPr>
          <w:spacing w:val="-19"/>
          <w:sz w:val="23"/>
        </w:rPr>
        <w:t> </w:t>
      </w:r>
      <w:r>
        <w:rPr>
          <w:sz w:val="23"/>
        </w:rPr>
        <w:t>14) </w:t>
      </w:r>
      <w:r>
        <w:rPr>
          <w:i/>
          <w:sz w:val="23"/>
        </w:rPr>
        <w:t>ayudas</w:t>
      </w:r>
      <w:r>
        <w:rPr>
          <w:i/>
          <w:spacing w:val="-9"/>
          <w:sz w:val="23"/>
        </w:rPr>
        <w:t> </w:t>
      </w:r>
      <w:r>
        <w:rPr>
          <w:i/>
          <w:sz w:val="23"/>
        </w:rPr>
        <w:t>funcionales,</w:t>
      </w:r>
      <w:r>
        <w:rPr>
          <w:i/>
          <w:spacing w:val="-9"/>
          <w:sz w:val="23"/>
        </w:rPr>
        <w:t> </w:t>
      </w:r>
      <w:r>
        <w:rPr>
          <w:sz w:val="23"/>
        </w:rPr>
        <w:t>reparto</w:t>
      </w:r>
      <w:r>
        <w:rPr>
          <w:spacing w:val="-9"/>
          <w:sz w:val="23"/>
        </w:rPr>
        <w:t> </w:t>
      </w:r>
      <w:r>
        <w:rPr>
          <w:sz w:val="23"/>
        </w:rPr>
        <w:t>de</w:t>
      </w:r>
      <w:r>
        <w:rPr>
          <w:spacing w:val="-9"/>
          <w:sz w:val="23"/>
        </w:rPr>
        <w:t> </w:t>
      </w:r>
      <w:r>
        <w:rPr>
          <w:sz w:val="23"/>
        </w:rPr>
        <w:t>apoyos</w:t>
      </w:r>
      <w:r>
        <w:rPr>
          <w:spacing w:val="-9"/>
          <w:sz w:val="23"/>
        </w:rPr>
        <w:t> </w:t>
      </w:r>
      <w:r>
        <w:rPr>
          <w:sz w:val="23"/>
        </w:rPr>
        <w:t>en</w:t>
      </w:r>
      <w:r>
        <w:rPr>
          <w:spacing w:val="-9"/>
          <w:sz w:val="23"/>
        </w:rPr>
        <w:t> </w:t>
      </w:r>
      <w:r>
        <w:rPr>
          <w:sz w:val="23"/>
        </w:rPr>
        <w:t>especie</w:t>
      </w:r>
      <w:r>
        <w:rPr>
          <w:spacing w:val="-9"/>
          <w:sz w:val="23"/>
        </w:rPr>
        <w:t> </w:t>
      </w:r>
      <w:r>
        <w:rPr>
          <w:sz w:val="23"/>
        </w:rPr>
        <w:t>para</w:t>
      </w:r>
      <w:r>
        <w:rPr>
          <w:spacing w:val="-9"/>
          <w:sz w:val="23"/>
        </w:rPr>
        <w:t> </w:t>
      </w:r>
      <w:r>
        <w:rPr>
          <w:sz w:val="23"/>
        </w:rPr>
        <w:t>las</w:t>
      </w:r>
      <w:r>
        <w:rPr>
          <w:spacing w:val="-9"/>
          <w:sz w:val="23"/>
        </w:rPr>
        <w:t> </w:t>
      </w:r>
      <w:r>
        <w:rPr>
          <w:sz w:val="23"/>
        </w:rPr>
        <w:t>discapacidades;</w:t>
      </w:r>
      <w:r>
        <w:rPr>
          <w:spacing w:val="-9"/>
          <w:sz w:val="23"/>
        </w:rPr>
        <w:t> </w:t>
      </w:r>
      <w:r>
        <w:rPr>
          <w:sz w:val="23"/>
        </w:rPr>
        <w:t>15) </w:t>
      </w:r>
      <w:r>
        <w:rPr>
          <w:i/>
          <w:sz w:val="23"/>
        </w:rPr>
        <w:t>atención</w:t>
      </w:r>
      <w:r>
        <w:rPr>
          <w:i/>
          <w:spacing w:val="-9"/>
          <w:sz w:val="23"/>
        </w:rPr>
        <w:t> </w:t>
      </w:r>
      <w:r>
        <w:rPr>
          <w:i/>
          <w:sz w:val="23"/>
        </w:rPr>
        <w:t>en</w:t>
      </w:r>
      <w:r>
        <w:rPr>
          <w:i/>
          <w:spacing w:val="-9"/>
          <w:sz w:val="23"/>
        </w:rPr>
        <w:t> </w:t>
      </w:r>
      <w:r>
        <w:rPr>
          <w:i/>
          <w:sz w:val="23"/>
        </w:rPr>
        <w:t>CRIH,</w:t>
      </w:r>
      <w:r>
        <w:rPr>
          <w:i/>
          <w:spacing w:val="-9"/>
          <w:sz w:val="23"/>
        </w:rPr>
        <w:t> </w:t>
      </w:r>
      <w:r>
        <w:rPr>
          <w:sz w:val="23"/>
        </w:rPr>
        <w:t>servicios</w:t>
      </w:r>
      <w:r>
        <w:rPr>
          <w:spacing w:val="-8"/>
          <w:sz w:val="23"/>
        </w:rPr>
        <w:t> </w:t>
      </w:r>
      <w:r>
        <w:rPr>
          <w:sz w:val="23"/>
        </w:rPr>
        <w:t>de</w:t>
      </w:r>
      <w:r>
        <w:rPr>
          <w:spacing w:val="-9"/>
          <w:sz w:val="23"/>
        </w:rPr>
        <w:t> </w:t>
      </w:r>
      <w:r>
        <w:rPr>
          <w:sz w:val="23"/>
        </w:rPr>
        <w:t>centro</w:t>
      </w:r>
      <w:r>
        <w:rPr>
          <w:spacing w:val="-9"/>
          <w:sz w:val="23"/>
        </w:rPr>
        <w:t> </w:t>
      </w:r>
      <w:r>
        <w:rPr>
          <w:sz w:val="23"/>
        </w:rPr>
        <w:t>de</w:t>
      </w:r>
      <w:r>
        <w:rPr>
          <w:spacing w:val="-9"/>
          <w:sz w:val="23"/>
        </w:rPr>
        <w:t> </w:t>
      </w:r>
      <w:r>
        <w:rPr>
          <w:sz w:val="23"/>
        </w:rPr>
        <w:t>rehabilitación;</w:t>
      </w:r>
      <w:r>
        <w:rPr>
          <w:spacing w:val="-9"/>
          <w:sz w:val="23"/>
        </w:rPr>
        <w:t> </w:t>
      </w:r>
      <w:r>
        <w:rPr>
          <w:sz w:val="23"/>
        </w:rPr>
        <w:t>16)</w:t>
      </w:r>
      <w:r>
        <w:rPr>
          <w:spacing w:val="-9"/>
          <w:sz w:val="23"/>
        </w:rPr>
        <w:t> </w:t>
      </w:r>
      <w:r>
        <w:rPr>
          <w:i/>
          <w:sz w:val="23"/>
        </w:rPr>
        <w:t>unidades</w:t>
      </w:r>
      <w:r>
        <w:rPr>
          <w:i/>
          <w:spacing w:val="-9"/>
          <w:sz w:val="23"/>
        </w:rPr>
        <w:t> </w:t>
      </w:r>
      <w:r>
        <w:rPr>
          <w:i/>
          <w:sz w:val="23"/>
        </w:rPr>
        <w:t>básicas </w:t>
      </w:r>
      <w:r>
        <w:rPr>
          <w:i/>
          <w:sz w:val="23"/>
        </w:rPr>
        <w:t>de rehabilitación </w:t>
      </w:r>
      <w:r>
        <w:rPr>
          <w:sz w:val="23"/>
        </w:rPr>
        <w:t>(UBR), servicios de centros de rehabilitación</w:t>
      </w:r>
      <w:r>
        <w:rPr>
          <w:spacing w:val="54"/>
          <w:sz w:val="23"/>
        </w:rPr>
        <w:t> </w:t>
      </w:r>
      <w:r>
        <w:rPr>
          <w:sz w:val="23"/>
        </w:rPr>
        <w:t>municipales;</w:t>
      </w:r>
    </w:p>
    <w:p>
      <w:pPr>
        <w:spacing w:line="252" w:lineRule="exact" w:before="0"/>
        <w:ind w:left="117" w:right="0" w:firstLine="0"/>
        <w:jc w:val="both"/>
        <w:rPr>
          <w:sz w:val="23"/>
        </w:rPr>
      </w:pPr>
      <w:r>
        <w:rPr/>
        <w:pict>
          <v:line style="position:absolute;mso-position-horizontal-relative:page;mso-position-vertical-relative:paragraph;z-index:3232;mso-wrap-distance-left:0;mso-wrap-distance-right:0" from="70.866203pt,19.381729pt" to="142.866203pt,19.381729pt" stroked="true" strokeweight="1pt" strokecolor="#000000">
            <w10:wrap type="topAndBottom"/>
          </v:line>
        </w:pict>
      </w:r>
      <w:r>
        <w:rPr>
          <w:sz w:val="23"/>
        </w:rPr>
        <w:t>17)  </w:t>
      </w:r>
      <w:r>
        <w:rPr>
          <w:i/>
          <w:sz w:val="23"/>
        </w:rPr>
        <w:t>prevención  del  riesgo  biopsicosocial  en  centros  PAMAR,   </w:t>
      </w:r>
      <w:r>
        <w:rPr>
          <w:sz w:val="23"/>
        </w:rPr>
        <w:t>desarrollo</w:t>
      </w:r>
    </w:p>
    <w:p>
      <w:pPr>
        <w:spacing w:line="194" w:lineRule="exact" w:before="0"/>
        <w:ind w:left="117" w:right="0" w:firstLine="0"/>
        <w:jc w:val="both"/>
        <w:rPr>
          <w:i/>
          <w:sz w:val="18"/>
        </w:rPr>
      </w:pPr>
      <w:r>
        <w:rPr>
          <w:w w:val="105"/>
          <w:position w:val="7"/>
          <w:sz w:val="11"/>
        </w:rPr>
        <w:t>204  </w:t>
      </w:r>
      <w:r>
        <w:rPr>
          <w:i/>
          <w:w w:val="105"/>
          <w:sz w:val="18"/>
        </w:rPr>
        <w:t>Ibídem.</w:t>
      </w:r>
    </w:p>
    <w:p>
      <w:pPr>
        <w:spacing w:line="200" w:lineRule="exact" w:before="7"/>
        <w:ind w:left="400" w:right="101" w:hanging="284"/>
        <w:jc w:val="left"/>
        <w:rPr>
          <w:i/>
          <w:sz w:val="18"/>
        </w:rPr>
      </w:pPr>
      <w:r>
        <w:rPr>
          <w:position w:val="7"/>
          <w:sz w:val="11"/>
        </w:rPr>
        <w:t>205 </w:t>
      </w:r>
      <w:r>
        <w:rPr>
          <w:sz w:val="18"/>
        </w:rPr>
        <w:t>Gobierno del Estado de Hidalgo, secretaría de salud; </w:t>
      </w:r>
      <w:r>
        <w:rPr>
          <w:i/>
          <w:sz w:val="18"/>
        </w:rPr>
        <w:t>actualización del programa estatal de </w:t>
      </w:r>
      <w:r>
        <w:rPr>
          <w:i/>
          <w:sz w:val="18"/>
        </w:rPr>
        <w:t>salud 2005-2011; </w:t>
      </w:r>
      <w:r>
        <w:rPr>
          <w:sz w:val="18"/>
        </w:rPr>
        <w:t>2008, pp. 51-54</w:t>
      </w:r>
      <w:r>
        <w:rPr>
          <w:i/>
          <w:sz w:val="18"/>
        </w:rPr>
        <w:t>.</w:t>
      </w:r>
    </w:p>
    <w:p>
      <w:pPr>
        <w:spacing w:after="0" w:line="200" w:lineRule="exact"/>
        <w:jc w:val="left"/>
        <w:rPr>
          <w:sz w:val="18"/>
        </w:rPr>
        <w:sectPr>
          <w:pgSz w:w="9360" w:h="13040"/>
          <w:pgMar w:header="531" w:footer="515" w:top="940" w:bottom="700" w:left="1300" w:right="740"/>
        </w:sectPr>
      </w:pPr>
    </w:p>
    <w:p>
      <w:pPr>
        <w:pStyle w:val="BodyText"/>
        <w:rPr>
          <w:i/>
          <w:sz w:val="20"/>
        </w:rPr>
      </w:pPr>
    </w:p>
    <w:p>
      <w:pPr>
        <w:pStyle w:val="BodyText"/>
        <w:spacing w:before="1"/>
        <w:rPr>
          <w:i/>
          <w:sz w:val="29"/>
        </w:rPr>
      </w:pPr>
    </w:p>
    <w:p>
      <w:pPr>
        <w:pStyle w:val="BodyText"/>
        <w:spacing w:line="250" w:lineRule="exact" w:before="85"/>
        <w:ind w:left="110" w:right="114"/>
        <w:jc w:val="both"/>
      </w:pPr>
      <w:r>
        <w:rPr/>
        <w:t>de habilidades protectoras en menores y familias; y 18) </w:t>
      </w:r>
      <w:r>
        <w:rPr>
          <w:i/>
        </w:rPr>
        <w:t>CAIC, </w:t>
      </w:r>
      <w:r>
        <w:rPr/>
        <w:t>educación preescolar para hijos de madres trabajadoras sin seguridad social</w:t>
      </w:r>
      <w:r>
        <w:rPr>
          <w:position w:val="8"/>
          <w:sz w:val="13"/>
        </w:rPr>
        <w:t>206</w:t>
      </w:r>
      <w:r>
        <w:rPr/>
        <w:t>.</w:t>
      </w:r>
    </w:p>
    <w:p>
      <w:pPr>
        <w:pStyle w:val="BodyText"/>
        <w:spacing w:before="9"/>
        <w:rPr>
          <w:sz w:val="20"/>
        </w:rPr>
      </w:pPr>
    </w:p>
    <w:p>
      <w:pPr>
        <w:pStyle w:val="BodyText"/>
        <w:spacing w:line="250" w:lineRule="exact" w:before="1"/>
        <w:ind w:left="110" w:right="114"/>
        <w:jc w:val="both"/>
      </w:pPr>
      <w:r>
        <w:rPr/>
        <w:t>A</w:t>
      </w:r>
      <w:r>
        <w:rPr>
          <w:spacing w:val="-37"/>
        </w:rPr>
        <w:t> </w:t>
      </w:r>
      <w:r>
        <w:rPr/>
        <w:t>su</w:t>
      </w:r>
      <w:r>
        <w:rPr>
          <w:spacing w:val="-24"/>
        </w:rPr>
        <w:t> </w:t>
      </w:r>
      <w:r>
        <w:rPr/>
        <w:t>vez,</w:t>
      </w:r>
      <w:r>
        <w:rPr>
          <w:spacing w:val="-24"/>
        </w:rPr>
        <w:t> </w:t>
      </w:r>
      <w:r>
        <w:rPr/>
        <w:t>los</w:t>
      </w:r>
      <w:r>
        <w:rPr>
          <w:spacing w:val="-25"/>
        </w:rPr>
        <w:t> </w:t>
      </w:r>
      <w:r>
        <w:rPr/>
        <w:t>programas</w:t>
      </w:r>
      <w:r>
        <w:rPr>
          <w:spacing w:val="-24"/>
        </w:rPr>
        <w:t> </w:t>
      </w:r>
      <w:r>
        <w:rPr/>
        <w:t>que</w:t>
      </w:r>
      <w:r>
        <w:rPr>
          <w:spacing w:val="-24"/>
        </w:rPr>
        <w:t> </w:t>
      </w:r>
      <w:r>
        <w:rPr/>
        <w:t>el</w:t>
      </w:r>
      <w:r>
        <w:rPr>
          <w:spacing w:val="-24"/>
        </w:rPr>
        <w:t> </w:t>
      </w:r>
      <w:r>
        <w:rPr/>
        <w:t>DIFEH</w:t>
      </w:r>
      <w:r>
        <w:rPr>
          <w:spacing w:val="-24"/>
        </w:rPr>
        <w:t> </w:t>
      </w:r>
      <w:r>
        <w:rPr/>
        <w:t>considera</w:t>
      </w:r>
      <w:r>
        <w:rPr>
          <w:spacing w:val="-25"/>
        </w:rPr>
        <w:t> </w:t>
      </w:r>
      <w:r>
        <w:rPr/>
        <w:t>de</w:t>
      </w:r>
      <w:r>
        <w:rPr>
          <w:spacing w:val="-24"/>
        </w:rPr>
        <w:t> </w:t>
      </w:r>
      <w:r>
        <w:rPr/>
        <w:t>diseño</w:t>
      </w:r>
      <w:r>
        <w:rPr>
          <w:spacing w:val="-24"/>
        </w:rPr>
        <w:t> </w:t>
      </w:r>
      <w:r>
        <w:rPr/>
        <w:t>propio</w:t>
      </w:r>
      <w:r>
        <w:rPr>
          <w:spacing w:val="-24"/>
        </w:rPr>
        <w:t> </w:t>
      </w:r>
      <w:r>
        <w:rPr/>
        <w:t>son</w:t>
      </w:r>
      <w:r>
        <w:rPr>
          <w:spacing w:val="-24"/>
        </w:rPr>
        <w:t> </w:t>
      </w:r>
      <w:r>
        <w:rPr/>
        <w:t>veintiuno y se encuentran distribuidos para su operación en dos áreas que constituyen su estructura burocrática: asistencia social y asistencia en la salud. En cuanto a su clasificación, seis esquemas son de capacidades (28.57% del total de acciones), ninguno de oportunidades de ingreso, uno de patrimonio (4.76% del total de acciones) y catorce de asistencia (66.67% del total de acciones). Los seis programas de capacidades son: a) </w:t>
      </w:r>
      <w:r>
        <w:rPr>
          <w:i/>
        </w:rPr>
        <w:t>CDC urbanos, </w:t>
      </w:r>
      <w:r>
        <w:rPr/>
        <w:t>desarrollo de habilidades</w:t>
      </w:r>
      <w:r>
        <w:rPr>
          <w:spacing w:val="-24"/>
        </w:rPr>
        <w:t> </w:t>
      </w:r>
      <w:r>
        <w:rPr/>
        <w:t>para</w:t>
      </w:r>
      <w:r>
        <w:rPr>
          <w:spacing w:val="-24"/>
        </w:rPr>
        <w:t> </w:t>
      </w:r>
      <w:r>
        <w:rPr/>
        <w:t>personas</w:t>
      </w:r>
      <w:r>
        <w:rPr>
          <w:spacing w:val="-24"/>
        </w:rPr>
        <w:t> </w:t>
      </w:r>
      <w:r>
        <w:rPr/>
        <w:t>de</w:t>
      </w:r>
      <w:r>
        <w:rPr>
          <w:spacing w:val="-24"/>
        </w:rPr>
        <w:t> </w:t>
      </w:r>
      <w:r>
        <w:rPr/>
        <w:t>escasos</w:t>
      </w:r>
      <w:r>
        <w:rPr>
          <w:spacing w:val="-24"/>
        </w:rPr>
        <w:t> </w:t>
      </w:r>
      <w:r>
        <w:rPr/>
        <w:t>recursos;</w:t>
      </w:r>
      <w:r>
        <w:rPr>
          <w:spacing w:val="-24"/>
        </w:rPr>
        <w:t> </w:t>
      </w:r>
      <w:r>
        <w:rPr/>
        <w:t>b)</w:t>
      </w:r>
      <w:r>
        <w:rPr>
          <w:spacing w:val="-24"/>
        </w:rPr>
        <w:t> </w:t>
      </w:r>
      <w:r>
        <w:rPr>
          <w:i/>
        </w:rPr>
        <w:t>casa</w:t>
      </w:r>
      <w:r>
        <w:rPr>
          <w:i/>
          <w:spacing w:val="-24"/>
        </w:rPr>
        <w:t> </w:t>
      </w:r>
      <w:r>
        <w:rPr>
          <w:i/>
        </w:rPr>
        <w:t>de</w:t>
      </w:r>
      <w:r>
        <w:rPr>
          <w:i/>
          <w:spacing w:val="-24"/>
        </w:rPr>
        <w:t> </w:t>
      </w:r>
      <w:r>
        <w:rPr>
          <w:i/>
        </w:rPr>
        <w:t>la</w:t>
      </w:r>
      <w:r>
        <w:rPr>
          <w:i/>
          <w:spacing w:val="-24"/>
        </w:rPr>
        <w:t> </w:t>
      </w:r>
      <w:r>
        <w:rPr>
          <w:i/>
        </w:rPr>
        <w:t>mujer</w:t>
      </w:r>
      <w:r>
        <w:rPr>
          <w:i/>
          <w:spacing w:val="-23"/>
        </w:rPr>
        <w:t> </w:t>
      </w:r>
      <w:r>
        <w:rPr>
          <w:i/>
        </w:rPr>
        <w:t>hidalguense, </w:t>
      </w:r>
      <w:r>
        <w:rPr/>
        <w:t>capacitación laboral y educación media superior; c) </w:t>
      </w:r>
      <w:r>
        <w:rPr>
          <w:i/>
        </w:rPr>
        <w:t>salud sexual, </w:t>
      </w:r>
      <w:r>
        <w:rPr/>
        <w:t>educación temática; d) </w:t>
      </w:r>
      <w:r>
        <w:rPr>
          <w:i/>
        </w:rPr>
        <w:t>calidad de vida en el adulto </w:t>
      </w:r>
      <w:r>
        <w:rPr>
          <w:i/>
          <w:spacing w:val="-5"/>
        </w:rPr>
        <w:t>mayor, </w:t>
      </w:r>
      <w:r>
        <w:rPr/>
        <w:t>capacitación </w:t>
      </w:r>
      <w:r>
        <w:rPr>
          <w:spacing w:val="46"/>
        </w:rPr>
        <w:t> </w:t>
      </w:r>
      <w:r>
        <w:rPr/>
        <w:t>gerontológica;</w:t>
      </w:r>
    </w:p>
    <w:p>
      <w:pPr>
        <w:spacing w:line="250" w:lineRule="exact" w:before="0"/>
        <w:ind w:left="110" w:right="114" w:firstLine="0"/>
        <w:jc w:val="both"/>
        <w:rPr>
          <w:sz w:val="23"/>
        </w:rPr>
      </w:pPr>
      <w:r>
        <w:rPr>
          <w:sz w:val="23"/>
        </w:rPr>
        <w:t>e) </w:t>
      </w:r>
      <w:r>
        <w:rPr>
          <w:i/>
          <w:sz w:val="23"/>
        </w:rPr>
        <w:t>estrategia estatal de orientación alimentaria, </w:t>
      </w:r>
      <w:r>
        <w:rPr>
          <w:sz w:val="23"/>
        </w:rPr>
        <w:t>acciones formativas para la alimentación correcta; y f) </w:t>
      </w:r>
      <w:r>
        <w:rPr>
          <w:i/>
          <w:sz w:val="23"/>
        </w:rPr>
        <w:t>familias que aprenden</w:t>
      </w:r>
      <w:r>
        <w:rPr>
          <w:i/>
          <w:position w:val="8"/>
          <w:sz w:val="13"/>
        </w:rPr>
        <w:t>207</w:t>
      </w:r>
      <w:r>
        <w:rPr>
          <w:i/>
          <w:sz w:val="23"/>
        </w:rPr>
        <w:t>, </w:t>
      </w:r>
      <w:r>
        <w:rPr>
          <w:sz w:val="23"/>
        </w:rPr>
        <w:t>educación en valores familiares</w:t>
      </w:r>
      <w:r>
        <w:rPr>
          <w:position w:val="8"/>
          <w:sz w:val="13"/>
        </w:rPr>
        <w:t>208</w:t>
      </w:r>
      <w:r>
        <w:rPr>
          <w:sz w:val="23"/>
        </w:rPr>
        <w:t>. El esquema de patrimonio se denomina </w:t>
      </w:r>
      <w:r>
        <w:rPr>
          <w:i/>
          <w:sz w:val="23"/>
        </w:rPr>
        <w:t>nuevos hogares, </w:t>
      </w:r>
      <w:r>
        <w:rPr>
          <w:sz w:val="23"/>
        </w:rPr>
        <w:t>está destinado a la construcción de casas habitación para familias necesitadas</w:t>
      </w:r>
      <w:r>
        <w:rPr>
          <w:position w:val="8"/>
          <w:sz w:val="13"/>
        </w:rPr>
        <w:t>209</w:t>
      </w:r>
      <w:r>
        <w:rPr>
          <w:sz w:val="23"/>
        </w:rPr>
        <w:t>.</w:t>
      </w:r>
    </w:p>
    <w:p>
      <w:pPr>
        <w:pStyle w:val="BodyText"/>
        <w:spacing w:before="9"/>
        <w:rPr>
          <w:sz w:val="20"/>
        </w:rPr>
      </w:pPr>
    </w:p>
    <w:p>
      <w:pPr>
        <w:spacing w:line="250" w:lineRule="exact" w:before="1"/>
        <w:ind w:left="110" w:right="114" w:firstLine="0"/>
        <w:jc w:val="both"/>
        <w:rPr>
          <w:sz w:val="23"/>
        </w:rPr>
      </w:pPr>
      <w:r>
        <w:rPr>
          <w:sz w:val="23"/>
        </w:rPr>
        <w:t>Los</w:t>
      </w:r>
      <w:r>
        <w:rPr>
          <w:spacing w:val="-5"/>
          <w:sz w:val="23"/>
        </w:rPr>
        <w:t> </w:t>
      </w:r>
      <w:r>
        <w:rPr>
          <w:sz w:val="23"/>
        </w:rPr>
        <w:t>catorce</w:t>
      </w:r>
      <w:r>
        <w:rPr>
          <w:spacing w:val="-5"/>
          <w:sz w:val="23"/>
        </w:rPr>
        <w:t> </w:t>
      </w:r>
      <w:r>
        <w:rPr>
          <w:sz w:val="23"/>
        </w:rPr>
        <w:t>programas</w:t>
      </w:r>
      <w:r>
        <w:rPr>
          <w:spacing w:val="-5"/>
          <w:sz w:val="23"/>
        </w:rPr>
        <w:t> </w:t>
      </w:r>
      <w:r>
        <w:rPr>
          <w:sz w:val="23"/>
        </w:rPr>
        <w:t>de</w:t>
      </w:r>
      <w:r>
        <w:rPr>
          <w:spacing w:val="-5"/>
          <w:sz w:val="23"/>
        </w:rPr>
        <w:t> </w:t>
      </w:r>
      <w:r>
        <w:rPr>
          <w:sz w:val="23"/>
        </w:rPr>
        <w:t>asistencia</w:t>
      </w:r>
      <w:r>
        <w:rPr>
          <w:spacing w:val="-6"/>
          <w:sz w:val="23"/>
        </w:rPr>
        <w:t> </w:t>
      </w:r>
      <w:r>
        <w:rPr>
          <w:sz w:val="23"/>
        </w:rPr>
        <w:t>son:</w:t>
      </w:r>
      <w:r>
        <w:rPr>
          <w:spacing w:val="-5"/>
          <w:sz w:val="23"/>
        </w:rPr>
        <w:t> </w:t>
      </w:r>
      <w:r>
        <w:rPr>
          <w:sz w:val="23"/>
        </w:rPr>
        <w:t>1)</w:t>
      </w:r>
      <w:r>
        <w:rPr>
          <w:spacing w:val="-5"/>
          <w:sz w:val="23"/>
        </w:rPr>
        <w:t> </w:t>
      </w:r>
      <w:r>
        <w:rPr>
          <w:i/>
          <w:sz w:val="23"/>
        </w:rPr>
        <w:t>jornadas</w:t>
      </w:r>
      <w:r>
        <w:rPr>
          <w:i/>
          <w:spacing w:val="-6"/>
          <w:sz w:val="23"/>
        </w:rPr>
        <w:t> </w:t>
      </w:r>
      <w:r>
        <w:rPr>
          <w:i/>
          <w:sz w:val="23"/>
        </w:rPr>
        <w:t>médicas</w:t>
      </w:r>
      <w:r>
        <w:rPr>
          <w:i/>
          <w:spacing w:val="-5"/>
          <w:sz w:val="23"/>
        </w:rPr>
        <w:t> </w:t>
      </w:r>
      <w:r>
        <w:rPr>
          <w:i/>
          <w:sz w:val="23"/>
        </w:rPr>
        <w:t>de</w:t>
      </w:r>
      <w:r>
        <w:rPr>
          <w:i/>
          <w:spacing w:val="-5"/>
          <w:sz w:val="23"/>
        </w:rPr>
        <w:t> </w:t>
      </w:r>
      <w:r>
        <w:rPr>
          <w:i/>
          <w:sz w:val="23"/>
        </w:rPr>
        <w:t>subespecia- </w:t>
      </w:r>
      <w:r>
        <w:rPr>
          <w:i/>
          <w:sz w:val="23"/>
        </w:rPr>
        <w:t>lidad, </w:t>
      </w:r>
      <w:r>
        <w:rPr>
          <w:sz w:val="23"/>
        </w:rPr>
        <w:t>cirugías extramuros de bajo riesgo; 2) </w:t>
      </w:r>
      <w:r>
        <w:rPr>
          <w:i/>
          <w:sz w:val="23"/>
        </w:rPr>
        <w:t>hospital del niño </w:t>
      </w:r>
      <w:r>
        <w:rPr>
          <w:i/>
          <w:spacing w:val="-8"/>
          <w:sz w:val="23"/>
        </w:rPr>
        <w:t>DIF, </w:t>
      </w:r>
      <w:r>
        <w:rPr>
          <w:sz w:val="23"/>
        </w:rPr>
        <w:t>medicina general y de especialidades para menores entre cero y dieciocho años; 3) </w:t>
      </w:r>
      <w:r>
        <w:rPr>
          <w:i/>
          <w:sz w:val="23"/>
        </w:rPr>
        <w:t>vo- </w:t>
      </w:r>
      <w:r>
        <w:rPr>
          <w:i/>
          <w:sz w:val="23"/>
        </w:rPr>
        <w:t>luntariado, </w:t>
      </w:r>
      <w:r>
        <w:rPr>
          <w:sz w:val="23"/>
        </w:rPr>
        <w:t>servicio voluntario para la asistencia; 4) </w:t>
      </w:r>
      <w:r>
        <w:rPr>
          <w:i/>
          <w:sz w:val="23"/>
        </w:rPr>
        <w:t>atención a población en </w:t>
      </w:r>
      <w:r>
        <w:rPr>
          <w:i/>
          <w:spacing w:val="-3"/>
          <w:sz w:val="23"/>
        </w:rPr>
        <w:t>condiciones </w:t>
      </w:r>
      <w:r>
        <w:rPr>
          <w:i/>
          <w:sz w:val="23"/>
        </w:rPr>
        <w:t>de </w:t>
      </w:r>
      <w:r>
        <w:rPr>
          <w:i/>
          <w:spacing w:val="-4"/>
          <w:sz w:val="23"/>
        </w:rPr>
        <w:t>emergencia, </w:t>
      </w:r>
      <w:r>
        <w:rPr>
          <w:spacing w:val="-3"/>
          <w:sz w:val="23"/>
        </w:rPr>
        <w:t>asistencia eventual; </w:t>
      </w:r>
      <w:r>
        <w:rPr>
          <w:sz w:val="23"/>
        </w:rPr>
        <w:t>5) </w:t>
      </w:r>
      <w:r>
        <w:rPr>
          <w:i/>
          <w:spacing w:val="-3"/>
          <w:sz w:val="23"/>
        </w:rPr>
        <w:t>unidos </w:t>
      </w:r>
      <w:r>
        <w:rPr>
          <w:i/>
          <w:sz w:val="23"/>
        </w:rPr>
        <w:t>por </w:t>
      </w:r>
      <w:r>
        <w:rPr>
          <w:i/>
          <w:spacing w:val="-3"/>
          <w:sz w:val="23"/>
        </w:rPr>
        <w:t>nuestras tradi- </w:t>
      </w:r>
      <w:r>
        <w:rPr>
          <w:i/>
          <w:spacing w:val="-3"/>
          <w:sz w:val="23"/>
        </w:rPr>
        <w:t>ciones, </w:t>
      </w:r>
      <w:r>
        <w:rPr>
          <w:spacing w:val="-3"/>
          <w:sz w:val="23"/>
        </w:rPr>
        <w:t>apoyos </w:t>
      </w:r>
      <w:r>
        <w:rPr>
          <w:sz w:val="23"/>
        </w:rPr>
        <w:t>en </w:t>
      </w:r>
      <w:r>
        <w:rPr>
          <w:spacing w:val="-3"/>
          <w:sz w:val="23"/>
        </w:rPr>
        <w:t>especie </w:t>
      </w:r>
      <w:r>
        <w:rPr>
          <w:sz w:val="23"/>
        </w:rPr>
        <w:t>en </w:t>
      </w:r>
      <w:r>
        <w:rPr>
          <w:spacing w:val="-3"/>
          <w:sz w:val="23"/>
        </w:rPr>
        <w:t>eventos tradicionales, destacan navidad </w:t>
      </w:r>
      <w:r>
        <w:rPr>
          <w:sz w:val="23"/>
        </w:rPr>
        <w:t>y día </w:t>
      </w:r>
      <w:r>
        <w:rPr>
          <w:spacing w:val="-3"/>
          <w:sz w:val="23"/>
        </w:rPr>
        <w:t>de reyes; </w:t>
      </w:r>
      <w:r>
        <w:rPr>
          <w:sz w:val="23"/>
        </w:rPr>
        <w:t>6) </w:t>
      </w:r>
      <w:r>
        <w:rPr>
          <w:i/>
          <w:spacing w:val="-4"/>
          <w:sz w:val="23"/>
        </w:rPr>
        <w:t>albergue, </w:t>
      </w:r>
      <w:r>
        <w:rPr>
          <w:spacing w:val="-3"/>
          <w:sz w:val="23"/>
        </w:rPr>
        <w:t>hospedaje temporal para personas vulnerables; </w:t>
      </w:r>
      <w:r>
        <w:rPr>
          <w:sz w:val="23"/>
        </w:rPr>
        <w:t>7) </w:t>
      </w:r>
      <w:r>
        <w:rPr>
          <w:i/>
          <w:spacing w:val="-3"/>
          <w:sz w:val="23"/>
        </w:rPr>
        <w:t>hacia una </w:t>
      </w:r>
      <w:r>
        <w:rPr>
          <w:i/>
          <w:spacing w:val="-3"/>
          <w:sz w:val="23"/>
        </w:rPr>
        <w:t>vida </w:t>
      </w:r>
      <w:r>
        <w:rPr>
          <w:i/>
          <w:spacing w:val="-7"/>
          <w:sz w:val="23"/>
        </w:rPr>
        <w:t>mejor, </w:t>
      </w:r>
      <w:r>
        <w:rPr>
          <w:spacing w:val="-3"/>
          <w:sz w:val="23"/>
        </w:rPr>
        <w:t>distribución </w:t>
      </w:r>
      <w:r>
        <w:rPr>
          <w:sz w:val="23"/>
        </w:rPr>
        <w:t>de </w:t>
      </w:r>
      <w:r>
        <w:rPr>
          <w:spacing w:val="-3"/>
          <w:sz w:val="23"/>
        </w:rPr>
        <w:t>apoyos para discapacitados; </w:t>
      </w:r>
      <w:r>
        <w:rPr>
          <w:sz w:val="23"/>
        </w:rPr>
        <w:t>8) </w:t>
      </w:r>
      <w:r>
        <w:rPr>
          <w:i/>
          <w:spacing w:val="-3"/>
          <w:sz w:val="23"/>
        </w:rPr>
        <w:t>taller </w:t>
      </w:r>
      <w:r>
        <w:rPr>
          <w:i/>
          <w:sz w:val="23"/>
        </w:rPr>
        <w:t>de </w:t>
      </w:r>
      <w:r>
        <w:rPr>
          <w:i/>
          <w:spacing w:val="-3"/>
          <w:sz w:val="23"/>
        </w:rPr>
        <w:t>órtesis </w:t>
      </w:r>
      <w:r>
        <w:rPr>
          <w:i/>
          <w:sz w:val="23"/>
        </w:rPr>
        <w:t>y </w:t>
      </w:r>
      <w:r>
        <w:rPr>
          <w:i/>
          <w:spacing w:val="-3"/>
          <w:sz w:val="23"/>
        </w:rPr>
        <w:t>prótesis, </w:t>
      </w:r>
      <w:r>
        <w:rPr>
          <w:spacing w:val="-3"/>
          <w:sz w:val="23"/>
        </w:rPr>
        <w:t>dotación </w:t>
      </w:r>
      <w:r>
        <w:rPr>
          <w:sz w:val="23"/>
        </w:rPr>
        <w:t>de </w:t>
      </w:r>
      <w:r>
        <w:rPr>
          <w:spacing w:val="-3"/>
          <w:sz w:val="23"/>
        </w:rPr>
        <w:t>apoyos específicos para discapacitados; </w:t>
      </w:r>
      <w:r>
        <w:rPr>
          <w:sz w:val="23"/>
        </w:rPr>
        <w:t>9) </w:t>
      </w:r>
      <w:r>
        <w:rPr>
          <w:i/>
          <w:spacing w:val="-3"/>
          <w:sz w:val="23"/>
        </w:rPr>
        <w:t>diagnóstico </w:t>
      </w:r>
      <w:r>
        <w:rPr>
          <w:i/>
          <w:spacing w:val="-3"/>
          <w:sz w:val="23"/>
        </w:rPr>
        <w:t>auditivo, </w:t>
      </w:r>
      <w:r>
        <w:rPr>
          <w:spacing w:val="-3"/>
          <w:sz w:val="23"/>
        </w:rPr>
        <w:t>medicina especializada; </w:t>
      </w:r>
      <w:r>
        <w:rPr>
          <w:sz w:val="23"/>
        </w:rPr>
        <w:t>10) </w:t>
      </w:r>
      <w:r>
        <w:rPr>
          <w:i/>
          <w:spacing w:val="-3"/>
          <w:sz w:val="23"/>
        </w:rPr>
        <w:t>equinoterapia, </w:t>
      </w:r>
      <w:r>
        <w:rPr>
          <w:spacing w:val="-3"/>
          <w:sz w:val="23"/>
        </w:rPr>
        <w:t>medicina   </w:t>
      </w:r>
      <w:r>
        <w:rPr>
          <w:spacing w:val="8"/>
          <w:sz w:val="23"/>
        </w:rPr>
        <w:t> </w:t>
      </w:r>
      <w:r>
        <w:rPr>
          <w:spacing w:val="-3"/>
          <w:sz w:val="23"/>
        </w:rPr>
        <w:t>especializada;</w:t>
      </w:r>
    </w:p>
    <w:p>
      <w:pPr>
        <w:spacing w:line="250" w:lineRule="exact" w:before="0"/>
        <w:ind w:left="110" w:right="114" w:firstLine="0"/>
        <w:jc w:val="both"/>
        <w:rPr>
          <w:sz w:val="23"/>
        </w:rPr>
      </w:pPr>
      <w:r>
        <w:rPr/>
        <w:pict>
          <v:line style="position:absolute;mso-position-horizontal-relative:page;mso-position-vertical-relative:paragraph;z-index:3256;mso-wrap-distance-left:0;mso-wrap-distance-right:0" from="42.51960pt,53.251392pt" to="114.5196pt,53.251392pt" stroked="true" strokeweight="1pt" strokecolor="#000000">
            <w10:wrap type="topAndBottom"/>
          </v:line>
        </w:pict>
      </w:r>
      <w:r>
        <w:rPr>
          <w:spacing w:val="-9"/>
          <w:sz w:val="23"/>
        </w:rPr>
        <w:t>11)</w:t>
      </w:r>
      <w:r>
        <w:rPr>
          <w:spacing w:val="-24"/>
          <w:sz w:val="23"/>
        </w:rPr>
        <w:t> </w:t>
      </w:r>
      <w:r>
        <w:rPr>
          <w:i/>
          <w:spacing w:val="-9"/>
          <w:sz w:val="23"/>
        </w:rPr>
        <w:t>programa</w:t>
      </w:r>
      <w:r>
        <w:rPr>
          <w:i/>
          <w:spacing w:val="-24"/>
          <w:sz w:val="23"/>
        </w:rPr>
        <w:t> </w:t>
      </w:r>
      <w:r>
        <w:rPr>
          <w:i/>
          <w:spacing w:val="-9"/>
          <w:sz w:val="23"/>
        </w:rPr>
        <w:t>preventivo</w:t>
      </w:r>
      <w:r>
        <w:rPr>
          <w:i/>
          <w:spacing w:val="-24"/>
          <w:sz w:val="23"/>
        </w:rPr>
        <w:t> </w:t>
      </w:r>
      <w:r>
        <w:rPr>
          <w:i/>
          <w:spacing w:val="-7"/>
          <w:sz w:val="23"/>
        </w:rPr>
        <w:t>contra</w:t>
      </w:r>
      <w:r>
        <w:rPr>
          <w:i/>
          <w:spacing w:val="-24"/>
          <w:sz w:val="23"/>
        </w:rPr>
        <w:t> </w:t>
      </w:r>
      <w:r>
        <w:rPr>
          <w:i/>
          <w:spacing w:val="-7"/>
          <w:sz w:val="23"/>
        </w:rPr>
        <w:t>cáncer</w:t>
      </w:r>
      <w:r>
        <w:rPr>
          <w:i/>
          <w:spacing w:val="-24"/>
          <w:sz w:val="23"/>
        </w:rPr>
        <w:t> </w:t>
      </w:r>
      <w:r>
        <w:rPr>
          <w:i/>
          <w:spacing w:val="-5"/>
          <w:sz w:val="23"/>
        </w:rPr>
        <w:t>de</w:t>
      </w:r>
      <w:r>
        <w:rPr>
          <w:i/>
          <w:spacing w:val="-24"/>
          <w:sz w:val="23"/>
        </w:rPr>
        <w:t> </w:t>
      </w:r>
      <w:r>
        <w:rPr>
          <w:i/>
          <w:spacing w:val="-8"/>
          <w:sz w:val="23"/>
        </w:rPr>
        <w:t>próstata,</w:t>
      </w:r>
      <w:r>
        <w:rPr>
          <w:i/>
          <w:spacing w:val="-24"/>
          <w:sz w:val="23"/>
        </w:rPr>
        <w:t> </w:t>
      </w:r>
      <w:r>
        <w:rPr>
          <w:spacing w:val="-7"/>
          <w:sz w:val="23"/>
        </w:rPr>
        <w:t>medicina</w:t>
      </w:r>
      <w:r>
        <w:rPr>
          <w:spacing w:val="-24"/>
          <w:sz w:val="23"/>
        </w:rPr>
        <w:t> </w:t>
      </w:r>
      <w:r>
        <w:rPr>
          <w:spacing w:val="-8"/>
          <w:sz w:val="23"/>
        </w:rPr>
        <w:t>especializada;</w:t>
      </w:r>
      <w:r>
        <w:rPr>
          <w:spacing w:val="-25"/>
          <w:sz w:val="23"/>
        </w:rPr>
        <w:t> </w:t>
      </w:r>
      <w:r>
        <w:rPr>
          <w:spacing w:val="-6"/>
          <w:sz w:val="23"/>
        </w:rPr>
        <w:t>12)</w:t>
      </w:r>
      <w:r>
        <w:rPr>
          <w:spacing w:val="-24"/>
          <w:sz w:val="23"/>
        </w:rPr>
        <w:t> </w:t>
      </w:r>
      <w:r>
        <w:rPr>
          <w:i/>
          <w:spacing w:val="-11"/>
          <w:sz w:val="23"/>
        </w:rPr>
        <w:t>pro- </w:t>
      </w:r>
      <w:r>
        <w:rPr>
          <w:i/>
          <w:spacing w:val="-8"/>
          <w:sz w:val="23"/>
        </w:rPr>
        <w:t>grama </w:t>
      </w:r>
      <w:r>
        <w:rPr>
          <w:i/>
          <w:spacing w:val="-9"/>
          <w:sz w:val="23"/>
        </w:rPr>
        <w:t>preventivo </w:t>
      </w:r>
      <w:r>
        <w:rPr>
          <w:i/>
          <w:spacing w:val="-7"/>
          <w:sz w:val="23"/>
        </w:rPr>
        <w:t>contra cáncer </w:t>
      </w:r>
      <w:r>
        <w:rPr>
          <w:i/>
          <w:spacing w:val="-5"/>
          <w:sz w:val="23"/>
        </w:rPr>
        <w:t>de </w:t>
      </w:r>
      <w:r>
        <w:rPr>
          <w:i/>
          <w:spacing w:val="-8"/>
          <w:sz w:val="23"/>
        </w:rPr>
        <w:t>mama, </w:t>
      </w:r>
      <w:r>
        <w:rPr>
          <w:spacing w:val="-7"/>
          <w:sz w:val="23"/>
        </w:rPr>
        <w:t>medicina </w:t>
      </w:r>
      <w:r>
        <w:rPr>
          <w:spacing w:val="-8"/>
          <w:sz w:val="23"/>
        </w:rPr>
        <w:t>especializada; </w:t>
      </w:r>
      <w:r>
        <w:rPr>
          <w:spacing w:val="-6"/>
          <w:sz w:val="23"/>
        </w:rPr>
        <w:t>13) </w:t>
      </w:r>
      <w:r>
        <w:rPr>
          <w:i/>
          <w:spacing w:val="-4"/>
          <w:sz w:val="23"/>
        </w:rPr>
        <w:t>prevención </w:t>
      </w:r>
      <w:r>
        <w:rPr>
          <w:i/>
          <w:sz w:val="23"/>
        </w:rPr>
        <w:t>y control de adicciones, </w:t>
      </w:r>
      <w:r>
        <w:rPr>
          <w:sz w:val="23"/>
        </w:rPr>
        <w:t>medicina especializada; y 14) </w:t>
      </w:r>
      <w:r>
        <w:rPr>
          <w:i/>
          <w:sz w:val="23"/>
        </w:rPr>
        <w:t>programa integral de </w:t>
      </w:r>
      <w:r>
        <w:rPr>
          <w:i/>
          <w:sz w:val="23"/>
        </w:rPr>
        <w:t>alimentación </w:t>
      </w:r>
      <w:r>
        <w:rPr>
          <w:sz w:val="23"/>
        </w:rPr>
        <w:t>(PIA), distribución de</w:t>
      </w:r>
      <w:r>
        <w:rPr>
          <w:spacing w:val="4"/>
          <w:sz w:val="23"/>
        </w:rPr>
        <w:t> </w:t>
      </w:r>
      <w:r>
        <w:rPr>
          <w:sz w:val="23"/>
        </w:rPr>
        <w:t>despensas</w:t>
      </w:r>
      <w:r>
        <w:rPr>
          <w:position w:val="8"/>
          <w:sz w:val="13"/>
        </w:rPr>
        <w:t>210</w:t>
      </w:r>
      <w:r>
        <w:rPr>
          <w:sz w:val="23"/>
        </w:rPr>
        <w:t>.</w:t>
      </w:r>
    </w:p>
    <w:p>
      <w:pPr>
        <w:spacing w:line="200" w:lineRule="exact" w:before="1"/>
        <w:ind w:left="393" w:right="115" w:hanging="284"/>
        <w:jc w:val="both"/>
        <w:rPr>
          <w:sz w:val="18"/>
        </w:rPr>
      </w:pPr>
      <w:r>
        <w:rPr>
          <w:position w:val="7"/>
          <w:sz w:val="11"/>
        </w:rPr>
        <w:t>206 </w:t>
      </w:r>
      <w:r>
        <w:rPr>
          <w:sz w:val="18"/>
        </w:rPr>
        <w:t>Información proporcionada para esta investigación por la subdirectora de planeación institucional</w:t>
      </w:r>
      <w:r>
        <w:rPr>
          <w:spacing w:val="-8"/>
          <w:sz w:val="18"/>
        </w:rPr>
        <w:t> </w:t>
      </w:r>
      <w:r>
        <w:rPr>
          <w:sz w:val="18"/>
        </w:rPr>
        <w:t>del</w:t>
      </w:r>
      <w:r>
        <w:rPr>
          <w:spacing w:val="-7"/>
          <w:sz w:val="18"/>
        </w:rPr>
        <w:t> </w:t>
      </w:r>
      <w:r>
        <w:rPr>
          <w:sz w:val="18"/>
        </w:rPr>
        <w:t>Sistema</w:t>
      </w:r>
      <w:r>
        <w:rPr>
          <w:spacing w:val="-7"/>
          <w:sz w:val="18"/>
        </w:rPr>
        <w:t> </w:t>
      </w:r>
      <w:r>
        <w:rPr>
          <w:sz w:val="18"/>
        </w:rPr>
        <w:t>Estatal</w:t>
      </w:r>
      <w:r>
        <w:rPr>
          <w:spacing w:val="-8"/>
          <w:sz w:val="18"/>
        </w:rPr>
        <w:t> </w:t>
      </w:r>
      <w:r>
        <w:rPr>
          <w:sz w:val="18"/>
        </w:rPr>
        <w:t>para</w:t>
      </w:r>
      <w:r>
        <w:rPr>
          <w:spacing w:val="-7"/>
          <w:sz w:val="18"/>
        </w:rPr>
        <w:t> </w:t>
      </w:r>
      <w:r>
        <w:rPr>
          <w:sz w:val="18"/>
        </w:rPr>
        <w:t>el</w:t>
      </w:r>
      <w:r>
        <w:rPr>
          <w:spacing w:val="-8"/>
          <w:sz w:val="18"/>
        </w:rPr>
        <w:t> </w:t>
      </w:r>
      <w:r>
        <w:rPr>
          <w:sz w:val="18"/>
        </w:rPr>
        <w:t>Desarrollo</w:t>
      </w:r>
      <w:r>
        <w:rPr>
          <w:spacing w:val="-7"/>
          <w:sz w:val="18"/>
        </w:rPr>
        <w:t> </w:t>
      </w:r>
      <w:r>
        <w:rPr>
          <w:sz w:val="18"/>
        </w:rPr>
        <w:t>Integral</w:t>
      </w:r>
      <w:r>
        <w:rPr>
          <w:spacing w:val="-7"/>
          <w:sz w:val="18"/>
        </w:rPr>
        <w:t> </w:t>
      </w:r>
      <w:r>
        <w:rPr>
          <w:sz w:val="18"/>
        </w:rPr>
        <w:t>de</w:t>
      </w:r>
      <w:r>
        <w:rPr>
          <w:spacing w:val="-7"/>
          <w:sz w:val="18"/>
        </w:rPr>
        <w:t> </w:t>
      </w:r>
      <w:r>
        <w:rPr>
          <w:sz w:val="18"/>
        </w:rPr>
        <w:t>la</w:t>
      </w:r>
      <w:r>
        <w:rPr>
          <w:spacing w:val="-8"/>
          <w:sz w:val="18"/>
        </w:rPr>
        <w:t> </w:t>
      </w:r>
      <w:r>
        <w:rPr>
          <w:sz w:val="18"/>
        </w:rPr>
        <w:t>Familia</w:t>
      </w:r>
      <w:r>
        <w:rPr>
          <w:spacing w:val="-7"/>
          <w:sz w:val="18"/>
        </w:rPr>
        <w:t> </w:t>
      </w:r>
      <w:r>
        <w:rPr>
          <w:sz w:val="18"/>
        </w:rPr>
        <w:t>(DIF),</w:t>
      </w:r>
      <w:r>
        <w:rPr>
          <w:spacing w:val="-7"/>
          <w:sz w:val="18"/>
        </w:rPr>
        <w:t> </w:t>
      </w:r>
      <w:r>
        <w:rPr>
          <w:sz w:val="18"/>
        </w:rPr>
        <w:t>13</w:t>
      </w:r>
      <w:r>
        <w:rPr>
          <w:spacing w:val="-8"/>
          <w:sz w:val="18"/>
        </w:rPr>
        <w:t> </w:t>
      </w:r>
      <w:r>
        <w:rPr>
          <w:sz w:val="18"/>
        </w:rPr>
        <w:t>de</w:t>
      </w:r>
      <w:r>
        <w:rPr>
          <w:spacing w:val="-7"/>
          <w:sz w:val="18"/>
        </w:rPr>
        <w:t> </w:t>
      </w:r>
      <w:r>
        <w:rPr>
          <w:sz w:val="18"/>
        </w:rPr>
        <w:t>enero</w:t>
      </w:r>
      <w:r>
        <w:rPr>
          <w:spacing w:val="-8"/>
          <w:sz w:val="18"/>
        </w:rPr>
        <w:t> </w:t>
      </w:r>
      <w:r>
        <w:rPr>
          <w:sz w:val="18"/>
        </w:rPr>
        <w:t>del 2011.</w:t>
      </w:r>
    </w:p>
    <w:p>
      <w:pPr>
        <w:spacing w:line="200" w:lineRule="exact" w:before="0"/>
        <w:ind w:left="393" w:right="114" w:hanging="284"/>
        <w:jc w:val="both"/>
        <w:rPr>
          <w:sz w:val="18"/>
        </w:rPr>
      </w:pPr>
      <w:r>
        <w:rPr>
          <w:position w:val="7"/>
          <w:sz w:val="11"/>
        </w:rPr>
        <w:t>207 </w:t>
      </w:r>
      <w:r>
        <w:rPr>
          <w:sz w:val="18"/>
        </w:rPr>
        <w:t>Este programa es emblemático del periodo administrativo 2005-2011, se inspira en escuelas para padres pero cuenta con manuales específicos diseñados por </w:t>
      </w:r>
      <w:r>
        <w:rPr>
          <w:spacing w:val="-3"/>
          <w:sz w:val="18"/>
        </w:rPr>
        <w:t>Vidal </w:t>
      </w:r>
      <w:r>
        <w:rPr>
          <w:sz w:val="18"/>
        </w:rPr>
        <w:t>Schmil. Según una de sus</w:t>
      </w:r>
      <w:r>
        <w:rPr>
          <w:spacing w:val="-5"/>
          <w:sz w:val="18"/>
        </w:rPr>
        <w:t> </w:t>
      </w:r>
      <w:r>
        <w:rPr>
          <w:sz w:val="18"/>
        </w:rPr>
        <w:t>principales</w:t>
      </w:r>
      <w:r>
        <w:rPr>
          <w:spacing w:val="-5"/>
          <w:sz w:val="18"/>
        </w:rPr>
        <w:t> </w:t>
      </w:r>
      <w:r>
        <w:rPr>
          <w:sz w:val="18"/>
        </w:rPr>
        <w:t>promotoras,</w:t>
      </w:r>
      <w:r>
        <w:rPr>
          <w:spacing w:val="-5"/>
          <w:sz w:val="18"/>
        </w:rPr>
        <w:t> </w:t>
      </w:r>
      <w:r>
        <w:rPr>
          <w:sz w:val="18"/>
        </w:rPr>
        <w:t>la</w:t>
      </w:r>
      <w:r>
        <w:rPr>
          <w:spacing w:val="-5"/>
          <w:sz w:val="18"/>
        </w:rPr>
        <w:t> </w:t>
      </w:r>
      <w:r>
        <w:rPr>
          <w:sz w:val="18"/>
        </w:rPr>
        <w:t>subdirectora</w:t>
      </w:r>
      <w:r>
        <w:rPr>
          <w:spacing w:val="-4"/>
          <w:sz w:val="18"/>
        </w:rPr>
        <w:t> </w:t>
      </w:r>
      <w:r>
        <w:rPr>
          <w:sz w:val="18"/>
        </w:rPr>
        <w:t>de</w:t>
      </w:r>
      <w:r>
        <w:rPr>
          <w:spacing w:val="-5"/>
          <w:sz w:val="18"/>
        </w:rPr>
        <w:t> </w:t>
      </w:r>
      <w:r>
        <w:rPr>
          <w:sz w:val="18"/>
        </w:rPr>
        <w:t>planeación</w:t>
      </w:r>
      <w:r>
        <w:rPr>
          <w:spacing w:val="-5"/>
          <w:sz w:val="18"/>
        </w:rPr>
        <w:t> </w:t>
      </w:r>
      <w:r>
        <w:rPr>
          <w:sz w:val="18"/>
        </w:rPr>
        <w:t>institucional</w:t>
      </w:r>
      <w:r>
        <w:rPr>
          <w:spacing w:val="-6"/>
          <w:sz w:val="18"/>
        </w:rPr>
        <w:t> </w:t>
      </w:r>
      <w:r>
        <w:rPr>
          <w:sz w:val="18"/>
        </w:rPr>
        <w:t>del</w:t>
      </w:r>
      <w:r>
        <w:rPr>
          <w:spacing w:val="-5"/>
          <w:sz w:val="18"/>
        </w:rPr>
        <w:t> </w:t>
      </w:r>
      <w:r>
        <w:rPr>
          <w:sz w:val="18"/>
        </w:rPr>
        <w:t>Sistema</w:t>
      </w:r>
      <w:r>
        <w:rPr>
          <w:spacing w:val="-4"/>
          <w:sz w:val="18"/>
        </w:rPr>
        <w:t> </w:t>
      </w:r>
      <w:r>
        <w:rPr>
          <w:sz w:val="18"/>
        </w:rPr>
        <w:t>Estatal</w:t>
      </w:r>
      <w:r>
        <w:rPr>
          <w:spacing w:val="-5"/>
          <w:sz w:val="18"/>
        </w:rPr>
        <w:t> </w:t>
      </w:r>
      <w:r>
        <w:rPr>
          <w:sz w:val="18"/>
        </w:rPr>
        <w:t>para el Desarrollo Integral de la Familia (DIF), ha beneficiado a más de doscientas mil personas en el estado.</w:t>
      </w:r>
    </w:p>
    <w:p>
      <w:pPr>
        <w:spacing w:line="193" w:lineRule="exact" w:before="0"/>
        <w:ind w:left="110" w:right="0" w:firstLine="0"/>
        <w:jc w:val="both"/>
        <w:rPr>
          <w:i/>
          <w:sz w:val="18"/>
        </w:rPr>
      </w:pPr>
      <w:r>
        <w:rPr>
          <w:w w:val="105"/>
          <w:position w:val="7"/>
          <w:sz w:val="11"/>
        </w:rPr>
        <w:t>208  </w:t>
      </w:r>
      <w:r>
        <w:rPr>
          <w:i/>
          <w:w w:val="105"/>
          <w:sz w:val="18"/>
        </w:rPr>
        <w:t>Ibídem.</w:t>
      </w:r>
    </w:p>
    <w:p>
      <w:pPr>
        <w:spacing w:line="200" w:lineRule="exact" w:before="0"/>
        <w:ind w:left="110" w:right="0" w:firstLine="0"/>
        <w:jc w:val="both"/>
        <w:rPr>
          <w:i/>
          <w:sz w:val="18"/>
        </w:rPr>
      </w:pPr>
      <w:r>
        <w:rPr>
          <w:w w:val="105"/>
          <w:position w:val="7"/>
          <w:sz w:val="11"/>
        </w:rPr>
        <w:t>209  </w:t>
      </w:r>
      <w:r>
        <w:rPr>
          <w:i/>
          <w:w w:val="105"/>
          <w:sz w:val="18"/>
        </w:rPr>
        <w:t>Ibídem.</w:t>
      </w:r>
    </w:p>
    <w:p>
      <w:pPr>
        <w:spacing w:line="206" w:lineRule="exact" w:before="0"/>
        <w:ind w:left="110" w:right="0" w:firstLine="0"/>
        <w:jc w:val="both"/>
        <w:rPr>
          <w:i/>
          <w:sz w:val="18"/>
        </w:rPr>
      </w:pPr>
      <w:r>
        <w:rPr>
          <w:w w:val="105"/>
          <w:position w:val="7"/>
          <w:sz w:val="11"/>
        </w:rPr>
        <w:t>210  </w:t>
      </w:r>
      <w:r>
        <w:rPr>
          <w:i/>
          <w:w w:val="105"/>
          <w:sz w:val="18"/>
        </w:rPr>
        <w:t>Ibídem.</w:t>
      </w:r>
    </w:p>
    <w:p>
      <w:pPr>
        <w:spacing w:after="0" w:line="206" w:lineRule="exact"/>
        <w:jc w:val="both"/>
        <w:rPr>
          <w:sz w:val="18"/>
        </w:rPr>
        <w:sectPr>
          <w:pgSz w:w="9360" w:h="13040"/>
          <w:pgMar w:header="547" w:footer="515" w:top="720" w:bottom="700" w:left="740" w:right="1300"/>
        </w:sectPr>
      </w:pPr>
    </w:p>
    <w:p>
      <w:pPr>
        <w:pStyle w:val="BodyText"/>
        <w:spacing w:before="11"/>
        <w:rPr>
          <w:i/>
          <w:sz w:val="29"/>
        </w:rPr>
      </w:pPr>
    </w:p>
    <w:p>
      <w:pPr>
        <w:pStyle w:val="Heading3"/>
        <w:spacing w:before="70"/>
      </w:pPr>
      <w:r>
        <w:rPr/>
        <w:t>La</w:t>
      </w:r>
      <w:r>
        <w:rPr>
          <w:spacing w:val="-25"/>
        </w:rPr>
        <w:t> </w:t>
      </w:r>
      <w:r>
        <w:rPr/>
        <w:t>Junta</w:t>
      </w:r>
      <w:r>
        <w:rPr>
          <w:spacing w:val="-25"/>
        </w:rPr>
        <w:t> </w:t>
      </w:r>
      <w:r>
        <w:rPr/>
        <w:t>General</w:t>
      </w:r>
      <w:r>
        <w:rPr>
          <w:spacing w:val="-26"/>
        </w:rPr>
        <w:t> </w:t>
      </w:r>
      <w:r>
        <w:rPr/>
        <w:t>de</w:t>
      </w:r>
      <w:r>
        <w:rPr>
          <w:spacing w:val="-37"/>
        </w:rPr>
        <w:t> </w:t>
      </w:r>
      <w:r>
        <w:rPr/>
        <w:t>Asistencia</w:t>
      </w:r>
      <w:r>
        <w:rPr>
          <w:spacing w:val="-25"/>
        </w:rPr>
        <w:t> </w:t>
      </w:r>
      <w:r>
        <w:rPr/>
        <w:t>Privada</w:t>
      </w:r>
      <w:r>
        <w:rPr>
          <w:spacing w:val="-26"/>
        </w:rPr>
        <w:t> </w:t>
      </w:r>
      <w:r>
        <w:rPr/>
        <w:t>del</w:t>
      </w:r>
      <w:r>
        <w:rPr>
          <w:spacing w:val="-25"/>
        </w:rPr>
        <w:t> </w:t>
      </w:r>
      <w:r>
        <w:rPr/>
        <w:t>Estado</w:t>
      </w:r>
      <w:r>
        <w:rPr>
          <w:spacing w:val="-25"/>
        </w:rPr>
        <w:t> </w:t>
      </w:r>
      <w:r>
        <w:rPr/>
        <w:t>de</w:t>
      </w:r>
      <w:r>
        <w:rPr>
          <w:spacing w:val="-25"/>
        </w:rPr>
        <w:t> </w:t>
      </w:r>
      <w:r>
        <w:rPr/>
        <w:t>Hidalgo</w:t>
      </w:r>
      <w:r>
        <w:rPr>
          <w:spacing w:val="-26"/>
        </w:rPr>
        <w:t> </w:t>
      </w:r>
      <w:r>
        <w:rPr/>
        <w:t>(JGAPEH).</w:t>
      </w:r>
    </w:p>
    <w:p>
      <w:pPr>
        <w:pStyle w:val="BodyText"/>
        <w:spacing w:before="8"/>
        <w:rPr>
          <w:b/>
          <w:sz w:val="21"/>
        </w:rPr>
      </w:pPr>
    </w:p>
    <w:p>
      <w:pPr>
        <w:pStyle w:val="BodyText"/>
        <w:spacing w:line="250" w:lineRule="exact"/>
        <w:ind w:left="117" w:right="107"/>
        <w:jc w:val="both"/>
      </w:pPr>
      <w:r>
        <w:rPr/>
        <w:t>La JGAPEH se fundó a la mitad de la década de los veinte del siglo pasado como</w:t>
      </w:r>
      <w:r>
        <w:rPr>
          <w:spacing w:val="-13"/>
        </w:rPr>
        <w:t> </w:t>
      </w:r>
      <w:r>
        <w:rPr/>
        <w:t>un</w:t>
      </w:r>
      <w:r>
        <w:rPr>
          <w:spacing w:val="-13"/>
        </w:rPr>
        <w:t> </w:t>
      </w:r>
      <w:r>
        <w:rPr/>
        <w:t>organismo</w:t>
      </w:r>
      <w:r>
        <w:rPr>
          <w:spacing w:val="-13"/>
        </w:rPr>
        <w:t> </w:t>
      </w:r>
      <w:r>
        <w:rPr/>
        <w:t>público</w:t>
      </w:r>
      <w:r>
        <w:rPr>
          <w:spacing w:val="-13"/>
        </w:rPr>
        <w:t> </w:t>
      </w:r>
      <w:r>
        <w:rPr/>
        <w:t>descentralizado</w:t>
      </w:r>
      <w:r>
        <w:rPr>
          <w:spacing w:val="-13"/>
        </w:rPr>
        <w:t> </w:t>
      </w:r>
      <w:r>
        <w:rPr/>
        <w:t>estatal,</w:t>
      </w:r>
      <w:r>
        <w:rPr>
          <w:spacing w:val="-13"/>
        </w:rPr>
        <w:t> </w:t>
      </w:r>
      <w:r>
        <w:rPr/>
        <w:t>sin</w:t>
      </w:r>
      <w:r>
        <w:rPr>
          <w:spacing w:val="-13"/>
        </w:rPr>
        <w:t> </w:t>
      </w:r>
      <w:r>
        <w:rPr/>
        <w:t>embargo,</w:t>
      </w:r>
      <w:r>
        <w:rPr>
          <w:spacing w:val="-13"/>
        </w:rPr>
        <w:t> </w:t>
      </w:r>
      <w:r>
        <w:rPr/>
        <w:t>actualmente constituye</w:t>
      </w:r>
      <w:r>
        <w:rPr>
          <w:spacing w:val="-7"/>
        </w:rPr>
        <w:t> </w:t>
      </w:r>
      <w:r>
        <w:rPr/>
        <w:t>una</w:t>
      </w:r>
      <w:r>
        <w:rPr>
          <w:spacing w:val="-7"/>
        </w:rPr>
        <w:t> </w:t>
      </w:r>
      <w:r>
        <w:rPr/>
        <w:t>de</w:t>
      </w:r>
      <w:r>
        <w:rPr>
          <w:spacing w:val="-7"/>
        </w:rPr>
        <w:t> </w:t>
      </w:r>
      <w:r>
        <w:rPr/>
        <w:t>las</w:t>
      </w:r>
      <w:r>
        <w:rPr>
          <w:spacing w:val="-7"/>
        </w:rPr>
        <w:t> </w:t>
      </w:r>
      <w:r>
        <w:rPr/>
        <w:t>tres</w:t>
      </w:r>
      <w:r>
        <w:rPr>
          <w:spacing w:val="-7"/>
        </w:rPr>
        <w:t> </w:t>
      </w:r>
      <w:r>
        <w:rPr/>
        <w:t>áreas</w:t>
      </w:r>
      <w:r>
        <w:rPr>
          <w:spacing w:val="-7"/>
        </w:rPr>
        <w:t> </w:t>
      </w:r>
      <w:r>
        <w:rPr/>
        <w:t>del</w:t>
      </w:r>
      <w:r>
        <w:rPr>
          <w:spacing w:val="-6"/>
        </w:rPr>
        <w:t> </w:t>
      </w:r>
      <w:r>
        <w:rPr/>
        <w:t>sistema</w:t>
      </w:r>
      <w:r>
        <w:rPr>
          <w:spacing w:val="-6"/>
        </w:rPr>
        <w:t> </w:t>
      </w:r>
      <w:r>
        <w:rPr/>
        <w:t>DIF</w:t>
      </w:r>
      <w:r>
        <w:rPr>
          <w:spacing w:val="-6"/>
        </w:rPr>
        <w:t> </w:t>
      </w:r>
      <w:r>
        <w:rPr/>
        <w:t>estatal</w:t>
      </w:r>
      <w:r>
        <w:rPr>
          <w:spacing w:val="-7"/>
        </w:rPr>
        <w:t> </w:t>
      </w:r>
      <w:r>
        <w:rPr/>
        <w:t>(asistencia</w:t>
      </w:r>
      <w:r>
        <w:rPr>
          <w:spacing w:val="-7"/>
        </w:rPr>
        <w:t> </w:t>
      </w:r>
      <w:r>
        <w:rPr/>
        <w:t>privada,</w:t>
      </w:r>
      <w:r>
        <w:rPr>
          <w:spacing w:val="-6"/>
        </w:rPr>
        <w:t> </w:t>
      </w:r>
      <w:r>
        <w:rPr/>
        <w:t>las otras</w:t>
      </w:r>
      <w:r>
        <w:rPr>
          <w:spacing w:val="-6"/>
        </w:rPr>
        <w:t> </w:t>
      </w:r>
      <w:r>
        <w:rPr/>
        <w:t>dos</w:t>
      </w:r>
      <w:r>
        <w:rPr>
          <w:spacing w:val="-6"/>
        </w:rPr>
        <w:t> </w:t>
      </w:r>
      <w:r>
        <w:rPr/>
        <w:t>son</w:t>
      </w:r>
      <w:r>
        <w:rPr>
          <w:spacing w:val="-6"/>
        </w:rPr>
        <w:t> </w:t>
      </w:r>
      <w:r>
        <w:rPr/>
        <w:t>asistencia</w:t>
      </w:r>
      <w:r>
        <w:rPr>
          <w:spacing w:val="-6"/>
        </w:rPr>
        <w:t> </w:t>
      </w:r>
      <w:r>
        <w:rPr/>
        <w:t>social</w:t>
      </w:r>
      <w:r>
        <w:rPr>
          <w:spacing w:val="-5"/>
        </w:rPr>
        <w:t> </w:t>
      </w:r>
      <w:r>
        <w:rPr/>
        <w:t>y</w:t>
      </w:r>
      <w:r>
        <w:rPr>
          <w:spacing w:val="-6"/>
        </w:rPr>
        <w:t> </w:t>
      </w:r>
      <w:r>
        <w:rPr/>
        <w:t>asistencia</w:t>
      </w:r>
      <w:r>
        <w:rPr>
          <w:spacing w:val="-7"/>
        </w:rPr>
        <w:t> </w:t>
      </w:r>
      <w:r>
        <w:rPr/>
        <w:t>en</w:t>
      </w:r>
      <w:r>
        <w:rPr>
          <w:spacing w:val="-6"/>
        </w:rPr>
        <w:t> </w:t>
      </w:r>
      <w:r>
        <w:rPr/>
        <w:t>la</w:t>
      </w:r>
      <w:r>
        <w:rPr>
          <w:spacing w:val="-6"/>
        </w:rPr>
        <w:t> </w:t>
      </w:r>
      <w:r>
        <w:rPr/>
        <w:t>salud).</w:t>
      </w:r>
      <w:r>
        <w:rPr>
          <w:spacing w:val="-5"/>
        </w:rPr>
        <w:t> </w:t>
      </w:r>
      <w:r>
        <w:rPr/>
        <w:t>El</w:t>
      </w:r>
      <w:r>
        <w:rPr>
          <w:spacing w:val="-6"/>
        </w:rPr>
        <w:t> </w:t>
      </w:r>
      <w:r>
        <w:rPr/>
        <w:t>presente</w:t>
      </w:r>
      <w:r>
        <w:rPr>
          <w:spacing w:val="-6"/>
        </w:rPr>
        <w:t> </w:t>
      </w:r>
      <w:r>
        <w:rPr/>
        <w:t>texto</w:t>
      </w:r>
      <w:r>
        <w:rPr>
          <w:spacing w:val="-6"/>
        </w:rPr>
        <w:t> </w:t>
      </w:r>
      <w:r>
        <w:rPr/>
        <w:t>le</w:t>
      </w:r>
      <w:r>
        <w:rPr>
          <w:spacing w:val="-6"/>
        </w:rPr>
        <w:t> </w:t>
      </w:r>
      <w:r>
        <w:rPr/>
        <w:t>da a la JGAPEH un tratamiento especial en virtud de que constituye un modelo de</w:t>
      </w:r>
      <w:r>
        <w:rPr>
          <w:spacing w:val="-8"/>
        </w:rPr>
        <w:t> </w:t>
      </w:r>
      <w:r>
        <w:rPr/>
        <w:t>integración</w:t>
      </w:r>
      <w:r>
        <w:rPr>
          <w:spacing w:val="-8"/>
        </w:rPr>
        <w:t> </w:t>
      </w:r>
      <w:r>
        <w:rPr/>
        <w:t>funcional</w:t>
      </w:r>
      <w:r>
        <w:rPr>
          <w:spacing w:val="-8"/>
        </w:rPr>
        <w:t> </w:t>
      </w:r>
      <w:r>
        <w:rPr/>
        <w:t>público-privado</w:t>
      </w:r>
      <w:r>
        <w:rPr>
          <w:spacing w:val="-8"/>
        </w:rPr>
        <w:t> </w:t>
      </w:r>
      <w:r>
        <w:rPr/>
        <w:t>en</w:t>
      </w:r>
      <w:r>
        <w:rPr>
          <w:spacing w:val="-8"/>
        </w:rPr>
        <w:t> </w:t>
      </w:r>
      <w:r>
        <w:rPr/>
        <w:t>materia</w:t>
      </w:r>
      <w:r>
        <w:rPr>
          <w:spacing w:val="-9"/>
        </w:rPr>
        <w:t> </w:t>
      </w:r>
      <w:r>
        <w:rPr/>
        <w:t>de</w:t>
      </w:r>
      <w:r>
        <w:rPr>
          <w:spacing w:val="-8"/>
        </w:rPr>
        <w:t> </w:t>
      </w:r>
      <w:r>
        <w:rPr/>
        <w:t>política</w:t>
      </w:r>
      <w:r>
        <w:rPr>
          <w:spacing w:val="-8"/>
        </w:rPr>
        <w:t> </w:t>
      </w:r>
      <w:r>
        <w:rPr/>
        <w:t>redistributiva, lo cual hace que los esquemas públicos tengan alcances indirectos y que destaque la especialización estratégica de las acciones privadas. Esto es,    las funciones de la JGAPEH son las de coadyuvar en los propósitos de las organizaciones de asistencia privada que registrados, su colaboración tiene dos vertientes: asesoría y apoyos económicos o en</w:t>
      </w:r>
      <w:r>
        <w:rPr>
          <w:spacing w:val="-5"/>
        </w:rPr>
        <w:t> </w:t>
      </w:r>
      <w:r>
        <w:rPr/>
        <w:t>especie.</w:t>
      </w:r>
    </w:p>
    <w:p>
      <w:pPr>
        <w:pStyle w:val="BodyText"/>
        <w:spacing w:before="8"/>
        <w:rPr>
          <w:sz w:val="21"/>
        </w:rPr>
      </w:pPr>
    </w:p>
    <w:p>
      <w:pPr>
        <w:pStyle w:val="BodyText"/>
        <w:spacing w:line="250" w:lineRule="exact"/>
        <w:ind w:left="117" w:right="105"/>
        <w:jc w:val="both"/>
      </w:pPr>
      <w:r>
        <w:rPr/>
        <w:t>La asesoría busca: a) promover la constitución formal de las asociaciones con todos los requisitos normativos y a bajo costo, para lo cual ha celebrado convenios con notarios; b) profesionalizar el trabajo de las asociaciones;</w:t>
      </w:r>
    </w:p>
    <w:p>
      <w:pPr>
        <w:pStyle w:val="BodyText"/>
        <w:spacing w:line="250" w:lineRule="exact"/>
        <w:ind w:left="117" w:right="105"/>
        <w:jc w:val="both"/>
      </w:pPr>
      <w:r>
        <w:rPr/>
        <w:t>c) capacitar en cuanto a la ejecución de programas  del  Instituto  Nacional de Desarrollo Social (INDESOL); d) difundir las actividades de las aso- ciaciones principalmente mediante la realización de una feria; e) dotar a     las  asociaciones  de  servicio  social  tanto  universitario  como  </w:t>
      </w:r>
      <w:r>
        <w:rPr>
          <w:spacing w:val="48"/>
        </w:rPr>
        <w:t> </w:t>
      </w:r>
      <w:r>
        <w:rPr/>
        <w:t>voluntario;</w:t>
      </w:r>
    </w:p>
    <w:p>
      <w:pPr>
        <w:pStyle w:val="ListParagraph"/>
        <w:numPr>
          <w:ilvl w:val="0"/>
          <w:numId w:val="14"/>
        </w:numPr>
        <w:tabs>
          <w:tab w:pos="391" w:val="left" w:leader="none"/>
        </w:tabs>
        <w:spacing w:line="243" w:lineRule="exact" w:before="0" w:after="0"/>
        <w:ind w:left="117" w:right="0" w:firstLine="0"/>
        <w:jc w:val="both"/>
        <w:rPr>
          <w:sz w:val="23"/>
        </w:rPr>
      </w:pPr>
      <w:r>
        <w:rPr>
          <w:sz w:val="23"/>
        </w:rPr>
        <w:t>promocionar  apoyos  interinstitucionales  como  la  atención  médica;  </w:t>
      </w:r>
      <w:r>
        <w:rPr>
          <w:spacing w:val="56"/>
          <w:sz w:val="23"/>
        </w:rPr>
        <w:t> </w:t>
      </w:r>
      <w:r>
        <w:rPr>
          <w:sz w:val="23"/>
        </w:rPr>
        <w:t>y</w:t>
      </w:r>
    </w:p>
    <w:p>
      <w:pPr>
        <w:pStyle w:val="ListParagraph"/>
        <w:numPr>
          <w:ilvl w:val="0"/>
          <w:numId w:val="14"/>
        </w:numPr>
        <w:tabs>
          <w:tab w:pos="403" w:val="left" w:leader="none"/>
        </w:tabs>
        <w:spacing w:line="250" w:lineRule="exact" w:before="7" w:after="0"/>
        <w:ind w:left="117" w:right="105" w:firstLine="0"/>
        <w:jc w:val="both"/>
        <w:rPr>
          <w:sz w:val="23"/>
        </w:rPr>
      </w:pPr>
      <w:r>
        <w:rPr>
          <w:sz w:val="23"/>
        </w:rPr>
        <w:t>promover una red mediante un reunión mensual que busca definir </w:t>
      </w:r>
      <w:r>
        <w:rPr>
          <w:spacing w:val="2"/>
          <w:sz w:val="23"/>
        </w:rPr>
        <w:t>los</w:t>
      </w:r>
      <w:r>
        <w:rPr>
          <w:spacing w:val="61"/>
          <w:sz w:val="23"/>
        </w:rPr>
        <w:t> </w:t>
      </w:r>
      <w:r>
        <w:rPr>
          <w:sz w:val="23"/>
        </w:rPr>
        <w:t>problemas de cada asociación, capacitar principalmente para la recaudación de recursos, y coordinar apoyos mutuos entre las mismas  </w:t>
      </w:r>
      <w:r>
        <w:rPr>
          <w:spacing w:val="14"/>
          <w:sz w:val="23"/>
        </w:rPr>
        <w:t> </w:t>
      </w:r>
      <w:r>
        <w:rPr>
          <w:sz w:val="23"/>
        </w:rPr>
        <w:t>organizaciones</w:t>
      </w:r>
      <w:r>
        <w:rPr>
          <w:position w:val="8"/>
          <w:sz w:val="13"/>
        </w:rPr>
        <w:t>211</w:t>
      </w:r>
      <w:r>
        <w:rPr>
          <w:sz w:val="23"/>
        </w:rPr>
        <w:t>.</w:t>
      </w:r>
    </w:p>
    <w:p>
      <w:pPr>
        <w:pStyle w:val="BodyText"/>
        <w:spacing w:before="8"/>
        <w:rPr>
          <w:sz w:val="21"/>
        </w:rPr>
      </w:pPr>
    </w:p>
    <w:p>
      <w:pPr>
        <w:pStyle w:val="BodyText"/>
        <w:spacing w:line="250" w:lineRule="exact"/>
        <w:ind w:left="117" w:right="107"/>
        <w:jc w:val="both"/>
      </w:pPr>
      <w:r>
        <w:rPr/>
        <w:t>Por su parte, los apoyos económicos o en especie son: 1) materiales para actividades (chaquira, bisutería, tejidos, televisores, etc.); 2) comodato de inmuebles de la JGAPEH; 3) pago de un porcentaje en la renta de locales, hasta un máximo del 50%; 4) materiales para la operatividad administrativa como</w:t>
      </w:r>
      <w:r>
        <w:rPr>
          <w:spacing w:val="-22"/>
        </w:rPr>
        <w:t> </w:t>
      </w:r>
      <w:r>
        <w:rPr/>
        <w:t>PC,</w:t>
      </w:r>
      <w:r>
        <w:rPr>
          <w:spacing w:val="-21"/>
        </w:rPr>
        <w:t> </w:t>
      </w:r>
      <w:r>
        <w:rPr/>
        <w:t>escritorios,</w:t>
      </w:r>
      <w:r>
        <w:rPr>
          <w:spacing w:val="-22"/>
        </w:rPr>
        <w:t> </w:t>
      </w:r>
      <w:r>
        <w:rPr/>
        <w:t>sillas,</w:t>
      </w:r>
      <w:r>
        <w:rPr>
          <w:spacing w:val="-21"/>
        </w:rPr>
        <w:t> </w:t>
      </w:r>
      <w:r>
        <w:rPr/>
        <w:t>etc.;</w:t>
      </w:r>
      <w:r>
        <w:rPr>
          <w:spacing w:val="-22"/>
        </w:rPr>
        <w:t> </w:t>
      </w:r>
      <w:r>
        <w:rPr/>
        <w:t>5)</w:t>
      </w:r>
      <w:r>
        <w:rPr>
          <w:spacing w:val="-21"/>
        </w:rPr>
        <w:t> </w:t>
      </w:r>
      <w:r>
        <w:rPr/>
        <w:t>gasolina,</w:t>
      </w:r>
      <w:r>
        <w:rPr>
          <w:spacing w:val="-22"/>
        </w:rPr>
        <w:t> </w:t>
      </w:r>
      <w:r>
        <w:rPr/>
        <w:t>6)</w:t>
      </w:r>
      <w:r>
        <w:rPr>
          <w:spacing w:val="-21"/>
        </w:rPr>
        <w:t> </w:t>
      </w:r>
      <w:r>
        <w:rPr/>
        <w:t>despensas</w:t>
      </w:r>
      <w:r>
        <w:rPr>
          <w:spacing w:val="-21"/>
        </w:rPr>
        <w:t> </w:t>
      </w:r>
      <w:r>
        <w:rPr/>
        <w:t>para</w:t>
      </w:r>
      <w:r>
        <w:rPr>
          <w:spacing w:val="-21"/>
        </w:rPr>
        <w:t> </w:t>
      </w:r>
      <w:r>
        <w:rPr/>
        <w:t>actividades</w:t>
      </w:r>
      <w:r>
        <w:rPr>
          <w:spacing w:val="-22"/>
        </w:rPr>
        <w:t> </w:t>
      </w:r>
      <w:r>
        <w:rPr/>
        <w:t>con menores, y 7) en algunos casos, apoyos en efectivo derivados principalmente del programa de redondeo de la cadena de tiendas OXXO. Para lograr lo anterior, la JGAPEH cuenta con las siguientes unidades generadoras de recursos</w:t>
      </w:r>
      <w:r>
        <w:rPr>
          <w:spacing w:val="-6"/>
        </w:rPr>
        <w:t> </w:t>
      </w:r>
      <w:r>
        <w:rPr/>
        <w:t>económicos:</w:t>
      </w:r>
      <w:r>
        <w:rPr>
          <w:spacing w:val="-7"/>
        </w:rPr>
        <w:t> </w:t>
      </w:r>
      <w:r>
        <w:rPr/>
        <w:t>las</w:t>
      </w:r>
      <w:r>
        <w:rPr>
          <w:spacing w:val="-7"/>
        </w:rPr>
        <w:t> </w:t>
      </w:r>
      <w:r>
        <w:rPr/>
        <w:t>casas</w:t>
      </w:r>
      <w:r>
        <w:rPr>
          <w:spacing w:val="-7"/>
        </w:rPr>
        <w:t> </w:t>
      </w:r>
      <w:r>
        <w:rPr/>
        <w:t>de</w:t>
      </w:r>
      <w:r>
        <w:rPr>
          <w:spacing w:val="-6"/>
        </w:rPr>
        <w:t> </w:t>
      </w:r>
      <w:r>
        <w:rPr/>
        <w:t>empeño</w:t>
      </w:r>
      <w:r>
        <w:rPr>
          <w:spacing w:val="-7"/>
        </w:rPr>
        <w:t> </w:t>
      </w:r>
      <w:r>
        <w:rPr/>
        <w:t>y</w:t>
      </w:r>
      <w:r>
        <w:rPr>
          <w:spacing w:val="-6"/>
        </w:rPr>
        <w:t> </w:t>
      </w:r>
      <w:r>
        <w:rPr/>
        <w:t>promotoras</w:t>
      </w:r>
      <w:r>
        <w:rPr>
          <w:spacing w:val="-7"/>
        </w:rPr>
        <w:t> </w:t>
      </w:r>
      <w:r>
        <w:rPr/>
        <w:t>de</w:t>
      </w:r>
      <w:r>
        <w:rPr>
          <w:spacing w:val="-6"/>
        </w:rPr>
        <w:t> </w:t>
      </w:r>
      <w:r>
        <w:rPr/>
        <w:t>crédito</w:t>
      </w:r>
      <w:r>
        <w:rPr>
          <w:spacing w:val="-7"/>
        </w:rPr>
        <w:t> </w:t>
      </w:r>
      <w:r>
        <w:rPr>
          <w:i/>
        </w:rPr>
        <w:t>Montepío</w:t>
      </w:r>
      <w:r>
        <w:rPr/>
        <w:t>, el</w:t>
      </w:r>
      <w:r>
        <w:rPr>
          <w:spacing w:val="-15"/>
        </w:rPr>
        <w:t> </w:t>
      </w:r>
      <w:r>
        <w:rPr/>
        <w:t>estacionamiento</w:t>
      </w:r>
      <w:r>
        <w:rPr>
          <w:spacing w:val="-15"/>
        </w:rPr>
        <w:t> </w:t>
      </w:r>
      <w:r>
        <w:rPr/>
        <w:t>subterráneo</w:t>
      </w:r>
      <w:r>
        <w:rPr>
          <w:spacing w:val="-14"/>
        </w:rPr>
        <w:t> </w:t>
      </w:r>
      <w:r>
        <w:rPr/>
        <w:t>de</w:t>
      </w:r>
      <w:r>
        <w:rPr>
          <w:spacing w:val="-14"/>
        </w:rPr>
        <w:t> </w:t>
      </w:r>
      <w:r>
        <w:rPr/>
        <w:t>la</w:t>
      </w:r>
      <w:r>
        <w:rPr>
          <w:spacing w:val="-15"/>
        </w:rPr>
        <w:t> </w:t>
      </w:r>
      <w:r>
        <w:rPr/>
        <w:t>Plaza</w:t>
      </w:r>
      <w:r>
        <w:rPr>
          <w:spacing w:val="-14"/>
        </w:rPr>
        <w:t> </w:t>
      </w:r>
      <w:r>
        <w:rPr/>
        <w:t>Independencia</w:t>
      </w:r>
      <w:r>
        <w:rPr>
          <w:spacing w:val="-14"/>
        </w:rPr>
        <w:t> </w:t>
      </w:r>
      <w:r>
        <w:rPr/>
        <w:t>de</w:t>
      </w:r>
      <w:r>
        <w:rPr>
          <w:spacing w:val="-14"/>
        </w:rPr>
        <w:t> </w:t>
      </w:r>
      <w:r>
        <w:rPr/>
        <w:t>Pachuca,</w:t>
      </w:r>
      <w:r>
        <w:rPr>
          <w:spacing w:val="-14"/>
        </w:rPr>
        <w:t> </w:t>
      </w:r>
      <w:r>
        <w:rPr/>
        <w:t>la</w:t>
      </w:r>
      <w:r>
        <w:rPr>
          <w:spacing w:val="-15"/>
        </w:rPr>
        <w:t> </w:t>
      </w:r>
      <w:r>
        <w:rPr/>
        <w:t>renta de</w:t>
      </w:r>
      <w:r>
        <w:rPr>
          <w:spacing w:val="-11"/>
        </w:rPr>
        <w:t> </w:t>
      </w:r>
      <w:r>
        <w:rPr/>
        <w:t>inmuebles,</w:t>
      </w:r>
      <w:r>
        <w:rPr>
          <w:spacing w:val="-11"/>
        </w:rPr>
        <w:t> </w:t>
      </w:r>
      <w:r>
        <w:rPr/>
        <w:t>un</w:t>
      </w:r>
      <w:r>
        <w:rPr>
          <w:spacing w:val="-11"/>
        </w:rPr>
        <w:t> </w:t>
      </w:r>
      <w:r>
        <w:rPr/>
        <w:t>módulo</w:t>
      </w:r>
      <w:r>
        <w:rPr>
          <w:spacing w:val="-11"/>
        </w:rPr>
        <w:t> </w:t>
      </w:r>
      <w:r>
        <w:rPr/>
        <w:t>en</w:t>
      </w:r>
      <w:r>
        <w:rPr>
          <w:spacing w:val="-11"/>
        </w:rPr>
        <w:t> </w:t>
      </w:r>
      <w:r>
        <w:rPr/>
        <w:t>la</w:t>
      </w:r>
      <w:r>
        <w:rPr>
          <w:spacing w:val="-11"/>
        </w:rPr>
        <w:t> </w:t>
      </w:r>
      <w:r>
        <w:rPr/>
        <w:t>Secretaría</w:t>
      </w:r>
      <w:r>
        <w:rPr>
          <w:spacing w:val="-10"/>
        </w:rPr>
        <w:t> </w:t>
      </w:r>
      <w:r>
        <w:rPr/>
        <w:t>de</w:t>
      </w:r>
      <w:r>
        <w:rPr>
          <w:spacing w:val="-11"/>
        </w:rPr>
        <w:t> </w:t>
      </w:r>
      <w:r>
        <w:rPr/>
        <w:t>Relaciones</w:t>
      </w:r>
      <w:r>
        <w:rPr>
          <w:spacing w:val="-11"/>
        </w:rPr>
        <w:t> </w:t>
      </w:r>
      <w:r>
        <w:rPr/>
        <w:t>Exteriores</w:t>
      </w:r>
      <w:r>
        <w:rPr>
          <w:spacing w:val="-11"/>
        </w:rPr>
        <w:t> </w:t>
      </w:r>
      <w:r>
        <w:rPr/>
        <w:t>y</w:t>
      </w:r>
      <w:r>
        <w:rPr>
          <w:spacing w:val="-11"/>
        </w:rPr>
        <w:t> </w:t>
      </w:r>
      <w:r>
        <w:rPr/>
        <w:t>el</w:t>
      </w:r>
      <w:r>
        <w:rPr>
          <w:spacing w:val="-11"/>
        </w:rPr>
        <w:t> </w:t>
      </w:r>
      <w:r>
        <w:rPr/>
        <w:t>museo interactivo infantil </w:t>
      </w:r>
      <w:r>
        <w:rPr>
          <w:i/>
        </w:rPr>
        <w:t>El Rehilete</w:t>
      </w:r>
      <w:r>
        <w:rPr>
          <w:position w:val="8"/>
          <w:sz w:val="13"/>
        </w:rPr>
        <w:t>212</w:t>
      </w:r>
      <w:r>
        <w:rPr/>
        <w:t>. La JGAPEH había registrado hasta   </w:t>
      </w:r>
      <w:r>
        <w:rPr>
          <w:spacing w:val="25"/>
        </w:rPr>
        <w:t> </w:t>
      </w:r>
      <w:r>
        <w:rPr/>
        <w:t>enero</w:t>
      </w:r>
    </w:p>
    <w:p>
      <w:pPr>
        <w:spacing w:line="249" w:lineRule="auto" w:before="116"/>
        <w:ind w:left="400" w:right="0" w:hanging="284"/>
        <w:jc w:val="left"/>
        <w:rPr>
          <w:sz w:val="18"/>
        </w:rPr>
      </w:pPr>
      <w:r>
        <w:rPr>
          <w:position w:val="7"/>
          <w:sz w:val="11"/>
        </w:rPr>
        <w:t>211 </w:t>
      </w:r>
      <w:r>
        <w:rPr>
          <w:sz w:val="18"/>
        </w:rPr>
        <w:t>Información proporcionada para esta investigación por el coordinador de la Junta General de Asistencia Privada del Estado de Hidalgo (JGAPEH), 19 de enero del 2011.</w:t>
      </w:r>
    </w:p>
    <w:p>
      <w:pPr>
        <w:spacing w:before="20"/>
        <w:ind w:left="117" w:right="0" w:firstLine="0"/>
        <w:jc w:val="both"/>
        <w:rPr>
          <w:i/>
          <w:sz w:val="18"/>
        </w:rPr>
      </w:pPr>
      <w:r>
        <w:rPr>
          <w:w w:val="105"/>
          <w:position w:val="7"/>
          <w:sz w:val="11"/>
        </w:rPr>
        <w:t>212  </w:t>
      </w:r>
      <w:r>
        <w:rPr>
          <w:i/>
          <w:w w:val="105"/>
          <w:sz w:val="18"/>
        </w:rPr>
        <w:t>Ibídem.</w:t>
      </w:r>
    </w:p>
    <w:p>
      <w:pPr>
        <w:spacing w:after="0"/>
        <w:jc w:val="both"/>
        <w:rPr>
          <w:sz w:val="18"/>
        </w:rPr>
        <w:sectPr>
          <w:footerReference w:type="even" r:id="rId206"/>
          <w:footerReference w:type="default" r:id="rId207"/>
          <w:pgSz w:w="9360" w:h="13040"/>
          <w:pgMar w:footer="1122" w:header="547" w:top="940" w:bottom="1320" w:left="1300" w:right="740"/>
        </w:sectPr>
      </w:pPr>
    </w:p>
    <w:p>
      <w:pPr>
        <w:pStyle w:val="BodyText"/>
        <w:rPr>
          <w:i/>
          <w:sz w:val="20"/>
        </w:rPr>
      </w:pPr>
    </w:p>
    <w:p>
      <w:pPr>
        <w:pStyle w:val="BodyText"/>
        <w:spacing w:before="9"/>
        <w:rPr>
          <w:i/>
          <w:sz w:val="28"/>
        </w:rPr>
      </w:pPr>
    </w:p>
    <w:p>
      <w:pPr>
        <w:pStyle w:val="BodyText"/>
        <w:spacing w:line="250" w:lineRule="exact" w:before="86"/>
        <w:ind w:left="110" w:right="23"/>
      </w:pPr>
      <w:r>
        <w:rPr/>
        <w:pict>
          <v:line style="position:absolute;mso-position-horizontal-relative:page;mso-position-vertical-relative:paragraph;z-index:3280;mso-wrap-distance-left:0;mso-wrap-distance-right:0" from="42.519699pt,36.562622pt" to="114.519699pt,36.562622pt" stroked="true" strokeweight="1pt" strokecolor="#000000">
            <w10:wrap type="topAndBottom"/>
          </v:line>
        </w:pict>
      </w:r>
      <w:r>
        <w:rPr/>
        <w:t>del año 2011 noventa y nueve asociaciones constituidas con base en el código civil del estado</w:t>
      </w:r>
      <w:r>
        <w:rPr>
          <w:position w:val="8"/>
          <w:sz w:val="13"/>
        </w:rPr>
        <w:t>213</w:t>
      </w:r>
      <w:r>
        <w:rPr/>
        <w:t>.</w:t>
      </w:r>
    </w:p>
    <w:p>
      <w:pPr>
        <w:spacing w:line="184" w:lineRule="exact" w:before="0"/>
        <w:ind w:left="110" w:right="0" w:firstLine="0"/>
        <w:jc w:val="left"/>
        <w:rPr>
          <w:i/>
          <w:sz w:val="18"/>
        </w:rPr>
      </w:pPr>
      <w:r>
        <w:rPr>
          <w:position w:val="7"/>
          <w:sz w:val="11"/>
        </w:rPr>
        <w:t>213    </w:t>
      </w:r>
      <w:r>
        <w:rPr>
          <w:sz w:val="18"/>
        </w:rPr>
        <w:t>La clasificación de las organizaciones privadas de asistencia se desarrolla en la presente  nota</w:t>
      </w:r>
      <w:r>
        <w:rPr>
          <w:i/>
          <w:sz w:val="18"/>
        </w:rPr>
        <w:t>.</w:t>
      </w:r>
    </w:p>
    <w:p>
      <w:pPr>
        <w:pStyle w:val="ListParagraph"/>
        <w:numPr>
          <w:ilvl w:val="1"/>
          <w:numId w:val="14"/>
        </w:numPr>
        <w:tabs>
          <w:tab w:pos="576" w:val="left" w:leader="none"/>
        </w:tabs>
        <w:spacing w:line="192" w:lineRule="exact" w:before="7" w:after="0"/>
        <w:ind w:left="393" w:right="114" w:firstLine="0"/>
        <w:jc w:val="both"/>
        <w:rPr>
          <w:i/>
          <w:sz w:val="18"/>
        </w:rPr>
      </w:pPr>
      <w:r>
        <w:rPr>
          <w:i/>
          <w:sz w:val="18"/>
        </w:rPr>
        <w:t>Hogares Asistenciales para Niños, Niñas y Adolescentes: I.1. Casa Hogar de la Buena </w:t>
      </w:r>
      <w:r>
        <w:rPr>
          <w:i/>
          <w:sz w:val="18"/>
        </w:rPr>
        <w:t>Madre, A. C.; I.2. Patronato de la Ciudad de los Niños de Pachuca, Hgo., A. C.; I.3. Casa de Protección</w:t>
      </w:r>
      <w:r>
        <w:rPr>
          <w:i/>
          <w:spacing w:val="-3"/>
          <w:sz w:val="18"/>
        </w:rPr>
        <w:t> </w:t>
      </w:r>
      <w:r>
        <w:rPr>
          <w:i/>
          <w:sz w:val="18"/>
        </w:rPr>
        <w:t>y</w:t>
      </w:r>
      <w:r>
        <w:rPr>
          <w:i/>
          <w:spacing w:val="-3"/>
          <w:sz w:val="18"/>
        </w:rPr>
        <w:t> </w:t>
      </w:r>
      <w:r>
        <w:rPr>
          <w:i/>
          <w:sz w:val="18"/>
        </w:rPr>
        <w:t>Orientación</w:t>
      </w:r>
      <w:r>
        <w:rPr>
          <w:i/>
          <w:spacing w:val="-2"/>
          <w:sz w:val="18"/>
        </w:rPr>
        <w:t> </w:t>
      </w:r>
      <w:r>
        <w:rPr>
          <w:i/>
          <w:sz w:val="18"/>
        </w:rPr>
        <w:t>Juvenil,</w:t>
      </w:r>
      <w:r>
        <w:rPr>
          <w:i/>
          <w:spacing w:val="-7"/>
          <w:sz w:val="18"/>
        </w:rPr>
        <w:t> </w:t>
      </w:r>
      <w:r>
        <w:rPr>
          <w:i/>
          <w:sz w:val="18"/>
        </w:rPr>
        <w:t>A.</w:t>
      </w:r>
      <w:r>
        <w:rPr>
          <w:i/>
          <w:spacing w:val="-3"/>
          <w:sz w:val="18"/>
        </w:rPr>
        <w:t> </w:t>
      </w:r>
      <w:r>
        <w:rPr>
          <w:i/>
          <w:sz w:val="18"/>
        </w:rPr>
        <w:t>C.;</w:t>
      </w:r>
      <w:r>
        <w:rPr>
          <w:i/>
          <w:spacing w:val="-3"/>
          <w:sz w:val="18"/>
        </w:rPr>
        <w:t> </w:t>
      </w:r>
      <w:r>
        <w:rPr>
          <w:i/>
          <w:sz w:val="18"/>
        </w:rPr>
        <w:t>I.4.</w:t>
      </w:r>
      <w:r>
        <w:rPr>
          <w:i/>
          <w:spacing w:val="-3"/>
          <w:sz w:val="18"/>
        </w:rPr>
        <w:t> </w:t>
      </w:r>
      <w:r>
        <w:rPr>
          <w:i/>
          <w:sz w:val="18"/>
        </w:rPr>
        <w:t>Fundación</w:t>
      </w:r>
      <w:r>
        <w:rPr>
          <w:i/>
          <w:spacing w:val="-7"/>
          <w:sz w:val="18"/>
        </w:rPr>
        <w:t> </w:t>
      </w:r>
      <w:r>
        <w:rPr>
          <w:i/>
          <w:sz w:val="18"/>
        </w:rPr>
        <w:t>Amor</w:t>
      </w:r>
      <w:r>
        <w:rPr>
          <w:i/>
          <w:spacing w:val="-3"/>
          <w:sz w:val="18"/>
        </w:rPr>
        <w:t> </w:t>
      </w:r>
      <w:r>
        <w:rPr>
          <w:i/>
          <w:sz w:val="18"/>
        </w:rPr>
        <w:t>por</w:t>
      </w:r>
      <w:r>
        <w:rPr>
          <w:i/>
          <w:spacing w:val="-6"/>
          <w:sz w:val="18"/>
        </w:rPr>
        <w:t> </w:t>
      </w:r>
      <w:r>
        <w:rPr>
          <w:i/>
          <w:spacing w:val="-5"/>
          <w:sz w:val="18"/>
        </w:rPr>
        <w:t>Amor,</w:t>
      </w:r>
      <w:r>
        <w:rPr>
          <w:i/>
          <w:spacing w:val="-6"/>
          <w:sz w:val="18"/>
        </w:rPr>
        <w:t> </w:t>
      </w:r>
      <w:r>
        <w:rPr>
          <w:i/>
          <w:sz w:val="18"/>
        </w:rPr>
        <w:t>A.</w:t>
      </w:r>
      <w:r>
        <w:rPr>
          <w:i/>
          <w:spacing w:val="-3"/>
          <w:sz w:val="18"/>
        </w:rPr>
        <w:t> </w:t>
      </w:r>
      <w:r>
        <w:rPr>
          <w:i/>
          <w:sz w:val="18"/>
        </w:rPr>
        <w:t>C.;</w:t>
      </w:r>
      <w:r>
        <w:rPr>
          <w:i/>
          <w:spacing w:val="-3"/>
          <w:sz w:val="18"/>
        </w:rPr>
        <w:t> </w:t>
      </w:r>
      <w:r>
        <w:rPr>
          <w:i/>
          <w:sz w:val="18"/>
        </w:rPr>
        <w:t>I.5.</w:t>
      </w:r>
      <w:r>
        <w:rPr>
          <w:i/>
          <w:spacing w:val="-3"/>
          <w:sz w:val="18"/>
        </w:rPr>
        <w:t> </w:t>
      </w:r>
      <w:r>
        <w:rPr>
          <w:i/>
          <w:sz w:val="18"/>
        </w:rPr>
        <w:t>José</w:t>
      </w:r>
      <w:r>
        <w:rPr>
          <w:i/>
          <w:spacing w:val="-3"/>
          <w:sz w:val="18"/>
        </w:rPr>
        <w:t> </w:t>
      </w:r>
      <w:r>
        <w:rPr>
          <w:i/>
          <w:sz w:val="18"/>
        </w:rPr>
        <w:t>María de</w:t>
      </w:r>
      <w:r>
        <w:rPr>
          <w:i/>
          <w:spacing w:val="-4"/>
          <w:sz w:val="18"/>
        </w:rPr>
        <w:t> Yermo </w:t>
      </w:r>
      <w:r>
        <w:rPr>
          <w:i/>
          <w:sz w:val="18"/>
        </w:rPr>
        <w:t>y</w:t>
      </w:r>
      <w:r>
        <w:rPr>
          <w:i/>
          <w:spacing w:val="-4"/>
          <w:sz w:val="18"/>
        </w:rPr>
        <w:t> </w:t>
      </w:r>
      <w:r>
        <w:rPr>
          <w:i/>
          <w:sz w:val="18"/>
        </w:rPr>
        <w:t>Parres,</w:t>
      </w:r>
      <w:r>
        <w:rPr>
          <w:i/>
          <w:spacing w:val="-7"/>
          <w:sz w:val="18"/>
        </w:rPr>
        <w:t> </w:t>
      </w:r>
      <w:r>
        <w:rPr>
          <w:i/>
          <w:sz w:val="18"/>
        </w:rPr>
        <w:t>A.</w:t>
      </w:r>
      <w:r>
        <w:rPr>
          <w:i/>
          <w:spacing w:val="-4"/>
          <w:sz w:val="18"/>
        </w:rPr>
        <w:t> </w:t>
      </w:r>
      <w:r>
        <w:rPr>
          <w:i/>
          <w:sz w:val="18"/>
        </w:rPr>
        <w:t>C.;</w:t>
      </w:r>
      <w:r>
        <w:rPr>
          <w:i/>
          <w:spacing w:val="-4"/>
          <w:sz w:val="18"/>
        </w:rPr>
        <w:t> </w:t>
      </w:r>
      <w:r>
        <w:rPr>
          <w:i/>
          <w:sz w:val="18"/>
        </w:rPr>
        <w:t>I.6.</w:t>
      </w:r>
      <w:r>
        <w:rPr>
          <w:i/>
          <w:spacing w:val="-4"/>
          <w:sz w:val="18"/>
        </w:rPr>
        <w:t> </w:t>
      </w:r>
      <w:r>
        <w:rPr>
          <w:i/>
          <w:sz w:val="18"/>
        </w:rPr>
        <w:t>Las</w:t>
      </w:r>
      <w:r>
        <w:rPr>
          <w:i/>
          <w:spacing w:val="-4"/>
          <w:sz w:val="18"/>
        </w:rPr>
        <w:t> </w:t>
      </w:r>
      <w:r>
        <w:rPr>
          <w:i/>
          <w:sz w:val="18"/>
        </w:rPr>
        <w:t>Rosas</w:t>
      </w:r>
      <w:r>
        <w:rPr>
          <w:i/>
          <w:spacing w:val="-5"/>
          <w:sz w:val="18"/>
        </w:rPr>
        <w:t> </w:t>
      </w:r>
      <w:r>
        <w:rPr>
          <w:i/>
          <w:sz w:val="18"/>
        </w:rPr>
        <w:t>Rojas,</w:t>
      </w:r>
      <w:r>
        <w:rPr>
          <w:i/>
          <w:spacing w:val="-5"/>
          <w:sz w:val="18"/>
        </w:rPr>
        <w:t> </w:t>
      </w:r>
      <w:r>
        <w:rPr>
          <w:i/>
          <w:sz w:val="18"/>
        </w:rPr>
        <w:t>I.</w:t>
      </w:r>
      <w:r>
        <w:rPr>
          <w:i/>
          <w:spacing w:val="-7"/>
          <w:sz w:val="18"/>
        </w:rPr>
        <w:t> </w:t>
      </w:r>
      <w:r>
        <w:rPr>
          <w:i/>
          <w:sz w:val="18"/>
        </w:rPr>
        <w:t>A.</w:t>
      </w:r>
      <w:r>
        <w:rPr>
          <w:i/>
          <w:spacing w:val="-4"/>
          <w:sz w:val="18"/>
        </w:rPr>
        <w:t> </w:t>
      </w:r>
      <w:r>
        <w:rPr>
          <w:i/>
          <w:spacing w:val="-12"/>
          <w:sz w:val="18"/>
        </w:rPr>
        <w:t>P.</w:t>
      </w:r>
      <w:r>
        <w:rPr>
          <w:i/>
          <w:spacing w:val="-4"/>
          <w:sz w:val="18"/>
        </w:rPr>
        <w:t> </w:t>
      </w:r>
      <w:r>
        <w:rPr>
          <w:i/>
          <w:sz w:val="18"/>
        </w:rPr>
        <w:t>Cuidad</w:t>
      </w:r>
      <w:r>
        <w:rPr>
          <w:i/>
          <w:spacing w:val="-4"/>
          <w:sz w:val="18"/>
        </w:rPr>
        <w:t> </w:t>
      </w:r>
      <w:r>
        <w:rPr>
          <w:i/>
          <w:sz w:val="18"/>
        </w:rPr>
        <w:t>de</w:t>
      </w:r>
      <w:r>
        <w:rPr>
          <w:i/>
          <w:spacing w:val="-4"/>
          <w:sz w:val="18"/>
        </w:rPr>
        <w:t> </w:t>
      </w:r>
      <w:r>
        <w:rPr>
          <w:i/>
          <w:sz w:val="18"/>
        </w:rPr>
        <w:t>los</w:t>
      </w:r>
      <w:r>
        <w:rPr>
          <w:i/>
          <w:spacing w:val="-4"/>
          <w:sz w:val="18"/>
        </w:rPr>
        <w:t> </w:t>
      </w:r>
      <w:r>
        <w:rPr>
          <w:i/>
          <w:sz w:val="18"/>
        </w:rPr>
        <w:t>Niños</w:t>
      </w:r>
      <w:r>
        <w:rPr>
          <w:i/>
          <w:spacing w:val="-4"/>
          <w:sz w:val="18"/>
        </w:rPr>
        <w:t> </w:t>
      </w:r>
      <w:r>
        <w:rPr>
          <w:i/>
          <w:sz w:val="18"/>
        </w:rPr>
        <w:t>de</w:t>
      </w:r>
      <w:r>
        <w:rPr>
          <w:i/>
          <w:spacing w:val="-4"/>
          <w:sz w:val="18"/>
        </w:rPr>
        <w:t> </w:t>
      </w:r>
      <w:r>
        <w:rPr>
          <w:i/>
          <w:sz w:val="18"/>
        </w:rPr>
        <w:t>Tizayuca,</w:t>
      </w:r>
      <w:r>
        <w:rPr>
          <w:i/>
          <w:spacing w:val="-5"/>
          <w:sz w:val="18"/>
        </w:rPr>
        <w:t> </w:t>
      </w:r>
      <w:r>
        <w:rPr>
          <w:i/>
          <w:sz w:val="18"/>
        </w:rPr>
        <w:t>Hgo.; y</w:t>
      </w:r>
      <w:r>
        <w:rPr>
          <w:i/>
          <w:spacing w:val="-8"/>
          <w:sz w:val="18"/>
        </w:rPr>
        <w:t> </w:t>
      </w:r>
      <w:r>
        <w:rPr>
          <w:i/>
          <w:sz w:val="18"/>
        </w:rPr>
        <w:t>I.7.</w:t>
      </w:r>
      <w:r>
        <w:rPr>
          <w:i/>
          <w:spacing w:val="-8"/>
          <w:sz w:val="18"/>
        </w:rPr>
        <w:t> </w:t>
      </w:r>
      <w:r>
        <w:rPr>
          <w:i/>
          <w:sz w:val="18"/>
        </w:rPr>
        <w:t>Centro</w:t>
      </w:r>
      <w:r>
        <w:rPr>
          <w:i/>
          <w:spacing w:val="-8"/>
          <w:sz w:val="18"/>
        </w:rPr>
        <w:t> </w:t>
      </w:r>
      <w:r>
        <w:rPr>
          <w:i/>
          <w:sz w:val="18"/>
        </w:rPr>
        <w:t>de</w:t>
      </w:r>
      <w:r>
        <w:rPr>
          <w:i/>
          <w:spacing w:val="-12"/>
          <w:sz w:val="18"/>
        </w:rPr>
        <w:t> </w:t>
      </w:r>
      <w:r>
        <w:rPr>
          <w:i/>
          <w:sz w:val="18"/>
        </w:rPr>
        <w:t>Atención</w:t>
      </w:r>
      <w:r>
        <w:rPr>
          <w:i/>
          <w:spacing w:val="-9"/>
          <w:sz w:val="18"/>
        </w:rPr>
        <w:t> </w:t>
      </w:r>
      <w:r>
        <w:rPr>
          <w:i/>
          <w:sz w:val="18"/>
        </w:rPr>
        <w:t>Social</w:t>
      </w:r>
      <w:r>
        <w:rPr>
          <w:i/>
          <w:spacing w:val="-8"/>
          <w:sz w:val="18"/>
        </w:rPr>
        <w:t> </w:t>
      </w:r>
      <w:r>
        <w:rPr>
          <w:i/>
          <w:sz w:val="18"/>
        </w:rPr>
        <w:t>Infantil</w:t>
      </w:r>
      <w:r>
        <w:rPr>
          <w:i/>
          <w:spacing w:val="-8"/>
          <w:sz w:val="18"/>
        </w:rPr>
        <w:t> </w:t>
      </w:r>
      <w:r>
        <w:rPr>
          <w:i/>
          <w:sz w:val="18"/>
        </w:rPr>
        <w:t>y</w:t>
      </w:r>
      <w:r>
        <w:rPr>
          <w:i/>
          <w:spacing w:val="-8"/>
          <w:sz w:val="18"/>
        </w:rPr>
        <w:t> </w:t>
      </w:r>
      <w:r>
        <w:rPr>
          <w:i/>
          <w:spacing w:val="-3"/>
          <w:sz w:val="18"/>
        </w:rPr>
        <w:t>Trato</w:t>
      </w:r>
      <w:r>
        <w:rPr>
          <w:i/>
          <w:spacing w:val="-8"/>
          <w:sz w:val="18"/>
        </w:rPr>
        <w:t> </w:t>
      </w:r>
      <w:r>
        <w:rPr>
          <w:i/>
          <w:sz w:val="18"/>
        </w:rPr>
        <w:t>a</w:t>
      </w:r>
      <w:r>
        <w:rPr>
          <w:i/>
          <w:spacing w:val="-8"/>
          <w:sz w:val="18"/>
        </w:rPr>
        <w:t> </w:t>
      </w:r>
      <w:r>
        <w:rPr>
          <w:i/>
          <w:sz w:val="18"/>
        </w:rPr>
        <w:t>la</w:t>
      </w:r>
      <w:r>
        <w:rPr>
          <w:i/>
          <w:spacing w:val="-12"/>
          <w:sz w:val="18"/>
        </w:rPr>
        <w:t> </w:t>
      </w:r>
      <w:r>
        <w:rPr>
          <w:i/>
          <w:sz w:val="18"/>
        </w:rPr>
        <w:t>Adolescencia,</w:t>
      </w:r>
      <w:r>
        <w:rPr>
          <w:i/>
          <w:spacing w:val="-12"/>
          <w:sz w:val="18"/>
        </w:rPr>
        <w:t> </w:t>
      </w:r>
      <w:r>
        <w:rPr>
          <w:i/>
          <w:sz w:val="18"/>
        </w:rPr>
        <w:t>A.</w:t>
      </w:r>
      <w:r>
        <w:rPr>
          <w:i/>
          <w:spacing w:val="-8"/>
          <w:sz w:val="18"/>
        </w:rPr>
        <w:t> </w:t>
      </w:r>
      <w:r>
        <w:rPr>
          <w:i/>
          <w:sz w:val="18"/>
        </w:rPr>
        <w:t>C.</w:t>
      </w:r>
      <w:r>
        <w:rPr>
          <w:i/>
          <w:spacing w:val="-8"/>
          <w:sz w:val="18"/>
        </w:rPr>
        <w:t> </w:t>
      </w:r>
      <w:r>
        <w:rPr>
          <w:i/>
          <w:sz w:val="18"/>
        </w:rPr>
        <w:t>II.</w:t>
      </w:r>
      <w:r>
        <w:rPr>
          <w:i/>
          <w:spacing w:val="-8"/>
          <w:sz w:val="18"/>
        </w:rPr>
        <w:t> </w:t>
      </w:r>
      <w:r>
        <w:rPr>
          <w:i/>
          <w:sz w:val="18"/>
        </w:rPr>
        <w:t>Centros</w:t>
      </w:r>
      <w:r>
        <w:rPr>
          <w:i/>
          <w:spacing w:val="-8"/>
          <w:sz w:val="18"/>
        </w:rPr>
        <w:t> </w:t>
      </w:r>
      <w:r>
        <w:rPr>
          <w:i/>
          <w:sz w:val="18"/>
        </w:rPr>
        <w:t>de</w:t>
      </w:r>
      <w:r>
        <w:rPr>
          <w:i/>
          <w:spacing w:val="-12"/>
          <w:sz w:val="18"/>
        </w:rPr>
        <w:t> </w:t>
      </w:r>
      <w:r>
        <w:rPr>
          <w:i/>
          <w:sz w:val="18"/>
        </w:rPr>
        <w:t>Atención a Adultos </w:t>
      </w:r>
      <w:r>
        <w:rPr>
          <w:i/>
          <w:spacing w:val="-3"/>
          <w:sz w:val="18"/>
        </w:rPr>
        <w:t>Mayores: </w:t>
      </w:r>
      <w:r>
        <w:rPr>
          <w:i/>
          <w:sz w:val="18"/>
        </w:rPr>
        <w:t>II.1. Club </w:t>
      </w:r>
      <w:r>
        <w:rPr>
          <w:i/>
          <w:spacing w:val="-3"/>
          <w:sz w:val="18"/>
        </w:rPr>
        <w:t>Arcoíris, </w:t>
      </w:r>
      <w:r>
        <w:rPr>
          <w:i/>
          <w:spacing w:val="-4"/>
          <w:sz w:val="18"/>
        </w:rPr>
        <w:t>Tiempo </w:t>
      </w:r>
      <w:r>
        <w:rPr>
          <w:i/>
          <w:sz w:val="18"/>
        </w:rPr>
        <w:t>de </w:t>
      </w:r>
      <w:r>
        <w:rPr>
          <w:i/>
          <w:spacing w:val="-4"/>
          <w:sz w:val="18"/>
        </w:rPr>
        <w:t>Convivir, </w:t>
      </w:r>
      <w:r>
        <w:rPr>
          <w:i/>
          <w:sz w:val="18"/>
        </w:rPr>
        <w:t>A. C.; II.2. </w:t>
      </w:r>
      <w:r>
        <w:rPr>
          <w:i/>
          <w:spacing w:val="-3"/>
          <w:sz w:val="18"/>
        </w:rPr>
        <w:t>Centro </w:t>
      </w:r>
      <w:r>
        <w:rPr>
          <w:i/>
          <w:sz w:val="18"/>
        </w:rPr>
        <w:t>de Atención </w:t>
      </w:r>
      <w:r>
        <w:rPr>
          <w:i/>
          <w:spacing w:val="-2"/>
          <w:sz w:val="18"/>
        </w:rPr>
        <w:t>pa- </w:t>
      </w:r>
      <w:r>
        <w:rPr>
          <w:i/>
          <w:sz w:val="18"/>
        </w:rPr>
        <w:t>ra Ancianos, A. C.; II.3. Abuelo en Plenitud, A. C.; II.4. Fundación Nicolás García de San Vicente, A. C.; II.5. Fundación María Domínguez </w:t>
      </w:r>
      <w:r>
        <w:rPr>
          <w:i/>
          <w:spacing w:val="-3"/>
          <w:sz w:val="18"/>
        </w:rPr>
        <w:t>Viuda </w:t>
      </w:r>
      <w:r>
        <w:rPr>
          <w:i/>
          <w:sz w:val="18"/>
        </w:rPr>
        <w:t>de Álvarez, A. C.; II.6. Casa de Día Calidad de </w:t>
      </w:r>
      <w:r>
        <w:rPr>
          <w:i/>
          <w:spacing w:val="-3"/>
          <w:sz w:val="18"/>
        </w:rPr>
        <w:t>Vida, </w:t>
      </w:r>
      <w:r>
        <w:rPr>
          <w:i/>
          <w:sz w:val="18"/>
        </w:rPr>
        <w:t>A. C.; II.7. Fundación Altruista San Francisco, A. C.; II.8. Grupo de Adultos Mayores, Edad de </w:t>
      </w:r>
      <w:r>
        <w:rPr>
          <w:i/>
          <w:spacing w:val="-3"/>
          <w:sz w:val="18"/>
        </w:rPr>
        <w:t>Oro </w:t>
      </w:r>
      <w:r>
        <w:rPr>
          <w:i/>
          <w:sz w:val="18"/>
        </w:rPr>
        <w:t>Tlaxcoapan, A. C.; y II.9. Fundación Arco Iris de México, A. C. III. Instituciones</w:t>
      </w:r>
      <w:r>
        <w:rPr>
          <w:i/>
          <w:spacing w:val="-10"/>
          <w:sz w:val="18"/>
        </w:rPr>
        <w:t> </w:t>
      </w:r>
      <w:r>
        <w:rPr>
          <w:i/>
          <w:sz w:val="18"/>
        </w:rPr>
        <w:t>para</w:t>
      </w:r>
      <w:r>
        <w:rPr>
          <w:i/>
          <w:spacing w:val="-10"/>
          <w:sz w:val="18"/>
        </w:rPr>
        <w:t> </w:t>
      </w:r>
      <w:r>
        <w:rPr>
          <w:i/>
          <w:sz w:val="18"/>
        </w:rPr>
        <w:t>la</w:t>
      </w:r>
      <w:r>
        <w:rPr>
          <w:i/>
          <w:spacing w:val="-13"/>
          <w:sz w:val="18"/>
        </w:rPr>
        <w:t> </w:t>
      </w:r>
      <w:r>
        <w:rPr>
          <w:i/>
          <w:sz w:val="18"/>
        </w:rPr>
        <w:t>Atención</w:t>
      </w:r>
      <w:r>
        <w:rPr>
          <w:i/>
          <w:spacing w:val="-10"/>
          <w:sz w:val="18"/>
        </w:rPr>
        <w:t> </w:t>
      </w:r>
      <w:r>
        <w:rPr>
          <w:i/>
          <w:sz w:val="18"/>
        </w:rPr>
        <w:t>a</w:t>
      </w:r>
      <w:r>
        <w:rPr>
          <w:i/>
          <w:spacing w:val="-10"/>
          <w:sz w:val="18"/>
        </w:rPr>
        <w:t> </w:t>
      </w:r>
      <w:r>
        <w:rPr>
          <w:i/>
          <w:sz w:val="18"/>
        </w:rPr>
        <w:t>Personas</w:t>
      </w:r>
      <w:r>
        <w:rPr>
          <w:i/>
          <w:spacing w:val="-10"/>
          <w:sz w:val="18"/>
        </w:rPr>
        <w:t> </w:t>
      </w:r>
      <w:r>
        <w:rPr>
          <w:i/>
          <w:sz w:val="18"/>
        </w:rPr>
        <w:t>con</w:t>
      </w:r>
      <w:r>
        <w:rPr>
          <w:i/>
          <w:spacing w:val="-10"/>
          <w:sz w:val="18"/>
        </w:rPr>
        <w:t> </w:t>
      </w:r>
      <w:r>
        <w:rPr>
          <w:i/>
          <w:sz w:val="18"/>
        </w:rPr>
        <w:t>Capacidades</w:t>
      </w:r>
      <w:r>
        <w:rPr>
          <w:i/>
          <w:spacing w:val="-10"/>
          <w:sz w:val="18"/>
        </w:rPr>
        <w:t> </w:t>
      </w:r>
      <w:r>
        <w:rPr>
          <w:i/>
          <w:sz w:val="18"/>
        </w:rPr>
        <w:t>Diferentes:</w:t>
      </w:r>
      <w:r>
        <w:rPr>
          <w:i/>
          <w:spacing w:val="-10"/>
          <w:sz w:val="18"/>
        </w:rPr>
        <w:t> </w:t>
      </w:r>
      <w:r>
        <w:rPr>
          <w:i/>
          <w:sz w:val="18"/>
        </w:rPr>
        <w:t>III.1.</w:t>
      </w:r>
      <w:r>
        <w:rPr>
          <w:i/>
          <w:spacing w:val="-13"/>
          <w:sz w:val="18"/>
        </w:rPr>
        <w:t> </w:t>
      </w:r>
      <w:r>
        <w:rPr>
          <w:i/>
          <w:sz w:val="18"/>
        </w:rPr>
        <w:t>Asociación</w:t>
      </w:r>
      <w:r>
        <w:rPr>
          <w:i/>
          <w:spacing w:val="-10"/>
          <w:sz w:val="18"/>
        </w:rPr>
        <w:t> </w:t>
      </w:r>
      <w:r>
        <w:rPr>
          <w:i/>
          <w:sz w:val="18"/>
        </w:rPr>
        <w:t>Down Hidalguense,</w:t>
      </w:r>
      <w:r>
        <w:rPr>
          <w:i/>
          <w:spacing w:val="-11"/>
          <w:sz w:val="18"/>
        </w:rPr>
        <w:t> </w:t>
      </w:r>
      <w:r>
        <w:rPr>
          <w:i/>
          <w:sz w:val="18"/>
        </w:rPr>
        <w:t>A.</w:t>
      </w:r>
      <w:r>
        <w:rPr>
          <w:i/>
          <w:spacing w:val="-9"/>
          <w:sz w:val="18"/>
        </w:rPr>
        <w:t> </w:t>
      </w:r>
      <w:r>
        <w:rPr>
          <w:i/>
          <w:sz w:val="18"/>
        </w:rPr>
        <w:t>C.;</w:t>
      </w:r>
      <w:r>
        <w:rPr>
          <w:i/>
          <w:spacing w:val="-9"/>
          <w:sz w:val="18"/>
        </w:rPr>
        <w:t> </w:t>
      </w:r>
      <w:r>
        <w:rPr>
          <w:i/>
          <w:sz w:val="18"/>
        </w:rPr>
        <w:t>III.2.</w:t>
      </w:r>
      <w:r>
        <w:rPr>
          <w:i/>
          <w:spacing w:val="-9"/>
          <w:sz w:val="18"/>
        </w:rPr>
        <w:t> </w:t>
      </w:r>
      <w:r>
        <w:rPr>
          <w:i/>
          <w:sz w:val="18"/>
        </w:rPr>
        <w:t>Ciegos</w:t>
      </w:r>
      <w:r>
        <w:rPr>
          <w:i/>
          <w:spacing w:val="-9"/>
          <w:sz w:val="18"/>
        </w:rPr>
        <w:t> </w:t>
      </w:r>
      <w:r>
        <w:rPr>
          <w:i/>
          <w:sz w:val="18"/>
        </w:rPr>
        <w:t>Fundación</w:t>
      </w:r>
      <w:r>
        <w:rPr>
          <w:i/>
          <w:spacing w:val="-9"/>
          <w:sz w:val="18"/>
        </w:rPr>
        <w:t> </w:t>
      </w:r>
      <w:r>
        <w:rPr>
          <w:i/>
          <w:sz w:val="18"/>
        </w:rPr>
        <w:t>Hidalguense,</w:t>
      </w:r>
      <w:r>
        <w:rPr>
          <w:i/>
          <w:spacing w:val="-11"/>
          <w:sz w:val="18"/>
        </w:rPr>
        <w:t> </w:t>
      </w:r>
      <w:r>
        <w:rPr>
          <w:i/>
          <w:sz w:val="18"/>
        </w:rPr>
        <w:t>A.</w:t>
      </w:r>
      <w:r>
        <w:rPr>
          <w:i/>
          <w:spacing w:val="-9"/>
          <w:sz w:val="18"/>
        </w:rPr>
        <w:t> </w:t>
      </w:r>
      <w:r>
        <w:rPr>
          <w:i/>
          <w:sz w:val="18"/>
        </w:rPr>
        <w:t>C.;</w:t>
      </w:r>
      <w:r>
        <w:rPr>
          <w:i/>
          <w:spacing w:val="-9"/>
          <w:sz w:val="18"/>
        </w:rPr>
        <w:t> </w:t>
      </w:r>
      <w:r>
        <w:rPr>
          <w:i/>
          <w:sz w:val="18"/>
        </w:rPr>
        <w:t>III.3.</w:t>
      </w:r>
      <w:r>
        <w:rPr>
          <w:i/>
          <w:spacing w:val="-9"/>
          <w:sz w:val="18"/>
        </w:rPr>
        <w:t> </w:t>
      </w:r>
      <w:r>
        <w:rPr>
          <w:i/>
          <w:sz w:val="18"/>
        </w:rPr>
        <w:t>Fundación</w:t>
      </w:r>
      <w:r>
        <w:rPr>
          <w:i/>
          <w:spacing w:val="-9"/>
          <w:sz w:val="18"/>
        </w:rPr>
        <w:t> </w:t>
      </w:r>
      <w:r>
        <w:rPr>
          <w:i/>
          <w:sz w:val="18"/>
        </w:rPr>
        <w:t>Paso</w:t>
      </w:r>
      <w:r>
        <w:rPr>
          <w:i/>
          <w:spacing w:val="-9"/>
          <w:sz w:val="18"/>
        </w:rPr>
        <w:t> </w:t>
      </w:r>
      <w:r>
        <w:rPr>
          <w:i/>
          <w:sz w:val="18"/>
        </w:rPr>
        <w:t>a</w:t>
      </w:r>
      <w:r>
        <w:rPr>
          <w:i/>
          <w:spacing w:val="-9"/>
          <w:sz w:val="18"/>
        </w:rPr>
        <w:t> </w:t>
      </w:r>
      <w:r>
        <w:rPr>
          <w:i/>
          <w:sz w:val="18"/>
        </w:rPr>
        <w:t>Paso,</w:t>
      </w:r>
    </w:p>
    <w:p>
      <w:pPr>
        <w:spacing w:line="192" w:lineRule="exact" w:before="0"/>
        <w:ind w:left="393" w:right="114" w:firstLine="0"/>
        <w:jc w:val="both"/>
        <w:rPr>
          <w:i/>
          <w:sz w:val="18"/>
        </w:rPr>
      </w:pPr>
      <w:r>
        <w:rPr>
          <w:i/>
          <w:sz w:val="18"/>
        </w:rPr>
        <w:t>A. C.; III.4. Centro de </w:t>
      </w:r>
      <w:r>
        <w:rPr>
          <w:i/>
          <w:spacing w:val="-3"/>
          <w:sz w:val="18"/>
        </w:rPr>
        <w:t>Terapia </w:t>
      </w:r>
      <w:r>
        <w:rPr>
          <w:i/>
          <w:sz w:val="18"/>
        </w:rPr>
        <w:t>Educativa Hidalguense, A. C.; III.5. Misericordia a Personas </w:t>
      </w:r>
      <w:r>
        <w:rPr>
          <w:i/>
          <w:sz w:val="18"/>
        </w:rPr>
        <w:t>con Capacidades Diferentes, A. C.; III.6. Centro de Rehabilitación Integral de Zimapán, Hgo., A. C.; III.7. Fundación Hidalguense de Ciegos y Débiles Visuales, A. C.; III.8. Centro Rehabilitación para Adultos y Niños Especiales, A. C.; III.9. Discapacitados de Cuautepec A. C.;</w:t>
      </w:r>
      <w:r>
        <w:rPr>
          <w:i/>
          <w:spacing w:val="-9"/>
          <w:sz w:val="18"/>
        </w:rPr>
        <w:t> </w:t>
      </w:r>
      <w:r>
        <w:rPr>
          <w:i/>
          <w:sz w:val="18"/>
        </w:rPr>
        <w:t>III.10.</w:t>
      </w:r>
      <w:r>
        <w:rPr>
          <w:i/>
          <w:spacing w:val="-13"/>
          <w:sz w:val="18"/>
        </w:rPr>
        <w:t> </w:t>
      </w:r>
      <w:r>
        <w:rPr>
          <w:i/>
          <w:sz w:val="18"/>
        </w:rPr>
        <w:t>Asociación</w:t>
      </w:r>
      <w:r>
        <w:rPr>
          <w:i/>
          <w:spacing w:val="-10"/>
          <w:sz w:val="18"/>
        </w:rPr>
        <w:t> </w:t>
      </w:r>
      <w:r>
        <w:rPr>
          <w:i/>
          <w:sz w:val="18"/>
        </w:rPr>
        <w:t>Integral</w:t>
      </w:r>
      <w:r>
        <w:rPr>
          <w:i/>
          <w:spacing w:val="-9"/>
          <w:sz w:val="18"/>
        </w:rPr>
        <w:t> </w:t>
      </w:r>
      <w:r>
        <w:rPr>
          <w:i/>
          <w:sz w:val="18"/>
        </w:rPr>
        <w:t>de</w:t>
      </w:r>
      <w:r>
        <w:rPr>
          <w:i/>
          <w:spacing w:val="-13"/>
          <w:sz w:val="18"/>
        </w:rPr>
        <w:t> </w:t>
      </w:r>
      <w:r>
        <w:rPr>
          <w:i/>
          <w:sz w:val="18"/>
        </w:rPr>
        <w:t>Asistencia</w:t>
      </w:r>
      <w:r>
        <w:rPr>
          <w:i/>
          <w:spacing w:val="-10"/>
          <w:sz w:val="18"/>
        </w:rPr>
        <w:t> </w:t>
      </w:r>
      <w:r>
        <w:rPr>
          <w:i/>
          <w:sz w:val="18"/>
        </w:rPr>
        <w:t>a</w:t>
      </w:r>
      <w:r>
        <w:rPr>
          <w:i/>
          <w:spacing w:val="-9"/>
          <w:sz w:val="18"/>
        </w:rPr>
        <w:t> </w:t>
      </w:r>
      <w:r>
        <w:rPr>
          <w:i/>
          <w:sz w:val="18"/>
        </w:rPr>
        <w:t>los</w:t>
      </w:r>
      <w:r>
        <w:rPr>
          <w:i/>
          <w:spacing w:val="-10"/>
          <w:sz w:val="18"/>
        </w:rPr>
        <w:t> </w:t>
      </w:r>
      <w:r>
        <w:rPr>
          <w:i/>
          <w:sz w:val="18"/>
        </w:rPr>
        <w:t>Trastornos</w:t>
      </w:r>
      <w:r>
        <w:rPr>
          <w:i/>
          <w:spacing w:val="-9"/>
          <w:sz w:val="18"/>
        </w:rPr>
        <w:t> </w:t>
      </w:r>
      <w:r>
        <w:rPr>
          <w:i/>
          <w:sz w:val="18"/>
        </w:rPr>
        <w:t>del</w:t>
      </w:r>
      <w:r>
        <w:rPr>
          <w:i/>
          <w:spacing w:val="-9"/>
          <w:sz w:val="18"/>
        </w:rPr>
        <w:t> </w:t>
      </w:r>
      <w:r>
        <w:rPr>
          <w:i/>
          <w:sz w:val="18"/>
        </w:rPr>
        <w:t>Espectro</w:t>
      </w:r>
      <w:r>
        <w:rPr>
          <w:i/>
          <w:spacing w:val="-13"/>
          <w:sz w:val="18"/>
        </w:rPr>
        <w:t> </w:t>
      </w:r>
      <w:r>
        <w:rPr>
          <w:i/>
          <w:sz w:val="18"/>
        </w:rPr>
        <w:t>Autista,</w:t>
      </w:r>
      <w:r>
        <w:rPr>
          <w:i/>
          <w:spacing w:val="-13"/>
          <w:sz w:val="18"/>
        </w:rPr>
        <w:t> </w:t>
      </w:r>
      <w:r>
        <w:rPr>
          <w:i/>
          <w:sz w:val="18"/>
        </w:rPr>
        <w:t>A.</w:t>
      </w:r>
      <w:r>
        <w:rPr>
          <w:i/>
          <w:spacing w:val="-9"/>
          <w:sz w:val="18"/>
        </w:rPr>
        <w:t> </w:t>
      </w:r>
      <w:r>
        <w:rPr>
          <w:i/>
          <w:sz w:val="18"/>
        </w:rPr>
        <w:t>C.;</w:t>
      </w:r>
      <w:r>
        <w:rPr>
          <w:i/>
          <w:spacing w:val="-9"/>
          <w:sz w:val="18"/>
        </w:rPr>
        <w:t> </w:t>
      </w:r>
      <w:r>
        <w:rPr>
          <w:i/>
          <w:sz w:val="18"/>
        </w:rPr>
        <w:t>III.11. Centro</w:t>
      </w:r>
      <w:r>
        <w:rPr>
          <w:i/>
          <w:spacing w:val="-5"/>
          <w:sz w:val="18"/>
        </w:rPr>
        <w:t> </w:t>
      </w:r>
      <w:r>
        <w:rPr>
          <w:i/>
          <w:sz w:val="18"/>
        </w:rPr>
        <w:t>de</w:t>
      </w:r>
      <w:r>
        <w:rPr>
          <w:i/>
          <w:spacing w:val="-5"/>
          <w:sz w:val="18"/>
        </w:rPr>
        <w:t> </w:t>
      </w:r>
      <w:r>
        <w:rPr>
          <w:i/>
          <w:sz w:val="18"/>
        </w:rPr>
        <w:t>Rehabilitación</w:t>
      </w:r>
      <w:r>
        <w:rPr>
          <w:i/>
          <w:spacing w:val="-5"/>
          <w:sz w:val="18"/>
        </w:rPr>
        <w:t> </w:t>
      </w:r>
      <w:r>
        <w:rPr>
          <w:i/>
          <w:sz w:val="18"/>
        </w:rPr>
        <w:t>Multidisciplinaria</w:t>
      </w:r>
      <w:r>
        <w:rPr>
          <w:i/>
          <w:spacing w:val="-5"/>
          <w:sz w:val="18"/>
        </w:rPr>
        <w:t> </w:t>
      </w:r>
      <w:r>
        <w:rPr>
          <w:i/>
          <w:sz w:val="18"/>
        </w:rPr>
        <w:t>para</w:t>
      </w:r>
      <w:r>
        <w:rPr>
          <w:i/>
          <w:spacing w:val="-5"/>
          <w:sz w:val="18"/>
        </w:rPr>
        <w:t> </w:t>
      </w:r>
      <w:r>
        <w:rPr>
          <w:i/>
          <w:sz w:val="18"/>
        </w:rPr>
        <w:t>Personas</w:t>
      </w:r>
      <w:r>
        <w:rPr>
          <w:i/>
          <w:spacing w:val="-5"/>
          <w:sz w:val="18"/>
        </w:rPr>
        <w:t> </w:t>
      </w:r>
      <w:r>
        <w:rPr>
          <w:i/>
          <w:sz w:val="18"/>
        </w:rPr>
        <w:t>con</w:t>
      </w:r>
      <w:r>
        <w:rPr>
          <w:i/>
          <w:spacing w:val="-5"/>
          <w:sz w:val="18"/>
        </w:rPr>
        <w:t> </w:t>
      </w:r>
      <w:r>
        <w:rPr>
          <w:i/>
          <w:sz w:val="18"/>
        </w:rPr>
        <w:t>Discapacidad</w:t>
      </w:r>
      <w:r>
        <w:rPr>
          <w:i/>
          <w:spacing w:val="-4"/>
          <w:sz w:val="18"/>
        </w:rPr>
        <w:t> </w:t>
      </w:r>
      <w:r>
        <w:rPr>
          <w:i/>
          <w:sz w:val="18"/>
        </w:rPr>
        <w:t>Tizayuca,</w:t>
      </w:r>
      <w:r>
        <w:rPr>
          <w:i/>
          <w:spacing w:val="-8"/>
          <w:sz w:val="18"/>
        </w:rPr>
        <w:t> </w:t>
      </w:r>
      <w:r>
        <w:rPr>
          <w:i/>
          <w:sz w:val="18"/>
        </w:rPr>
        <w:t>A.</w:t>
      </w:r>
      <w:r>
        <w:rPr>
          <w:i/>
          <w:spacing w:val="-5"/>
          <w:sz w:val="18"/>
        </w:rPr>
        <w:t> </w:t>
      </w:r>
      <w:r>
        <w:rPr>
          <w:i/>
          <w:sz w:val="18"/>
        </w:rPr>
        <w:t>C.;</w:t>
      </w:r>
    </w:p>
    <w:p>
      <w:pPr>
        <w:spacing w:line="192" w:lineRule="exact" w:before="0"/>
        <w:ind w:left="393" w:right="115" w:firstLine="0"/>
        <w:jc w:val="both"/>
        <w:rPr>
          <w:i/>
          <w:sz w:val="18"/>
        </w:rPr>
      </w:pPr>
      <w:r>
        <w:rPr>
          <w:i/>
          <w:sz w:val="18"/>
        </w:rPr>
        <w:t>III.12.</w:t>
      </w:r>
      <w:r>
        <w:rPr>
          <w:i/>
          <w:spacing w:val="-16"/>
          <w:sz w:val="18"/>
        </w:rPr>
        <w:t> </w:t>
      </w:r>
      <w:r>
        <w:rPr>
          <w:i/>
          <w:sz w:val="18"/>
        </w:rPr>
        <w:t>Olimpiadas</w:t>
      </w:r>
      <w:r>
        <w:rPr>
          <w:i/>
          <w:spacing w:val="-15"/>
          <w:sz w:val="18"/>
        </w:rPr>
        <w:t> </w:t>
      </w:r>
      <w:r>
        <w:rPr>
          <w:i/>
          <w:sz w:val="18"/>
        </w:rPr>
        <w:t>Especiales</w:t>
      </w:r>
      <w:r>
        <w:rPr>
          <w:i/>
          <w:spacing w:val="-16"/>
          <w:sz w:val="18"/>
        </w:rPr>
        <w:t> </w:t>
      </w:r>
      <w:r>
        <w:rPr>
          <w:i/>
          <w:sz w:val="18"/>
        </w:rPr>
        <w:t>de</w:t>
      </w:r>
      <w:r>
        <w:rPr>
          <w:i/>
          <w:spacing w:val="-16"/>
          <w:sz w:val="18"/>
        </w:rPr>
        <w:t> </w:t>
      </w:r>
      <w:r>
        <w:rPr>
          <w:i/>
          <w:sz w:val="18"/>
        </w:rPr>
        <w:t>Hidalgo,</w:t>
      </w:r>
      <w:r>
        <w:rPr>
          <w:i/>
          <w:spacing w:val="-19"/>
          <w:sz w:val="18"/>
        </w:rPr>
        <w:t> </w:t>
      </w:r>
      <w:r>
        <w:rPr>
          <w:i/>
          <w:sz w:val="18"/>
        </w:rPr>
        <w:t>A.</w:t>
      </w:r>
      <w:r>
        <w:rPr>
          <w:i/>
          <w:spacing w:val="-16"/>
          <w:sz w:val="18"/>
        </w:rPr>
        <w:t> </w:t>
      </w:r>
      <w:r>
        <w:rPr>
          <w:i/>
          <w:sz w:val="18"/>
        </w:rPr>
        <w:t>C.;</w:t>
      </w:r>
      <w:r>
        <w:rPr>
          <w:i/>
          <w:spacing w:val="-16"/>
          <w:sz w:val="18"/>
        </w:rPr>
        <w:t> </w:t>
      </w:r>
      <w:r>
        <w:rPr>
          <w:i/>
          <w:sz w:val="18"/>
        </w:rPr>
        <w:t>III.13.</w:t>
      </w:r>
      <w:r>
        <w:rPr>
          <w:i/>
          <w:spacing w:val="-16"/>
          <w:sz w:val="18"/>
        </w:rPr>
        <w:t> </w:t>
      </w:r>
      <w:r>
        <w:rPr>
          <w:i/>
          <w:sz w:val="18"/>
        </w:rPr>
        <w:t>Centro</w:t>
      </w:r>
      <w:r>
        <w:rPr>
          <w:i/>
          <w:spacing w:val="-16"/>
          <w:sz w:val="18"/>
        </w:rPr>
        <w:t> </w:t>
      </w:r>
      <w:r>
        <w:rPr>
          <w:i/>
          <w:sz w:val="18"/>
        </w:rPr>
        <w:t>de</w:t>
      </w:r>
      <w:r>
        <w:rPr>
          <w:i/>
          <w:spacing w:val="-16"/>
          <w:sz w:val="18"/>
        </w:rPr>
        <w:t> </w:t>
      </w:r>
      <w:r>
        <w:rPr>
          <w:i/>
          <w:sz w:val="18"/>
        </w:rPr>
        <w:t>Rehabilitación</w:t>
      </w:r>
      <w:r>
        <w:rPr>
          <w:i/>
          <w:spacing w:val="-17"/>
          <w:sz w:val="18"/>
        </w:rPr>
        <w:t> </w:t>
      </w:r>
      <w:r>
        <w:rPr>
          <w:i/>
          <w:sz w:val="18"/>
        </w:rPr>
        <w:t>de</w:t>
      </w:r>
      <w:r>
        <w:rPr>
          <w:i/>
          <w:spacing w:val="-16"/>
          <w:sz w:val="18"/>
        </w:rPr>
        <w:t> </w:t>
      </w:r>
      <w:r>
        <w:rPr>
          <w:i/>
          <w:sz w:val="18"/>
        </w:rPr>
        <w:t>Integración </w:t>
      </w:r>
      <w:r>
        <w:rPr>
          <w:i/>
          <w:sz w:val="18"/>
        </w:rPr>
        <w:t>Multidisciplinaria,</w:t>
      </w:r>
      <w:r>
        <w:rPr>
          <w:i/>
          <w:spacing w:val="-8"/>
          <w:sz w:val="18"/>
        </w:rPr>
        <w:t> </w:t>
      </w:r>
      <w:r>
        <w:rPr>
          <w:i/>
          <w:sz w:val="18"/>
        </w:rPr>
        <w:t>A.C.</w:t>
      </w:r>
      <w:r>
        <w:rPr>
          <w:i/>
          <w:spacing w:val="-5"/>
          <w:sz w:val="18"/>
        </w:rPr>
        <w:t> </w:t>
      </w:r>
      <w:r>
        <w:rPr>
          <w:i/>
          <w:spacing w:val="-8"/>
          <w:sz w:val="18"/>
        </w:rPr>
        <w:t>IV.</w:t>
      </w:r>
      <w:r>
        <w:rPr>
          <w:i/>
          <w:spacing w:val="-5"/>
          <w:sz w:val="18"/>
        </w:rPr>
        <w:t> </w:t>
      </w:r>
      <w:r>
        <w:rPr>
          <w:i/>
          <w:sz w:val="18"/>
        </w:rPr>
        <w:t>Centros</w:t>
      </w:r>
      <w:r>
        <w:rPr>
          <w:i/>
          <w:spacing w:val="-5"/>
          <w:sz w:val="18"/>
        </w:rPr>
        <w:t> </w:t>
      </w:r>
      <w:r>
        <w:rPr>
          <w:i/>
          <w:sz w:val="18"/>
        </w:rPr>
        <w:t>de</w:t>
      </w:r>
      <w:r>
        <w:rPr>
          <w:i/>
          <w:spacing w:val="-8"/>
          <w:sz w:val="18"/>
        </w:rPr>
        <w:t> </w:t>
      </w:r>
      <w:r>
        <w:rPr>
          <w:i/>
          <w:sz w:val="18"/>
        </w:rPr>
        <w:t>Atención</w:t>
      </w:r>
      <w:r>
        <w:rPr>
          <w:i/>
          <w:spacing w:val="-5"/>
          <w:sz w:val="18"/>
        </w:rPr>
        <w:t> </w:t>
      </w:r>
      <w:r>
        <w:rPr>
          <w:i/>
          <w:sz w:val="18"/>
        </w:rPr>
        <w:t>a</w:t>
      </w:r>
      <w:r>
        <w:rPr>
          <w:i/>
          <w:spacing w:val="-5"/>
          <w:sz w:val="18"/>
        </w:rPr>
        <w:t> </w:t>
      </w:r>
      <w:r>
        <w:rPr>
          <w:i/>
          <w:sz w:val="18"/>
        </w:rPr>
        <w:t>la</w:t>
      </w:r>
      <w:r>
        <w:rPr>
          <w:i/>
          <w:spacing w:val="-5"/>
          <w:sz w:val="18"/>
        </w:rPr>
        <w:t> </w:t>
      </w:r>
      <w:r>
        <w:rPr>
          <w:i/>
          <w:sz w:val="18"/>
        </w:rPr>
        <w:t>Salud:</w:t>
      </w:r>
      <w:r>
        <w:rPr>
          <w:i/>
          <w:spacing w:val="-5"/>
          <w:sz w:val="18"/>
        </w:rPr>
        <w:t> IV.1. </w:t>
      </w:r>
      <w:r>
        <w:rPr>
          <w:i/>
          <w:sz w:val="18"/>
        </w:rPr>
        <w:t>El</w:t>
      </w:r>
      <w:r>
        <w:rPr>
          <w:i/>
          <w:spacing w:val="-5"/>
          <w:sz w:val="18"/>
        </w:rPr>
        <w:t> </w:t>
      </w:r>
      <w:r>
        <w:rPr>
          <w:i/>
          <w:sz w:val="18"/>
        </w:rPr>
        <w:t>Diamante</w:t>
      </w:r>
      <w:r>
        <w:rPr>
          <w:i/>
          <w:spacing w:val="-5"/>
          <w:sz w:val="18"/>
        </w:rPr>
        <w:t> </w:t>
      </w:r>
      <w:r>
        <w:rPr>
          <w:i/>
          <w:sz w:val="18"/>
        </w:rPr>
        <w:t>de</w:t>
      </w:r>
      <w:r>
        <w:rPr>
          <w:i/>
          <w:spacing w:val="-5"/>
          <w:sz w:val="18"/>
        </w:rPr>
        <w:t> </w:t>
      </w:r>
      <w:r>
        <w:rPr>
          <w:i/>
          <w:sz w:val="18"/>
        </w:rPr>
        <w:t>Fuego,</w:t>
      </w:r>
      <w:r>
        <w:rPr>
          <w:i/>
          <w:spacing w:val="-9"/>
          <w:sz w:val="18"/>
        </w:rPr>
        <w:t> </w:t>
      </w:r>
      <w:r>
        <w:rPr>
          <w:i/>
          <w:sz w:val="18"/>
        </w:rPr>
        <w:t>A.</w:t>
      </w:r>
      <w:r>
        <w:rPr>
          <w:i/>
          <w:spacing w:val="-5"/>
          <w:sz w:val="18"/>
        </w:rPr>
        <w:t> </w:t>
      </w:r>
      <w:r>
        <w:rPr>
          <w:i/>
          <w:sz w:val="18"/>
        </w:rPr>
        <w:t>C.;</w:t>
      </w:r>
    </w:p>
    <w:p>
      <w:pPr>
        <w:spacing w:line="185" w:lineRule="exact" w:before="0"/>
        <w:ind w:left="393" w:right="0" w:firstLine="0"/>
        <w:jc w:val="both"/>
        <w:rPr>
          <w:i/>
          <w:sz w:val="18"/>
        </w:rPr>
      </w:pPr>
      <w:r>
        <w:rPr>
          <w:i/>
          <w:sz w:val="18"/>
        </w:rPr>
        <w:t>IV.2. Frente Nacional de Personas Afectadas por el VIH Sida, A. C.; IV.3. Más Amigos Más,</w:t>
      </w:r>
    </w:p>
    <w:p>
      <w:pPr>
        <w:spacing w:line="192" w:lineRule="exact" w:before="7"/>
        <w:ind w:left="393" w:right="115" w:firstLine="0"/>
        <w:jc w:val="both"/>
        <w:rPr>
          <w:i/>
          <w:sz w:val="18"/>
        </w:rPr>
      </w:pPr>
      <w:r>
        <w:rPr>
          <w:i/>
          <w:sz w:val="18"/>
        </w:rPr>
        <w:t>A. C.; </w:t>
      </w:r>
      <w:r>
        <w:rPr>
          <w:i/>
          <w:spacing w:val="-5"/>
          <w:sz w:val="18"/>
        </w:rPr>
        <w:t>IV.4. </w:t>
      </w:r>
      <w:r>
        <w:rPr>
          <w:i/>
          <w:sz w:val="18"/>
        </w:rPr>
        <w:t>Centro de Rehabilitación Nueva </w:t>
      </w:r>
      <w:r>
        <w:rPr>
          <w:i/>
          <w:spacing w:val="-3"/>
          <w:sz w:val="18"/>
        </w:rPr>
        <w:t>Vida, </w:t>
      </w:r>
      <w:r>
        <w:rPr>
          <w:i/>
          <w:sz w:val="18"/>
        </w:rPr>
        <w:t>A. C.; </w:t>
      </w:r>
      <w:r>
        <w:rPr>
          <w:i/>
          <w:spacing w:val="-5"/>
          <w:sz w:val="18"/>
        </w:rPr>
        <w:t>IV.5. </w:t>
      </w:r>
      <w:r>
        <w:rPr>
          <w:i/>
          <w:sz w:val="18"/>
        </w:rPr>
        <w:t>Casa de Recuperación para </w:t>
      </w:r>
      <w:r>
        <w:rPr>
          <w:i/>
          <w:sz w:val="18"/>
        </w:rPr>
        <w:t>Mujeres y Hombres, Renovación </w:t>
      </w:r>
      <w:r>
        <w:rPr>
          <w:i/>
          <w:spacing w:val="-3"/>
          <w:sz w:val="18"/>
        </w:rPr>
        <w:t>Interior, </w:t>
      </w:r>
      <w:r>
        <w:rPr>
          <w:i/>
          <w:sz w:val="18"/>
        </w:rPr>
        <w:t>A. C.; </w:t>
      </w:r>
      <w:r>
        <w:rPr>
          <w:i/>
          <w:spacing w:val="-5"/>
          <w:sz w:val="18"/>
        </w:rPr>
        <w:t>IV.6. </w:t>
      </w:r>
      <w:r>
        <w:rPr>
          <w:i/>
          <w:sz w:val="18"/>
        </w:rPr>
        <w:t>Grupo Reto Hidalgo, A. C.; y </w:t>
      </w:r>
      <w:r>
        <w:rPr>
          <w:i/>
          <w:spacing w:val="-5"/>
          <w:sz w:val="18"/>
        </w:rPr>
        <w:t>IV.7. </w:t>
      </w:r>
      <w:r>
        <w:rPr>
          <w:i/>
          <w:sz w:val="18"/>
        </w:rPr>
        <w:t>Red Hidalguense</w:t>
      </w:r>
      <w:r>
        <w:rPr>
          <w:i/>
          <w:spacing w:val="-3"/>
          <w:sz w:val="18"/>
        </w:rPr>
        <w:t> </w:t>
      </w:r>
      <w:r>
        <w:rPr>
          <w:i/>
          <w:sz w:val="18"/>
        </w:rPr>
        <w:t>para</w:t>
      </w:r>
      <w:r>
        <w:rPr>
          <w:i/>
          <w:spacing w:val="-4"/>
          <w:sz w:val="18"/>
        </w:rPr>
        <w:t> </w:t>
      </w:r>
      <w:r>
        <w:rPr>
          <w:i/>
          <w:sz w:val="18"/>
        </w:rPr>
        <w:t>la</w:t>
      </w:r>
      <w:r>
        <w:rPr>
          <w:i/>
          <w:spacing w:val="-4"/>
          <w:sz w:val="18"/>
        </w:rPr>
        <w:t> </w:t>
      </w:r>
      <w:r>
        <w:rPr>
          <w:i/>
          <w:sz w:val="18"/>
        </w:rPr>
        <w:t>Prevención</w:t>
      </w:r>
      <w:r>
        <w:rPr>
          <w:i/>
          <w:spacing w:val="-4"/>
          <w:sz w:val="18"/>
        </w:rPr>
        <w:t> </w:t>
      </w:r>
      <w:r>
        <w:rPr>
          <w:i/>
          <w:sz w:val="18"/>
        </w:rPr>
        <w:t>de</w:t>
      </w:r>
      <w:r>
        <w:rPr>
          <w:i/>
          <w:spacing w:val="-4"/>
          <w:sz w:val="18"/>
        </w:rPr>
        <w:t> </w:t>
      </w:r>
      <w:r>
        <w:rPr>
          <w:i/>
          <w:sz w:val="18"/>
        </w:rPr>
        <w:t>la</w:t>
      </w:r>
      <w:r>
        <w:rPr>
          <w:i/>
          <w:spacing w:val="-4"/>
          <w:sz w:val="18"/>
        </w:rPr>
        <w:t> </w:t>
      </w:r>
      <w:r>
        <w:rPr>
          <w:i/>
          <w:sz w:val="18"/>
        </w:rPr>
        <w:t>Discapacidad,</w:t>
      </w:r>
      <w:r>
        <w:rPr>
          <w:i/>
          <w:spacing w:val="-6"/>
          <w:sz w:val="18"/>
        </w:rPr>
        <w:t> </w:t>
      </w:r>
      <w:r>
        <w:rPr>
          <w:i/>
          <w:sz w:val="18"/>
        </w:rPr>
        <w:t>A.</w:t>
      </w:r>
      <w:r>
        <w:rPr>
          <w:i/>
          <w:spacing w:val="-4"/>
          <w:sz w:val="18"/>
        </w:rPr>
        <w:t> </w:t>
      </w:r>
      <w:r>
        <w:rPr>
          <w:i/>
          <w:sz w:val="18"/>
        </w:rPr>
        <w:t>C.</w:t>
      </w:r>
      <w:r>
        <w:rPr>
          <w:i/>
          <w:spacing w:val="-4"/>
          <w:sz w:val="18"/>
        </w:rPr>
        <w:t> </w:t>
      </w:r>
      <w:r>
        <w:rPr>
          <w:i/>
          <w:spacing w:val="-8"/>
          <w:sz w:val="18"/>
        </w:rPr>
        <w:t>IV.</w:t>
      </w:r>
      <w:r>
        <w:rPr>
          <w:i/>
          <w:spacing w:val="-4"/>
          <w:sz w:val="18"/>
        </w:rPr>
        <w:t> </w:t>
      </w:r>
      <w:r>
        <w:rPr>
          <w:i/>
          <w:sz w:val="18"/>
        </w:rPr>
        <w:t>Centros</w:t>
      </w:r>
      <w:r>
        <w:rPr>
          <w:i/>
          <w:spacing w:val="-4"/>
          <w:sz w:val="18"/>
        </w:rPr>
        <w:t> </w:t>
      </w:r>
      <w:r>
        <w:rPr>
          <w:i/>
          <w:sz w:val="18"/>
        </w:rPr>
        <w:t>de</w:t>
      </w:r>
      <w:r>
        <w:rPr>
          <w:i/>
          <w:spacing w:val="-7"/>
          <w:sz w:val="18"/>
        </w:rPr>
        <w:t> </w:t>
      </w:r>
      <w:r>
        <w:rPr>
          <w:i/>
          <w:sz w:val="18"/>
        </w:rPr>
        <w:t>Atención</w:t>
      </w:r>
      <w:r>
        <w:rPr>
          <w:i/>
          <w:spacing w:val="-4"/>
          <w:sz w:val="18"/>
        </w:rPr>
        <w:t> </w:t>
      </w:r>
      <w:r>
        <w:rPr>
          <w:i/>
          <w:sz w:val="18"/>
        </w:rPr>
        <w:t>a</w:t>
      </w:r>
      <w:r>
        <w:rPr>
          <w:i/>
          <w:spacing w:val="-4"/>
          <w:sz w:val="18"/>
        </w:rPr>
        <w:t> </w:t>
      </w:r>
      <w:r>
        <w:rPr>
          <w:i/>
          <w:sz w:val="18"/>
        </w:rPr>
        <w:t>la</w:t>
      </w:r>
      <w:r>
        <w:rPr>
          <w:i/>
          <w:spacing w:val="-4"/>
          <w:sz w:val="18"/>
        </w:rPr>
        <w:t> </w:t>
      </w:r>
      <w:r>
        <w:rPr>
          <w:i/>
          <w:sz w:val="18"/>
        </w:rPr>
        <w:t>Salud:</w:t>
      </w:r>
    </w:p>
    <w:p>
      <w:pPr>
        <w:spacing w:line="192" w:lineRule="exact" w:before="0"/>
        <w:ind w:left="393" w:right="114" w:firstLine="0"/>
        <w:jc w:val="both"/>
        <w:rPr>
          <w:i/>
          <w:sz w:val="18"/>
        </w:rPr>
      </w:pPr>
      <w:r>
        <w:rPr>
          <w:i/>
          <w:spacing w:val="-5"/>
          <w:sz w:val="18"/>
        </w:rPr>
        <w:t>IV.8. </w:t>
      </w:r>
      <w:r>
        <w:rPr>
          <w:i/>
          <w:sz w:val="18"/>
        </w:rPr>
        <w:t>Fundación </w:t>
      </w:r>
      <w:r>
        <w:rPr>
          <w:i/>
          <w:spacing w:val="-3"/>
          <w:sz w:val="18"/>
        </w:rPr>
        <w:t>Titi </w:t>
      </w:r>
      <w:r>
        <w:rPr>
          <w:i/>
          <w:sz w:val="18"/>
        </w:rPr>
        <w:t>de Ayuda Mutua, A. C.; </w:t>
      </w:r>
      <w:r>
        <w:rPr>
          <w:i/>
          <w:spacing w:val="-5"/>
          <w:sz w:val="18"/>
        </w:rPr>
        <w:t>IV.9. </w:t>
      </w:r>
      <w:r>
        <w:rPr>
          <w:i/>
          <w:sz w:val="18"/>
        </w:rPr>
        <w:t>Asociación Mexicana de Ayuda a Niños con </w:t>
      </w:r>
      <w:r>
        <w:rPr>
          <w:i/>
          <w:sz w:val="18"/>
        </w:rPr>
        <w:t>Cáncer</w:t>
      </w:r>
      <w:r>
        <w:rPr>
          <w:i/>
          <w:spacing w:val="-12"/>
          <w:sz w:val="18"/>
        </w:rPr>
        <w:t> </w:t>
      </w:r>
      <w:r>
        <w:rPr>
          <w:i/>
          <w:sz w:val="18"/>
        </w:rPr>
        <w:t>de</w:t>
      </w:r>
      <w:r>
        <w:rPr>
          <w:i/>
          <w:spacing w:val="-12"/>
          <w:sz w:val="18"/>
        </w:rPr>
        <w:t> </w:t>
      </w:r>
      <w:r>
        <w:rPr>
          <w:i/>
          <w:sz w:val="18"/>
        </w:rPr>
        <w:t>Hidalgo,</w:t>
      </w:r>
      <w:r>
        <w:rPr>
          <w:i/>
          <w:spacing w:val="-15"/>
          <w:sz w:val="18"/>
        </w:rPr>
        <w:t> </w:t>
      </w:r>
      <w:r>
        <w:rPr>
          <w:i/>
          <w:sz w:val="18"/>
        </w:rPr>
        <w:t>A.</w:t>
      </w:r>
      <w:r>
        <w:rPr>
          <w:i/>
          <w:spacing w:val="-12"/>
          <w:sz w:val="18"/>
        </w:rPr>
        <w:t> </w:t>
      </w:r>
      <w:r>
        <w:rPr>
          <w:i/>
          <w:sz w:val="18"/>
        </w:rPr>
        <w:t>C.;</w:t>
      </w:r>
      <w:r>
        <w:rPr>
          <w:i/>
          <w:spacing w:val="-12"/>
          <w:sz w:val="18"/>
        </w:rPr>
        <w:t> </w:t>
      </w:r>
      <w:r>
        <w:rPr>
          <w:i/>
          <w:spacing w:val="-4"/>
          <w:sz w:val="18"/>
        </w:rPr>
        <w:t>IV.10.</w:t>
      </w:r>
      <w:r>
        <w:rPr>
          <w:i/>
          <w:spacing w:val="-15"/>
          <w:sz w:val="18"/>
        </w:rPr>
        <w:t> </w:t>
      </w:r>
      <w:r>
        <w:rPr>
          <w:i/>
          <w:sz w:val="18"/>
        </w:rPr>
        <w:t>Asociación</w:t>
      </w:r>
      <w:r>
        <w:rPr>
          <w:i/>
          <w:spacing w:val="-13"/>
          <w:sz w:val="18"/>
        </w:rPr>
        <w:t> </w:t>
      </w:r>
      <w:r>
        <w:rPr>
          <w:i/>
          <w:sz w:val="18"/>
        </w:rPr>
        <w:t>Hidalguense</w:t>
      </w:r>
      <w:r>
        <w:rPr>
          <w:i/>
          <w:spacing w:val="-11"/>
          <w:sz w:val="18"/>
        </w:rPr>
        <w:t> </w:t>
      </w:r>
      <w:r>
        <w:rPr>
          <w:i/>
          <w:sz w:val="18"/>
        </w:rPr>
        <w:t>de</w:t>
      </w:r>
      <w:r>
        <w:rPr>
          <w:i/>
          <w:spacing w:val="-12"/>
          <w:sz w:val="18"/>
        </w:rPr>
        <w:t> </w:t>
      </w:r>
      <w:r>
        <w:rPr>
          <w:i/>
          <w:sz w:val="18"/>
        </w:rPr>
        <w:t>Trasplantes,</w:t>
      </w:r>
      <w:r>
        <w:rPr>
          <w:i/>
          <w:spacing w:val="-15"/>
          <w:sz w:val="18"/>
        </w:rPr>
        <w:t> </w:t>
      </w:r>
      <w:r>
        <w:rPr>
          <w:i/>
          <w:sz w:val="18"/>
        </w:rPr>
        <w:t>A.</w:t>
      </w:r>
      <w:r>
        <w:rPr>
          <w:i/>
          <w:spacing w:val="-12"/>
          <w:sz w:val="18"/>
        </w:rPr>
        <w:t> </w:t>
      </w:r>
      <w:r>
        <w:rPr>
          <w:i/>
          <w:sz w:val="18"/>
        </w:rPr>
        <w:t>C.;</w:t>
      </w:r>
      <w:r>
        <w:rPr>
          <w:i/>
          <w:spacing w:val="-12"/>
          <w:sz w:val="18"/>
        </w:rPr>
        <w:t> </w:t>
      </w:r>
      <w:r>
        <w:rPr>
          <w:i/>
          <w:spacing w:val="-7"/>
          <w:sz w:val="18"/>
        </w:rPr>
        <w:t>IV.11.</w:t>
      </w:r>
      <w:r>
        <w:rPr>
          <w:i/>
          <w:spacing w:val="-12"/>
          <w:sz w:val="18"/>
        </w:rPr>
        <w:t> </w:t>
      </w:r>
      <w:r>
        <w:rPr>
          <w:i/>
          <w:sz w:val="18"/>
        </w:rPr>
        <w:t>Sociedad Mexicana de Profesionales para la Salud y la Educación, A. C.; </w:t>
      </w:r>
      <w:r>
        <w:rPr>
          <w:i/>
          <w:spacing w:val="-4"/>
          <w:sz w:val="18"/>
        </w:rPr>
        <w:t>IV.12. </w:t>
      </w:r>
      <w:r>
        <w:rPr>
          <w:i/>
          <w:sz w:val="18"/>
        </w:rPr>
        <w:t>Colegio Hidalguense en</w:t>
      </w:r>
      <w:r>
        <w:rPr>
          <w:i/>
          <w:spacing w:val="-3"/>
          <w:sz w:val="18"/>
        </w:rPr>
        <w:t> </w:t>
      </w:r>
      <w:r>
        <w:rPr>
          <w:i/>
          <w:sz w:val="18"/>
        </w:rPr>
        <w:t>Sexualidad</w:t>
      </w:r>
      <w:r>
        <w:rPr>
          <w:i/>
          <w:spacing w:val="-3"/>
          <w:sz w:val="18"/>
        </w:rPr>
        <w:t> </w:t>
      </w:r>
      <w:r>
        <w:rPr>
          <w:i/>
          <w:sz w:val="18"/>
        </w:rPr>
        <w:t>Humana,</w:t>
      </w:r>
      <w:r>
        <w:rPr>
          <w:i/>
          <w:spacing w:val="-6"/>
          <w:sz w:val="18"/>
        </w:rPr>
        <w:t> </w:t>
      </w:r>
      <w:r>
        <w:rPr>
          <w:i/>
          <w:sz w:val="18"/>
        </w:rPr>
        <w:t>A.</w:t>
      </w:r>
      <w:r>
        <w:rPr>
          <w:i/>
          <w:spacing w:val="-3"/>
          <w:sz w:val="18"/>
        </w:rPr>
        <w:t> </w:t>
      </w:r>
      <w:r>
        <w:rPr>
          <w:i/>
          <w:sz w:val="18"/>
        </w:rPr>
        <w:t>C.;</w:t>
      </w:r>
      <w:r>
        <w:rPr>
          <w:i/>
          <w:spacing w:val="-3"/>
          <w:sz w:val="18"/>
        </w:rPr>
        <w:t> </w:t>
      </w:r>
      <w:r>
        <w:rPr>
          <w:i/>
          <w:spacing w:val="-4"/>
          <w:sz w:val="18"/>
        </w:rPr>
        <w:t>IV.13.</w:t>
      </w:r>
      <w:r>
        <w:rPr>
          <w:i/>
          <w:spacing w:val="-6"/>
          <w:sz w:val="18"/>
        </w:rPr>
        <w:t> </w:t>
      </w:r>
      <w:r>
        <w:rPr>
          <w:i/>
          <w:sz w:val="18"/>
        </w:rPr>
        <w:t>Aprendiendo</w:t>
      </w:r>
      <w:r>
        <w:rPr>
          <w:i/>
          <w:spacing w:val="-3"/>
          <w:sz w:val="18"/>
        </w:rPr>
        <w:t> </w:t>
      </w:r>
      <w:r>
        <w:rPr>
          <w:i/>
          <w:sz w:val="18"/>
        </w:rPr>
        <w:t>a</w:t>
      </w:r>
      <w:r>
        <w:rPr>
          <w:i/>
          <w:spacing w:val="-3"/>
          <w:sz w:val="18"/>
        </w:rPr>
        <w:t> Vivir </w:t>
      </w:r>
      <w:r>
        <w:rPr>
          <w:i/>
          <w:sz w:val="18"/>
        </w:rPr>
        <w:t>el</w:t>
      </w:r>
      <w:r>
        <w:rPr>
          <w:i/>
          <w:spacing w:val="-3"/>
          <w:sz w:val="18"/>
        </w:rPr>
        <w:t> </w:t>
      </w:r>
      <w:r>
        <w:rPr>
          <w:i/>
          <w:sz w:val="18"/>
        </w:rPr>
        <w:t>Duelo,</w:t>
      </w:r>
      <w:r>
        <w:rPr>
          <w:i/>
          <w:spacing w:val="-6"/>
          <w:sz w:val="18"/>
        </w:rPr>
        <w:t> </w:t>
      </w:r>
      <w:r>
        <w:rPr>
          <w:i/>
          <w:sz w:val="18"/>
        </w:rPr>
        <w:t>A.</w:t>
      </w:r>
      <w:r>
        <w:rPr>
          <w:i/>
          <w:spacing w:val="-3"/>
          <w:sz w:val="18"/>
        </w:rPr>
        <w:t> </w:t>
      </w:r>
      <w:r>
        <w:rPr>
          <w:i/>
          <w:sz w:val="18"/>
        </w:rPr>
        <w:t>C.;</w:t>
      </w:r>
      <w:r>
        <w:rPr>
          <w:i/>
          <w:spacing w:val="-3"/>
          <w:sz w:val="18"/>
        </w:rPr>
        <w:t> </w:t>
      </w:r>
      <w:r>
        <w:rPr>
          <w:i/>
          <w:spacing w:val="-4"/>
          <w:sz w:val="18"/>
        </w:rPr>
        <w:t>IV.14.</w:t>
      </w:r>
      <w:r>
        <w:rPr>
          <w:i/>
          <w:spacing w:val="-3"/>
          <w:sz w:val="18"/>
        </w:rPr>
        <w:t> </w:t>
      </w:r>
      <w:r>
        <w:rPr>
          <w:i/>
          <w:sz w:val="18"/>
        </w:rPr>
        <w:t>Patronato</w:t>
      </w:r>
      <w:r>
        <w:rPr>
          <w:i/>
          <w:spacing w:val="-3"/>
          <w:sz w:val="18"/>
        </w:rPr>
        <w:t> </w:t>
      </w:r>
      <w:r>
        <w:rPr>
          <w:i/>
          <w:sz w:val="18"/>
        </w:rPr>
        <w:t>del Hospital General de Pachuca, A. C.; </w:t>
      </w:r>
      <w:r>
        <w:rPr>
          <w:i/>
          <w:spacing w:val="-4"/>
          <w:sz w:val="18"/>
        </w:rPr>
        <w:t>IV.15. </w:t>
      </w:r>
      <w:r>
        <w:rPr>
          <w:i/>
          <w:sz w:val="18"/>
        </w:rPr>
        <w:t>Fundación del </w:t>
      </w:r>
      <w:r>
        <w:rPr>
          <w:i/>
          <w:spacing w:val="-7"/>
          <w:sz w:val="18"/>
        </w:rPr>
        <w:t>Dr. </w:t>
      </w:r>
      <w:r>
        <w:rPr>
          <w:i/>
          <w:sz w:val="18"/>
        </w:rPr>
        <w:t>Simi, A. C.; </w:t>
      </w:r>
      <w:r>
        <w:rPr>
          <w:i/>
          <w:spacing w:val="-4"/>
          <w:sz w:val="18"/>
        </w:rPr>
        <w:t>IV.16. </w:t>
      </w:r>
      <w:r>
        <w:rPr>
          <w:i/>
          <w:sz w:val="18"/>
        </w:rPr>
        <w:t>Asociación Nacional</w:t>
      </w:r>
      <w:r>
        <w:rPr>
          <w:i/>
          <w:spacing w:val="17"/>
          <w:sz w:val="18"/>
        </w:rPr>
        <w:t> </w:t>
      </w:r>
      <w:r>
        <w:rPr>
          <w:i/>
          <w:sz w:val="18"/>
        </w:rPr>
        <w:t>de</w:t>
      </w:r>
      <w:r>
        <w:rPr>
          <w:i/>
          <w:spacing w:val="17"/>
          <w:sz w:val="18"/>
        </w:rPr>
        <w:t> </w:t>
      </w:r>
      <w:r>
        <w:rPr>
          <w:i/>
          <w:spacing w:val="-3"/>
          <w:sz w:val="18"/>
        </w:rPr>
        <w:t>Terapia</w:t>
      </w:r>
      <w:r>
        <w:rPr>
          <w:i/>
          <w:spacing w:val="16"/>
          <w:sz w:val="18"/>
        </w:rPr>
        <w:t> </w:t>
      </w:r>
      <w:r>
        <w:rPr>
          <w:i/>
          <w:sz w:val="18"/>
        </w:rPr>
        <w:t>Ecuestre</w:t>
      </w:r>
      <w:r>
        <w:rPr>
          <w:i/>
          <w:spacing w:val="13"/>
          <w:sz w:val="18"/>
        </w:rPr>
        <w:t> </w:t>
      </w:r>
      <w:r>
        <w:rPr>
          <w:i/>
          <w:sz w:val="18"/>
        </w:rPr>
        <w:t>A.</w:t>
      </w:r>
      <w:r>
        <w:rPr>
          <w:i/>
          <w:spacing w:val="16"/>
          <w:sz w:val="18"/>
        </w:rPr>
        <w:t> </w:t>
      </w:r>
      <w:r>
        <w:rPr>
          <w:i/>
          <w:sz w:val="18"/>
        </w:rPr>
        <w:t>C.;</w:t>
      </w:r>
      <w:r>
        <w:rPr>
          <w:i/>
          <w:spacing w:val="17"/>
          <w:sz w:val="18"/>
        </w:rPr>
        <w:t> </w:t>
      </w:r>
      <w:r>
        <w:rPr>
          <w:i/>
          <w:sz w:val="18"/>
        </w:rPr>
        <w:t>y</w:t>
      </w:r>
      <w:r>
        <w:rPr>
          <w:i/>
          <w:spacing w:val="17"/>
          <w:sz w:val="18"/>
        </w:rPr>
        <w:t> </w:t>
      </w:r>
      <w:r>
        <w:rPr>
          <w:i/>
          <w:spacing w:val="-4"/>
          <w:sz w:val="18"/>
        </w:rPr>
        <w:t>IV.17.</w:t>
      </w:r>
      <w:r>
        <w:rPr>
          <w:i/>
          <w:spacing w:val="17"/>
          <w:sz w:val="18"/>
        </w:rPr>
        <w:t> </w:t>
      </w:r>
      <w:r>
        <w:rPr>
          <w:i/>
          <w:sz w:val="18"/>
        </w:rPr>
        <w:t>Música,</w:t>
      </w:r>
      <w:r>
        <w:rPr>
          <w:i/>
          <w:spacing w:val="13"/>
          <w:sz w:val="18"/>
        </w:rPr>
        <w:t> </w:t>
      </w:r>
      <w:r>
        <w:rPr>
          <w:i/>
          <w:sz w:val="18"/>
        </w:rPr>
        <w:t>Arte,</w:t>
      </w:r>
      <w:r>
        <w:rPr>
          <w:i/>
          <w:spacing w:val="16"/>
          <w:sz w:val="18"/>
        </w:rPr>
        <w:t> </w:t>
      </w:r>
      <w:r>
        <w:rPr>
          <w:i/>
          <w:sz w:val="18"/>
        </w:rPr>
        <w:t>Cultura</w:t>
      </w:r>
      <w:r>
        <w:rPr>
          <w:i/>
          <w:spacing w:val="13"/>
          <w:sz w:val="18"/>
        </w:rPr>
        <w:t> </w:t>
      </w:r>
      <w:r>
        <w:rPr>
          <w:i/>
          <w:sz w:val="18"/>
        </w:rPr>
        <w:t>Academia</w:t>
      </w:r>
      <w:r>
        <w:rPr>
          <w:i/>
          <w:spacing w:val="16"/>
          <w:sz w:val="18"/>
        </w:rPr>
        <w:t> </w:t>
      </w:r>
      <w:r>
        <w:rPr>
          <w:i/>
          <w:sz w:val="18"/>
        </w:rPr>
        <w:t>y</w:t>
      </w:r>
      <w:r>
        <w:rPr>
          <w:i/>
          <w:spacing w:val="17"/>
          <w:sz w:val="18"/>
        </w:rPr>
        <w:t> </w:t>
      </w:r>
      <w:r>
        <w:rPr>
          <w:i/>
          <w:sz w:val="18"/>
        </w:rPr>
        <w:t>Ciencia,</w:t>
      </w:r>
      <w:r>
        <w:rPr>
          <w:i/>
          <w:spacing w:val="13"/>
          <w:sz w:val="18"/>
        </w:rPr>
        <w:t> </w:t>
      </w:r>
      <w:r>
        <w:rPr>
          <w:i/>
          <w:sz w:val="18"/>
        </w:rPr>
        <w:t>A.</w:t>
      </w:r>
    </w:p>
    <w:p>
      <w:pPr>
        <w:spacing w:line="192" w:lineRule="exact" w:before="0"/>
        <w:ind w:left="393" w:right="115" w:firstLine="0"/>
        <w:jc w:val="both"/>
        <w:rPr>
          <w:i/>
          <w:sz w:val="18"/>
        </w:rPr>
      </w:pPr>
      <w:r>
        <w:rPr>
          <w:i/>
          <w:sz w:val="18"/>
        </w:rPr>
        <w:t>C. </w:t>
      </w:r>
      <w:r>
        <w:rPr>
          <w:i/>
          <w:spacing w:val="-12"/>
          <w:sz w:val="18"/>
        </w:rPr>
        <w:t>V. </w:t>
      </w:r>
      <w:r>
        <w:rPr>
          <w:i/>
          <w:sz w:val="18"/>
        </w:rPr>
        <w:t>Instituciones de Atención a Personas Vulnerables: </w:t>
      </w:r>
      <w:r>
        <w:rPr>
          <w:i/>
          <w:spacing w:val="-6"/>
          <w:sz w:val="18"/>
        </w:rPr>
        <w:t>V.1. </w:t>
      </w:r>
      <w:r>
        <w:rPr>
          <w:i/>
          <w:sz w:val="18"/>
        </w:rPr>
        <w:t>Asociación Altepe Macehual </w:t>
      </w:r>
      <w:r>
        <w:rPr>
          <w:i/>
          <w:sz w:val="18"/>
        </w:rPr>
        <w:t>Tlapaneguiani, A. C.; </w:t>
      </w:r>
      <w:r>
        <w:rPr>
          <w:i/>
          <w:spacing w:val="-6"/>
          <w:sz w:val="18"/>
        </w:rPr>
        <w:t>V.2. </w:t>
      </w:r>
      <w:r>
        <w:rPr>
          <w:i/>
          <w:sz w:val="18"/>
        </w:rPr>
        <w:t>Banco de Alimentos del Centro del Estado de Hidalgo, A.C.; </w:t>
      </w:r>
      <w:r>
        <w:rPr>
          <w:i/>
          <w:spacing w:val="-6"/>
          <w:sz w:val="18"/>
        </w:rPr>
        <w:t>V.3. </w:t>
      </w:r>
      <w:r>
        <w:rPr>
          <w:i/>
          <w:sz w:val="18"/>
        </w:rPr>
        <w:t>Desarrollo Integral, Un Derecho Humano, A. C.; </w:t>
      </w:r>
      <w:r>
        <w:rPr>
          <w:i/>
          <w:spacing w:val="-6"/>
          <w:sz w:val="18"/>
        </w:rPr>
        <w:t>V.4. </w:t>
      </w:r>
      <w:r>
        <w:rPr>
          <w:i/>
          <w:sz w:val="18"/>
        </w:rPr>
        <w:t>Voluntarias Vicentinas de Tulancingo de Bravo, Hidalgo, A. C.; </w:t>
      </w:r>
      <w:r>
        <w:rPr>
          <w:i/>
          <w:spacing w:val="-6"/>
          <w:sz w:val="18"/>
        </w:rPr>
        <w:t>V.5. </w:t>
      </w:r>
      <w:r>
        <w:rPr>
          <w:i/>
          <w:sz w:val="18"/>
        </w:rPr>
        <w:t>Asociación Regional de Silvicultores, Indígenas, Campesinos y Pequeños</w:t>
      </w:r>
      <w:r>
        <w:rPr>
          <w:i/>
          <w:spacing w:val="-6"/>
          <w:sz w:val="18"/>
        </w:rPr>
        <w:t> </w:t>
      </w:r>
      <w:r>
        <w:rPr>
          <w:i/>
          <w:sz w:val="18"/>
        </w:rPr>
        <w:t>Propietarios</w:t>
      </w:r>
      <w:r>
        <w:rPr>
          <w:i/>
          <w:spacing w:val="-6"/>
          <w:sz w:val="18"/>
        </w:rPr>
        <w:t> </w:t>
      </w:r>
      <w:r>
        <w:rPr>
          <w:i/>
          <w:sz w:val="18"/>
        </w:rPr>
        <w:t>Zona</w:t>
      </w:r>
      <w:r>
        <w:rPr>
          <w:i/>
          <w:spacing w:val="-6"/>
          <w:sz w:val="18"/>
        </w:rPr>
        <w:t> </w:t>
      </w:r>
      <w:r>
        <w:rPr>
          <w:i/>
          <w:sz w:val="18"/>
        </w:rPr>
        <w:t>Centro</w:t>
      </w:r>
      <w:r>
        <w:rPr>
          <w:i/>
          <w:spacing w:val="-8"/>
          <w:sz w:val="18"/>
        </w:rPr>
        <w:t> </w:t>
      </w:r>
      <w:r>
        <w:rPr>
          <w:i/>
          <w:sz w:val="18"/>
        </w:rPr>
        <w:t>A.</w:t>
      </w:r>
      <w:r>
        <w:rPr>
          <w:i/>
          <w:spacing w:val="-6"/>
          <w:sz w:val="18"/>
        </w:rPr>
        <w:t> </w:t>
      </w:r>
      <w:r>
        <w:rPr>
          <w:i/>
          <w:sz w:val="18"/>
        </w:rPr>
        <w:t>C.;</w:t>
      </w:r>
      <w:r>
        <w:rPr>
          <w:i/>
          <w:spacing w:val="-6"/>
          <w:sz w:val="18"/>
        </w:rPr>
        <w:t> V.6. </w:t>
      </w:r>
      <w:r>
        <w:rPr>
          <w:i/>
          <w:sz w:val="18"/>
        </w:rPr>
        <w:t>Fundación</w:t>
      </w:r>
      <w:r>
        <w:rPr>
          <w:i/>
          <w:spacing w:val="-6"/>
          <w:sz w:val="18"/>
        </w:rPr>
        <w:t> </w:t>
      </w:r>
      <w:r>
        <w:rPr>
          <w:i/>
          <w:sz w:val="18"/>
        </w:rPr>
        <w:t>Pedro</w:t>
      </w:r>
      <w:r>
        <w:rPr>
          <w:i/>
          <w:spacing w:val="-8"/>
          <w:sz w:val="18"/>
        </w:rPr>
        <w:t> </w:t>
      </w:r>
      <w:r>
        <w:rPr>
          <w:i/>
          <w:sz w:val="18"/>
        </w:rPr>
        <w:t>Arriaga</w:t>
      </w:r>
      <w:r>
        <w:rPr>
          <w:i/>
          <w:spacing w:val="-6"/>
          <w:sz w:val="18"/>
        </w:rPr>
        <w:t> </w:t>
      </w:r>
      <w:r>
        <w:rPr>
          <w:i/>
          <w:sz w:val="18"/>
        </w:rPr>
        <w:t>Manzano,</w:t>
      </w:r>
      <w:r>
        <w:rPr>
          <w:i/>
          <w:spacing w:val="-8"/>
          <w:sz w:val="18"/>
        </w:rPr>
        <w:t> </w:t>
      </w:r>
      <w:r>
        <w:rPr>
          <w:i/>
          <w:sz w:val="18"/>
        </w:rPr>
        <w:t>A.</w:t>
      </w:r>
      <w:r>
        <w:rPr>
          <w:i/>
          <w:spacing w:val="-6"/>
          <w:sz w:val="18"/>
        </w:rPr>
        <w:t> </w:t>
      </w:r>
      <w:r>
        <w:rPr>
          <w:i/>
          <w:sz w:val="18"/>
        </w:rPr>
        <w:t>C.;</w:t>
      </w:r>
      <w:r>
        <w:rPr>
          <w:i/>
          <w:spacing w:val="-6"/>
          <w:sz w:val="18"/>
        </w:rPr>
        <w:t> V.7. </w:t>
      </w:r>
      <w:r>
        <w:rPr>
          <w:i/>
          <w:sz w:val="18"/>
        </w:rPr>
        <w:t>Asociación Regional de Silvicultores, Indígenas, Campesinos y Pequeños Propietarios Zona </w:t>
      </w:r>
      <w:r>
        <w:rPr>
          <w:i/>
          <w:spacing w:val="-4"/>
          <w:sz w:val="18"/>
        </w:rPr>
        <w:t>Valle</w:t>
      </w:r>
      <w:r>
        <w:rPr>
          <w:i/>
          <w:spacing w:val="14"/>
          <w:sz w:val="18"/>
        </w:rPr>
        <w:t> </w:t>
      </w:r>
      <w:r>
        <w:rPr>
          <w:i/>
          <w:sz w:val="18"/>
        </w:rPr>
        <w:t>del</w:t>
      </w:r>
      <w:r>
        <w:rPr>
          <w:i/>
          <w:spacing w:val="14"/>
          <w:sz w:val="18"/>
        </w:rPr>
        <w:t> </w:t>
      </w:r>
      <w:r>
        <w:rPr>
          <w:i/>
          <w:sz w:val="18"/>
        </w:rPr>
        <w:t>Mezquital,</w:t>
      </w:r>
      <w:r>
        <w:rPr>
          <w:i/>
          <w:spacing w:val="11"/>
          <w:sz w:val="18"/>
        </w:rPr>
        <w:t> </w:t>
      </w:r>
      <w:r>
        <w:rPr>
          <w:i/>
          <w:sz w:val="18"/>
        </w:rPr>
        <w:t>A.</w:t>
      </w:r>
      <w:r>
        <w:rPr>
          <w:i/>
          <w:spacing w:val="14"/>
          <w:sz w:val="18"/>
        </w:rPr>
        <w:t> </w:t>
      </w:r>
      <w:r>
        <w:rPr>
          <w:i/>
          <w:sz w:val="18"/>
        </w:rPr>
        <w:t>C.;</w:t>
      </w:r>
      <w:r>
        <w:rPr>
          <w:i/>
          <w:spacing w:val="14"/>
          <w:sz w:val="18"/>
        </w:rPr>
        <w:t> </w:t>
      </w:r>
      <w:r>
        <w:rPr>
          <w:i/>
          <w:spacing w:val="-6"/>
          <w:sz w:val="18"/>
        </w:rPr>
        <w:t>V.8.</w:t>
      </w:r>
      <w:r>
        <w:rPr>
          <w:i/>
          <w:spacing w:val="14"/>
          <w:sz w:val="18"/>
        </w:rPr>
        <w:t> </w:t>
      </w:r>
      <w:r>
        <w:rPr>
          <w:i/>
          <w:sz w:val="18"/>
        </w:rPr>
        <w:t>Fundación</w:t>
      </w:r>
      <w:r>
        <w:rPr>
          <w:i/>
          <w:spacing w:val="11"/>
          <w:sz w:val="18"/>
        </w:rPr>
        <w:t> </w:t>
      </w:r>
      <w:r>
        <w:rPr>
          <w:i/>
          <w:sz w:val="18"/>
        </w:rPr>
        <w:t>Amigos</w:t>
      </w:r>
      <w:r>
        <w:rPr>
          <w:i/>
          <w:spacing w:val="14"/>
          <w:sz w:val="18"/>
        </w:rPr>
        <w:t> </w:t>
      </w:r>
      <w:r>
        <w:rPr>
          <w:i/>
          <w:sz w:val="18"/>
        </w:rPr>
        <w:t>Solidarios</w:t>
      </w:r>
      <w:r>
        <w:rPr>
          <w:i/>
          <w:spacing w:val="14"/>
          <w:sz w:val="18"/>
        </w:rPr>
        <w:t> </w:t>
      </w:r>
      <w:r>
        <w:rPr>
          <w:i/>
          <w:sz w:val="18"/>
        </w:rPr>
        <w:t>con</w:t>
      </w:r>
      <w:r>
        <w:rPr>
          <w:i/>
          <w:spacing w:val="14"/>
          <w:sz w:val="18"/>
        </w:rPr>
        <w:t> </w:t>
      </w:r>
      <w:r>
        <w:rPr>
          <w:i/>
          <w:sz w:val="18"/>
        </w:rPr>
        <w:t>el</w:t>
      </w:r>
      <w:r>
        <w:rPr>
          <w:i/>
          <w:spacing w:val="14"/>
          <w:sz w:val="18"/>
        </w:rPr>
        <w:t> </w:t>
      </w:r>
      <w:r>
        <w:rPr>
          <w:i/>
          <w:sz w:val="18"/>
        </w:rPr>
        <w:t>Más</w:t>
      </w:r>
      <w:r>
        <w:rPr>
          <w:i/>
          <w:spacing w:val="14"/>
          <w:sz w:val="18"/>
        </w:rPr>
        <w:t> </w:t>
      </w:r>
      <w:r>
        <w:rPr>
          <w:i/>
          <w:sz w:val="18"/>
        </w:rPr>
        <w:t>Necesitado,</w:t>
      </w:r>
      <w:r>
        <w:rPr>
          <w:i/>
          <w:spacing w:val="11"/>
          <w:sz w:val="18"/>
        </w:rPr>
        <w:t> </w:t>
      </w:r>
      <w:r>
        <w:rPr>
          <w:i/>
          <w:sz w:val="18"/>
        </w:rPr>
        <w:t>A.</w:t>
      </w:r>
      <w:r>
        <w:rPr>
          <w:i/>
          <w:spacing w:val="14"/>
          <w:sz w:val="18"/>
        </w:rPr>
        <w:t> </w:t>
      </w:r>
      <w:r>
        <w:rPr>
          <w:i/>
          <w:sz w:val="18"/>
        </w:rPr>
        <w:t>C.;</w:t>
      </w:r>
    </w:p>
    <w:p>
      <w:pPr>
        <w:spacing w:line="192" w:lineRule="exact" w:before="0"/>
        <w:ind w:left="393" w:right="114" w:firstLine="0"/>
        <w:jc w:val="both"/>
        <w:rPr>
          <w:i/>
          <w:sz w:val="18"/>
        </w:rPr>
      </w:pPr>
      <w:r>
        <w:rPr>
          <w:i/>
          <w:spacing w:val="-6"/>
          <w:sz w:val="18"/>
        </w:rPr>
        <w:t>V.9. </w:t>
      </w:r>
      <w:r>
        <w:rPr>
          <w:i/>
          <w:sz w:val="18"/>
        </w:rPr>
        <w:t>Gotas de Paz, A.C.; y </w:t>
      </w:r>
      <w:r>
        <w:rPr>
          <w:i/>
          <w:spacing w:val="-5"/>
          <w:sz w:val="18"/>
        </w:rPr>
        <w:t>V.10. </w:t>
      </w:r>
      <w:r>
        <w:rPr>
          <w:i/>
          <w:sz w:val="18"/>
        </w:rPr>
        <w:t>Desarrollo Orquestal y Coral del Estado de México, A.C. VI. </w:t>
      </w:r>
      <w:r>
        <w:rPr>
          <w:i/>
          <w:sz w:val="18"/>
        </w:rPr>
        <w:t>Instituciones de Vigilancia de Derechos Humanos y Atención a la Violencia Familiar: VI.1. Derechos Humanos, S.O.S., ONG, A. C.; VI.2. Fuerza y Corazón de la Mujer Hidalguense, A. C.; VI.3. Fuerza, Sentimiento y </w:t>
      </w:r>
      <w:r>
        <w:rPr>
          <w:i/>
          <w:spacing w:val="-4"/>
          <w:sz w:val="18"/>
        </w:rPr>
        <w:t>Mujer, </w:t>
      </w:r>
      <w:r>
        <w:rPr>
          <w:i/>
          <w:sz w:val="18"/>
        </w:rPr>
        <w:t>A. C.; VI.4. Fundación Armonía </w:t>
      </w:r>
      <w:r>
        <w:rPr>
          <w:i/>
          <w:spacing w:val="-3"/>
          <w:sz w:val="18"/>
        </w:rPr>
        <w:t>Familiar, </w:t>
      </w:r>
      <w:r>
        <w:rPr>
          <w:i/>
          <w:sz w:val="18"/>
        </w:rPr>
        <w:t>A. C.; VI.5. Fundación</w:t>
      </w:r>
      <w:r>
        <w:rPr>
          <w:i/>
          <w:spacing w:val="-9"/>
          <w:sz w:val="18"/>
        </w:rPr>
        <w:t> </w:t>
      </w:r>
      <w:r>
        <w:rPr>
          <w:i/>
          <w:sz w:val="18"/>
        </w:rPr>
        <w:t>Emmanuel,</w:t>
      </w:r>
      <w:r>
        <w:rPr>
          <w:i/>
          <w:spacing w:val="-9"/>
          <w:sz w:val="18"/>
        </w:rPr>
        <w:t> </w:t>
      </w:r>
      <w:r>
        <w:rPr>
          <w:i/>
          <w:spacing w:val="-4"/>
          <w:sz w:val="18"/>
        </w:rPr>
        <w:t>I.A.P.;</w:t>
      </w:r>
      <w:r>
        <w:rPr>
          <w:i/>
          <w:spacing w:val="-9"/>
          <w:sz w:val="18"/>
        </w:rPr>
        <w:t> </w:t>
      </w:r>
      <w:r>
        <w:rPr>
          <w:i/>
          <w:sz w:val="18"/>
        </w:rPr>
        <w:t>VI.6.</w:t>
      </w:r>
      <w:r>
        <w:rPr>
          <w:i/>
          <w:spacing w:val="-9"/>
          <w:sz w:val="18"/>
        </w:rPr>
        <w:t> </w:t>
      </w:r>
      <w:r>
        <w:rPr>
          <w:i/>
          <w:sz w:val="18"/>
        </w:rPr>
        <w:t>Fundación</w:t>
      </w:r>
      <w:r>
        <w:rPr>
          <w:i/>
          <w:spacing w:val="-9"/>
          <w:sz w:val="18"/>
        </w:rPr>
        <w:t> </w:t>
      </w:r>
      <w:r>
        <w:rPr>
          <w:i/>
          <w:sz w:val="18"/>
        </w:rPr>
        <w:t>para</w:t>
      </w:r>
      <w:r>
        <w:rPr>
          <w:i/>
          <w:spacing w:val="-9"/>
          <w:sz w:val="18"/>
        </w:rPr>
        <w:t> </w:t>
      </w:r>
      <w:r>
        <w:rPr>
          <w:i/>
          <w:sz w:val="18"/>
        </w:rPr>
        <w:t>una</w:t>
      </w:r>
      <w:r>
        <w:rPr>
          <w:i/>
          <w:spacing w:val="-9"/>
          <w:sz w:val="18"/>
        </w:rPr>
        <w:t> </w:t>
      </w:r>
      <w:r>
        <w:rPr>
          <w:i/>
          <w:spacing w:val="-4"/>
          <w:sz w:val="18"/>
        </w:rPr>
        <w:t>Vida</w:t>
      </w:r>
      <w:r>
        <w:rPr>
          <w:i/>
          <w:spacing w:val="-9"/>
          <w:sz w:val="18"/>
        </w:rPr>
        <w:t> </w:t>
      </w:r>
      <w:r>
        <w:rPr>
          <w:i/>
          <w:spacing w:val="-3"/>
          <w:sz w:val="18"/>
        </w:rPr>
        <w:t>Verdadera</w:t>
      </w:r>
      <w:r>
        <w:rPr>
          <w:i/>
          <w:spacing w:val="-9"/>
          <w:sz w:val="18"/>
        </w:rPr>
        <w:t> </w:t>
      </w:r>
      <w:r>
        <w:rPr>
          <w:i/>
          <w:sz w:val="18"/>
        </w:rPr>
        <w:t>y</w:t>
      </w:r>
      <w:r>
        <w:rPr>
          <w:i/>
          <w:spacing w:val="-9"/>
          <w:sz w:val="18"/>
        </w:rPr>
        <w:t> </w:t>
      </w:r>
      <w:r>
        <w:rPr>
          <w:i/>
          <w:sz w:val="18"/>
        </w:rPr>
        <w:t>Humana,</w:t>
      </w:r>
      <w:r>
        <w:rPr>
          <w:i/>
          <w:spacing w:val="-12"/>
          <w:sz w:val="18"/>
        </w:rPr>
        <w:t> </w:t>
      </w:r>
      <w:r>
        <w:rPr>
          <w:i/>
          <w:sz w:val="18"/>
        </w:rPr>
        <w:t>A.</w:t>
      </w:r>
      <w:r>
        <w:rPr>
          <w:i/>
          <w:spacing w:val="-9"/>
          <w:sz w:val="18"/>
        </w:rPr>
        <w:t> </w:t>
      </w:r>
      <w:r>
        <w:rPr>
          <w:i/>
          <w:sz w:val="18"/>
        </w:rPr>
        <w:t>C.;</w:t>
      </w:r>
      <w:r>
        <w:rPr>
          <w:i/>
          <w:spacing w:val="-9"/>
          <w:sz w:val="18"/>
        </w:rPr>
        <w:t> </w:t>
      </w:r>
      <w:r>
        <w:rPr>
          <w:i/>
          <w:sz w:val="18"/>
        </w:rPr>
        <w:t>VI.7. Mejoramiento</w:t>
      </w:r>
      <w:r>
        <w:rPr>
          <w:i/>
          <w:spacing w:val="-2"/>
          <w:sz w:val="18"/>
        </w:rPr>
        <w:t> </w:t>
      </w:r>
      <w:r>
        <w:rPr>
          <w:i/>
          <w:sz w:val="18"/>
        </w:rPr>
        <w:t>Cívico</w:t>
      </w:r>
      <w:r>
        <w:rPr>
          <w:i/>
          <w:spacing w:val="-2"/>
          <w:sz w:val="18"/>
        </w:rPr>
        <w:t> </w:t>
      </w:r>
      <w:r>
        <w:rPr>
          <w:i/>
          <w:sz w:val="18"/>
        </w:rPr>
        <w:t>y</w:t>
      </w:r>
      <w:r>
        <w:rPr>
          <w:i/>
          <w:spacing w:val="-2"/>
          <w:sz w:val="18"/>
        </w:rPr>
        <w:t> </w:t>
      </w:r>
      <w:r>
        <w:rPr>
          <w:i/>
          <w:sz w:val="18"/>
        </w:rPr>
        <w:t>Social</w:t>
      </w:r>
      <w:r>
        <w:rPr>
          <w:i/>
          <w:spacing w:val="-2"/>
          <w:sz w:val="18"/>
        </w:rPr>
        <w:t> </w:t>
      </w:r>
      <w:r>
        <w:rPr>
          <w:i/>
          <w:sz w:val="18"/>
        </w:rPr>
        <w:t>de</w:t>
      </w:r>
      <w:r>
        <w:rPr>
          <w:i/>
          <w:spacing w:val="-2"/>
          <w:sz w:val="18"/>
        </w:rPr>
        <w:t> </w:t>
      </w:r>
      <w:r>
        <w:rPr>
          <w:i/>
          <w:sz w:val="18"/>
        </w:rPr>
        <w:t>Hidalgo,</w:t>
      </w:r>
      <w:r>
        <w:rPr>
          <w:i/>
          <w:spacing w:val="-5"/>
          <w:sz w:val="18"/>
        </w:rPr>
        <w:t> </w:t>
      </w:r>
      <w:r>
        <w:rPr>
          <w:i/>
          <w:sz w:val="18"/>
        </w:rPr>
        <w:t>A.</w:t>
      </w:r>
      <w:r>
        <w:rPr>
          <w:i/>
          <w:spacing w:val="-2"/>
          <w:sz w:val="18"/>
        </w:rPr>
        <w:t> </w:t>
      </w:r>
      <w:r>
        <w:rPr>
          <w:i/>
          <w:sz w:val="18"/>
        </w:rPr>
        <w:t>C.;</w:t>
      </w:r>
      <w:r>
        <w:rPr>
          <w:i/>
          <w:spacing w:val="-2"/>
          <w:sz w:val="18"/>
        </w:rPr>
        <w:t> </w:t>
      </w:r>
      <w:r>
        <w:rPr>
          <w:i/>
          <w:sz w:val="18"/>
        </w:rPr>
        <w:t>VI.8.</w:t>
      </w:r>
      <w:r>
        <w:rPr>
          <w:i/>
          <w:spacing w:val="-2"/>
          <w:sz w:val="18"/>
        </w:rPr>
        <w:t> </w:t>
      </w:r>
      <w:r>
        <w:rPr>
          <w:i/>
          <w:sz w:val="18"/>
        </w:rPr>
        <w:t>Mujeres</w:t>
      </w:r>
      <w:r>
        <w:rPr>
          <w:i/>
          <w:spacing w:val="-2"/>
          <w:sz w:val="18"/>
        </w:rPr>
        <w:t> </w:t>
      </w:r>
      <w:r>
        <w:rPr>
          <w:i/>
          <w:sz w:val="18"/>
        </w:rPr>
        <w:t>al</w:t>
      </w:r>
      <w:r>
        <w:rPr>
          <w:i/>
          <w:spacing w:val="-5"/>
          <w:sz w:val="18"/>
        </w:rPr>
        <w:t> </w:t>
      </w:r>
      <w:r>
        <w:rPr>
          <w:i/>
          <w:sz w:val="18"/>
        </w:rPr>
        <w:t>Alba,</w:t>
      </w:r>
      <w:r>
        <w:rPr>
          <w:i/>
          <w:spacing w:val="-5"/>
          <w:sz w:val="18"/>
        </w:rPr>
        <w:t> </w:t>
      </w:r>
      <w:r>
        <w:rPr>
          <w:i/>
          <w:sz w:val="18"/>
        </w:rPr>
        <w:t>A.</w:t>
      </w:r>
      <w:r>
        <w:rPr>
          <w:i/>
          <w:spacing w:val="-2"/>
          <w:sz w:val="18"/>
        </w:rPr>
        <w:t> </w:t>
      </w:r>
      <w:r>
        <w:rPr>
          <w:i/>
          <w:sz w:val="18"/>
        </w:rPr>
        <w:t>C.;</w:t>
      </w:r>
      <w:r>
        <w:rPr>
          <w:i/>
          <w:spacing w:val="-2"/>
          <w:sz w:val="18"/>
        </w:rPr>
        <w:t> </w:t>
      </w:r>
      <w:r>
        <w:rPr>
          <w:i/>
          <w:sz w:val="18"/>
        </w:rPr>
        <w:t>VI.9.</w:t>
      </w:r>
      <w:r>
        <w:rPr>
          <w:i/>
          <w:spacing w:val="-2"/>
          <w:sz w:val="18"/>
        </w:rPr>
        <w:t> </w:t>
      </w:r>
      <w:r>
        <w:rPr>
          <w:i/>
          <w:sz w:val="18"/>
        </w:rPr>
        <w:t>Nuhusehe, Educación y Desarrollo, A. C.; VI.10. Reintegración, Esperanza y Apoyo Social, A. C.; </w:t>
      </w:r>
      <w:r>
        <w:rPr>
          <w:i/>
          <w:spacing w:val="-3"/>
          <w:sz w:val="18"/>
        </w:rPr>
        <w:t>VI.11. Visión </w:t>
      </w:r>
      <w:r>
        <w:rPr>
          <w:i/>
          <w:sz w:val="18"/>
        </w:rPr>
        <w:t>Indígena, A. C.; VI.12. Voluntariado Sociedad Sin Fronteras, A. C.; VI.13. En Familia Rompamos el Silencio, A. C.; VI.14. Fraternidad de Unidad y Apoyo Social Hidalguense, A. C.;</w:t>
      </w:r>
      <w:r>
        <w:rPr>
          <w:i/>
          <w:spacing w:val="14"/>
          <w:sz w:val="18"/>
        </w:rPr>
        <w:t> </w:t>
      </w:r>
      <w:r>
        <w:rPr>
          <w:i/>
          <w:sz w:val="18"/>
        </w:rPr>
        <w:t>VI.15.</w:t>
      </w:r>
      <w:r>
        <w:rPr>
          <w:i/>
          <w:spacing w:val="14"/>
          <w:sz w:val="18"/>
        </w:rPr>
        <w:t> </w:t>
      </w:r>
      <w:r>
        <w:rPr>
          <w:i/>
          <w:sz w:val="18"/>
        </w:rPr>
        <w:t>Dale</w:t>
      </w:r>
      <w:r>
        <w:rPr>
          <w:i/>
          <w:spacing w:val="14"/>
          <w:sz w:val="18"/>
        </w:rPr>
        <w:t> </w:t>
      </w:r>
      <w:r>
        <w:rPr>
          <w:i/>
          <w:sz w:val="18"/>
        </w:rPr>
        <w:t>Fuerza</w:t>
      </w:r>
      <w:r>
        <w:rPr>
          <w:i/>
          <w:spacing w:val="14"/>
          <w:sz w:val="18"/>
        </w:rPr>
        <w:t> </w:t>
      </w:r>
      <w:r>
        <w:rPr>
          <w:i/>
          <w:sz w:val="18"/>
        </w:rPr>
        <w:t>a</w:t>
      </w:r>
      <w:r>
        <w:rPr>
          <w:i/>
          <w:spacing w:val="14"/>
          <w:sz w:val="18"/>
        </w:rPr>
        <w:t> </w:t>
      </w:r>
      <w:r>
        <w:rPr>
          <w:i/>
          <w:spacing w:val="-5"/>
          <w:sz w:val="18"/>
        </w:rPr>
        <w:t>Tu</w:t>
      </w:r>
      <w:r>
        <w:rPr>
          <w:i/>
          <w:spacing w:val="14"/>
          <w:sz w:val="18"/>
        </w:rPr>
        <w:t> </w:t>
      </w:r>
      <w:r>
        <w:rPr>
          <w:i/>
          <w:sz w:val="18"/>
        </w:rPr>
        <w:t>Corazón,</w:t>
      </w:r>
      <w:r>
        <w:rPr>
          <w:i/>
          <w:spacing w:val="11"/>
          <w:sz w:val="18"/>
        </w:rPr>
        <w:t> </w:t>
      </w:r>
      <w:r>
        <w:rPr>
          <w:i/>
          <w:sz w:val="18"/>
        </w:rPr>
        <w:t>A.</w:t>
      </w:r>
      <w:r>
        <w:rPr>
          <w:i/>
          <w:spacing w:val="14"/>
          <w:sz w:val="18"/>
        </w:rPr>
        <w:t> </w:t>
      </w:r>
      <w:r>
        <w:rPr>
          <w:i/>
          <w:sz w:val="18"/>
        </w:rPr>
        <w:t>C.;</w:t>
      </w:r>
      <w:r>
        <w:rPr>
          <w:i/>
          <w:spacing w:val="14"/>
          <w:sz w:val="18"/>
        </w:rPr>
        <w:t> </w:t>
      </w:r>
      <w:r>
        <w:rPr>
          <w:i/>
          <w:sz w:val="18"/>
        </w:rPr>
        <w:t>y</w:t>
      </w:r>
      <w:r>
        <w:rPr>
          <w:i/>
          <w:spacing w:val="14"/>
          <w:sz w:val="18"/>
        </w:rPr>
        <w:t> </w:t>
      </w:r>
      <w:r>
        <w:rPr>
          <w:i/>
          <w:sz w:val="18"/>
        </w:rPr>
        <w:t>VI.16.</w:t>
      </w:r>
      <w:r>
        <w:rPr>
          <w:i/>
          <w:spacing w:val="14"/>
          <w:sz w:val="18"/>
        </w:rPr>
        <w:t> </w:t>
      </w:r>
      <w:r>
        <w:rPr>
          <w:i/>
          <w:sz w:val="18"/>
        </w:rPr>
        <w:t>Tepehuacán</w:t>
      </w:r>
      <w:r>
        <w:rPr>
          <w:i/>
          <w:spacing w:val="14"/>
          <w:sz w:val="18"/>
        </w:rPr>
        <w:t> </w:t>
      </w:r>
      <w:r>
        <w:rPr>
          <w:i/>
          <w:sz w:val="18"/>
        </w:rPr>
        <w:t>Corazón</w:t>
      </w:r>
      <w:r>
        <w:rPr>
          <w:i/>
          <w:spacing w:val="14"/>
          <w:sz w:val="18"/>
        </w:rPr>
        <w:t> </w:t>
      </w:r>
      <w:r>
        <w:rPr>
          <w:i/>
          <w:sz w:val="18"/>
        </w:rPr>
        <w:t>y</w:t>
      </w:r>
      <w:r>
        <w:rPr>
          <w:i/>
          <w:spacing w:val="14"/>
          <w:sz w:val="18"/>
        </w:rPr>
        <w:t> </w:t>
      </w:r>
      <w:r>
        <w:rPr>
          <w:i/>
          <w:sz w:val="18"/>
        </w:rPr>
        <w:t>Esperanza,</w:t>
      </w:r>
      <w:r>
        <w:rPr>
          <w:i/>
          <w:spacing w:val="10"/>
          <w:sz w:val="18"/>
        </w:rPr>
        <w:t> </w:t>
      </w:r>
      <w:r>
        <w:rPr>
          <w:i/>
          <w:sz w:val="18"/>
        </w:rPr>
        <w:t>A.</w:t>
      </w:r>
    </w:p>
    <w:p>
      <w:pPr>
        <w:spacing w:line="192" w:lineRule="exact" w:before="0"/>
        <w:ind w:left="393" w:right="115" w:firstLine="0"/>
        <w:jc w:val="both"/>
        <w:rPr>
          <w:sz w:val="18"/>
        </w:rPr>
      </w:pPr>
      <w:r>
        <w:rPr>
          <w:i/>
          <w:sz w:val="18"/>
        </w:rPr>
        <w:t>C. </w:t>
      </w:r>
      <w:r>
        <w:rPr>
          <w:sz w:val="18"/>
        </w:rPr>
        <w:t>Gobierno del Estado de Hidalgo, DIF Hidalgo</w:t>
      </w:r>
      <w:r>
        <w:rPr>
          <w:i/>
          <w:sz w:val="18"/>
        </w:rPr>
        <w:t>; directorio de organizaciones de asistencia </w:t>
      </w:r>
      <w:r>
        <w:rPr>
          <w:i/>
          <w:sz w:val="18"/>
        </w:rPr>
        <w:t>privada, </w:t>
      </w:r>
      <w:r>
        <w:rPr>
          <w:sz w:val="18"/>
        </w:rPr>
        <w:t>CD, pp. 3-4.</w:t>
      </w:r>
    </w:p>
    <w:p>
      <w:pPr>
        <w:spacing w:after="0" w:line="192" w:lineRule="exact"/>
        <w:jc w:val="both"/>
        <w:rPr>
          <w:sz w:val="18"/>
        </w:rPr>
        <w:sectPr>
          <w:pgSz w:w="9360" w:h="13040"/>
          <w:pgMar w:header="531" w:footer="512" w:top="720" w:bottom="700" w:left="740" w:right="1300"/>
        </w:sectPr>
      </w:pPr>
    </w:p>
    <w:p>
      <w:pPr>
        <w:pStyle w:val="BodyText"/>
        <w:spacing w:before="7"/>
        <w:rPr>
          <w:sz w:val="29"/>
        </w:rPr>
      </w:pPr>
    </w:p>
    <w:p>
      <w:pPr>
        <w:pStyle w:val="Heading3"/>
        <w:spacing w:before="71"/>
      </w:pPr>
      <w:r>
        <w:rPr/>
        <w:t>La Promotora de Vivienda del Estado de Hidalgo (PROVIH).</w:t>
      </w:r>
    </w:p>
    <w:p>
      <w:pPr>
        <w:pStyle w:val="BodyText"/>
        <w:spacing w:before="6"/>
        <w:rPr>
          <w:b/>
          <w:sz w:val="22"/>
        </w:rPr>
      </w:pPr>
    </w:p>
    <w:p>
      <w:pPr>
        <w:pStyle w:val="BodyText"/>
        <w:spacing w:line="235" w:lineRule="auto" w:before="1"/>
        <w:ind w:left="117" w:right="107"/>
        <w:jc w:val="both"/>
      </w:pPr>
      <w:r>
        <w:rPr/>
        <w:t>Como organismo desconcentrado de la Secretaría de Obras Públicas y Orde- namiento</w:t>
      </w:r>
      <w:r>
        <w:rPr>
          <w:spacing w:val="-9"/>
        </w:rPr>
        <w:t> </w:t>
      </w:r>
      <w:r>
        <w:rPr/>
        <w:t>Territorial</w:t>
      </w:r>
      <w:r>
        <w:rPr>
          <w:spacing w:val="-6"/>
        </w:rPr>
        <w:t> </w:t>
      </w:r>
      <w:r>
        <w:rPr/>
        <w:t>del</w:t>
      </w:r>
      <w:r>
        <w:rPr>
          <w:spacing w:val="-5"/>
        </w:rPr>
        <w:t> </w:t>
      </w:r>
      <w:r>
        <w:rPr/>
        <w:t>Estado,</w:t>
      </w:r>
      <w:r>
        <w:rPr>
          <w:spacing w:val="-6"/>
        </w:rPr>
        <w:t> </w:t>
      </w:r>
      <w:r>
        <w:rPr/>
        <w:t>la</w:t>
      </w:r>
      <w:r>
        <w:rPr>
          <w:spacing w:val="-5"/>
        </w:rPr>
        <w:t> </w:t>
      </w:r>
      <w:r>
        <w:rPr/>
        <w:t>PROVIH</w:t>
      </w:r>
      <w:r>
        <w:rPr>
          <w:spacing w:val="-5"/>
        </w:rPr>
        <w:t> </w:t>
      </w:r>
      <w:r>
        <w:rPr/>
        <w:t>ejecuta</w:t>
      </w:r>
      <w:r>
        <w:rPr>
          <w:spacing w:val="-6"/>
        </w:rPr>
        <w:t> </w:t>
      </w:r>
      <w:r>
        <w:rPr/>
        <w:t>los</w:t>
      </w:r>
      <w:r>
        <w:rPr>
          <w:spacing w:val="-6"/>
        </w:rPr>
        <w:t> </w:t>
      </w:r>
      <w:r>
        <w:rPr/>
        <w:t>siguientes</w:t>
      </w:r>
      <w:r>
        <w:rPr>
          <w:spacing w:val="-5"/>
        </w:rPr>
        <w:t> </w:t>
      </w:r>
      <w:r>
        <w:rPr/>
        <w:t>programas patrimoniales</w:t>
      </w:r>
      <w:r>
        <w:rPr>
          <w:spacing w:val="-17"/>
        </w:rPr>
        <w:t> </w:t>
      </w:r>
      <w:r>
        <w:rPr/>
        <w:t>que</w:t>
      </w:r>
      <w:r>
        <w:rPr>
          <w:spacing w:val="-17"/>
        </w:rPr>
        <w:t> </w:t>
      </w:r>
      <w:r>
        <w:rPr/>
        <w:t>descentralizan</w:t>
      </w:r>
      <w:r>
        <w:rPr>
          <w:spacing w:val="-17"/>
        </w:rPr>
        <w:t> </w:t>
      </w:r>
      <w:r>
        <w:rPr/>
        <w:t>los</w:t>
      </w:r>
      <w:r>
        <w:rPr>
          <w:spacing w:val="-17"/>
        </w:rPr>
        <w:t> </w:t>
      </w:r>
      <w:r>
        <w:rPr/>
        <w:t>organismos</w:t>
      </w:r>
      <w:r>
        <w:rPr>
          <w:spacing w:val="-17"/>
        </w:rPr>
        <w:t> </w:t>
      </w:r>
      <w:r>
        <w:rPr/>
        <w:t>federales</w:t>
      </w:r>
      <w:r>
        <w:rPr>
          <w:spacing w:val="-17"/>
        </w:rPr>
        <w:t> </w:t>
      </w:r>
      <w:r>
        <w:rPr/>
        <w:t>indicados:</w:t>
      </w:r>
      <w:r>
        <w:rPr>
          <w:spacing w:val="-18"/>
        </w:rPr>
        <w:t> </w:t>
      </w:r>
      <w:r>
        <w:rPr>
          <w:i/>
          <w:spacing w:val="-3"/>
        </w:rPr>
        <w:t>Vivienda </w:t>
      </w:r>
      <w:r>
        <w:rPr>
          <w:i/>
        </w:rPr>
        <w:t>Rural </w:t>
      </w:r>
      <w:r>
        <w:rPr/>
        <w:t>y </w:t>
      </w:r>
      <w:r>
        <w:rPr>
          <w:i/>
          <w:spacing w:val="-7"/>
        </w:rPr>
        <w:t>Tu </w:t>
      </w:r>
      <w:r>
        <w:rPr>
          <w:i/>
        </w:rPr>
        <w:t>Casa </w:t>
      </w:r>
      <w:r>
        <w:rPr/>
        <w:t>del Fideicomiso Fondo Nacional de Habitaciones Populares (FONHAPO), y </w:t>
      </w:r>
      <w:r>
        <w:rPr>
          <w:i/>
        </w:rPr>
        <w:t>Esta es tu Casa </w:t>
      </w:r>
      <w:r>
        <w:rPr/>
        <w:t>de la Comisión Nacional de Vivienda </w:t>
      </w:r>
      <w:r>
        <w:rPr>
          <w:spacing w:val="-4"/>
        </w:rPr>
        <w:t>(CONAVI). </w:t>
      </w:r>
      <w:r>
        <w:rPr/>
        <w:t>Como esquemas de diseño propio, la PROVIH ha centrado sus esfuerzos en la ejecución de un programa asistencial, aunque cuenta también con</w:t>
      </w:r>
      <w:r>
        <w:rPr>
          <w:spacing w:val="-11"/>
        </w:rPr>
        <w:t> </w:t>
      </w:r>
      <w:r>
        <w:rPr/>
        <w:t>otro</w:t>
      </w:r>
      <w:r>
        <w:rPr>
          <w:spacing w:val="-11"/>
        </w:rPr>
        <w:t> </w:t>
      </w:r>
      <w:r>
        <w:rPr/>
        <w:t>de</w:t>
      </w:r>
      <w:r>
        <w:rPr>
          <w:spacing w:val="-11"/>
        </w:rPr>
        <w:t> </w:t>
      </w:r>
      <w:r>
        <w:rPr/>
        <w:t>orientación</w:t>
      </w:r>
      <w:r>
        <w:rPr>
          <w:spacing w:val="-11"/>
        </w:rPr>
        <w:t> </w:t>
      </w:r>
      <w:r>
        <w:rPr/>
        <w:t>patrimonial</w:t>
      </w:r>
      <w:r>
        <w:rPr>
          <w:spacing w:val="-11"/>
        </w:rPr>
        <w:t> </w:t>
      </w:r>
      <w:r>
        <w:rPr/>
        <w:t>a</w:t>
      </w:r>
      <w:r>
        <w:rPr>
          <w:spacing w:val="-11"/>
        </w:rPr>
        <w:t> </w:t>
      </w:r>
      <w:r>
        <w:rPr/>
        <w:t>través</w:t>
      </w:r>
      <w:r>
        <w:rPr>
          <w:spacing w:val="-12"/>
        </w:rPr>
        <w:t> </w:t>
      </w:r>
      <w:r>
        <w:rPr/>
        <w:t>del</w:t>
      </w:r>
      <w:r>
        <w:rPr>
          <w:spacing w:val="-11"/>
        </w:rPr>
        <w:t> </w:t>
      </w:r>
      <w:r>
        <w:rPr/>
        <w:t>fomento</w:t>
      </w:r>
      <w:r>
        <w:rPr>
          <w:spacing w:val="-11"/>
        </w:rPr>
        <w:t> </w:t>
      </w:r>
      <w:r>
        <w:rPr/>
        <w:t>crediticio.</w:t>
      </w:r>
      <w:r>
        <w:rPr>
          <w:spacing w:val="-12"/>
        </w:rPr>
        <w:t> </w:t>
      </w:r>
      <w:r>
        <w:rPr/>
        <w:t>El</w:t>
      </w:r>
      <w:r>
        <w:rPr>
          <w:spacing w:val="-11"/>
        </w:rPr>
        <w:t> </w:t>
      </w:r>
      <w:r>
        <w:rPr/>
        <w:t>primero de</w:t>
      </w:r>
      <w:r>
        <w:rPr>
          <w:spacing w:val="-17"/>
        </w:rPr>
        <w:t> </w:t>
      </w:r>
      <w:r>
        <w:rPr/>
        <w:t>ellos,</w:t>
      </w:r>
      <w:r>
        <w:rPr>
          <w:spacing w:val="-17"/>
        </w:rPr>
        <w:t> </w:t>
      </w:r>
      <w:r>
        <w:rPr/>
        <w:t>denominado</w:t>
      </w:r>
      <w:r>
        <w:rPr>
          <w:spacing w:val="-17"/>
        </w:rPr>
        <w:t> </w:t>
      </w:r>
      <w:r>
        <w:rPr>
          <w:i/>
        </w:rPr>
        <w:t>Programa</w:t>
      </w:r>
      <w:r>
        <w:rPr>
          <w:i/>
          <w:spacing w:val="-17"/>
        </w:rPr>
        <w:t> </w:t>
      </w:r>
      <w:r>
        <w:rPr>
          <w:i/>
          <w:spacing w:val="-3"/>
        </w:rPr>
        <w:t>Vivienda</w:t>
      </w:r>
      <w:r>
        <w:rPr>
          <w:i/>
          <w:spacing w:val="-17"/>
        </w:rPr>
        <w:t> </w:t>
      </w:r>
      <w:r>
        <w:rPr>
          <w:i/>
        </w:rPr>
        <w:t>Rural</w:t>
      </w:r>
      <w:r>
        <w:rPr/>
        <w:t>,</w:t>
      </w:r>
      <w:r>
        <w:rPr>
          <w:spacing w:val="-17"/>
        </w:rPr>
        <w:t> </w:t>
      </w:r>
      <w:r>
        <w:rPr/>
        <w:t>contó</w:t>
      </w:r>
      <w:r>
        <w:rPr>
          <w:spacing w:val="-17"/>
        </w:rPr>
        <w:t> </w:t>
      </w:r>
      <w:r>
        <w:rPr/>
        <w:t>con</w:t>
      </w:r>
      <w:r>
        <w:rPr>
          <w:spacing w:val="-17"/>
        </w:rPr>
        <w:t> </w:t>
      </w:r>
      <w:r>
        <w:rPr/>
        <w:t>un</w:t>
      </w:r>
      <w:r>
        <w:rPr>
          <w:spacing w:val="-17"/>
        </w:rPr>
        <w:t> </w:t>
      </w:r>
      <w:r>
        <w:rPr/>
        <w:t>techo</w:t>
      </w:r>
      <w:r>
        <w:rPr>
          <w:spacing w:val="-17"/>
        </w:rPr>
        <w:t> </w:t>
      </w:r>
      <w:r>
        <w:rPr/>
        <w:t>financiero en</w:t>
      </w:r>
      <w:r>
        <w:rPr>
          <w:spacing w:val="-13"/>
        </w:rPr>
        <w:t> </w:t>
      </w:r>
      <w:r>
        <w:rPr/>
        <w:t>el</w:t>
      </w:r>
      <w:r>
        <w:rPr>
          <w:spacing w:val="-13"/>
        </w:rPr>
        <w:t> </w:t>
      </w:r>
      <w:r>
        <w:rPr/>
        <w:t>año</w:t>
      </w:r>
      <w:r>
        <w:rPr>
          <w:spacing w:val="-13"/>
        </w:rPr>
        <w:t> </w:t>
      </w:r>
      <w:r>
        <w:rPr/>
        <w:t>2009</w:t>
      </w:r>
      <w:r>
        <w:rPr>
          <w:spacing w:val="-13"/>
        </w:rPr>
        <w:t> </w:t>
      </w:r>
      <w:r>
        <w:rPr/>
        <w:t>de</w:t>
      </w:r>
      <w:r>
        <w:rPr>
          <w:spacing w:val="-12"/>
        </w:rPr>
        <w:t> </w:t>
      </w:r>
      <w:r>
        <w:rPr/>
        <w:t>siete</w:t>
      </w:r>
      <w:r>
        <w:rPr>
          <w:spacing w:val="-12"/>
        </w:rPr>
        <w:t> </w:t>
      </w:r>
      <w:r>
        <w:rPr/>
        <w:t>millones</w:t>
      </w:r>
      <w:r>
        <w:rPr>
          <w:spacing w:val="-13"/>
        </w:rPr>
        <w:t> </w:t>
      </w:r>
      <w:r>
        <w:rPr/>
        <w:t>de</w:t>
      </w:r>
      <w:r>
        <w:rPr>
          <w:spacing w:val="-12"/>
        </w:rPr>
        <w:t> </w:t>
      </w:r>
      <w:r>
        <w:rPr/>
        <w:t>pesos,</w:t>
      </w:r>
      <w:r>
        <w:rPr>
          <w:spacing w:val="-13"/>
        </w:rPr>
        <w:t> </w:t>
      </w:r>
      <w:r>
        <w:rPr/>
        <w:t>mismo</w:t>
      </w:r>
      <w:r>
        <w:rPr>
          <w:spacing w:val="-13"/>
        </w:rPr>
        <w:t> </w:t>
      </w:r>
      <w:r>
        <w:rPr/>
        <w:t>que</w:t>
      </w:r>
      <w:r>
        <w:rPr>
          <w:spacing w:val="-12"/>
        </w:rPr>
        <w:t> </w:t>
      </w:r>
      <w:r>
        <w:rPr/>
        <w:t>se</w:t>
      </w:r>
      <w:r>
        <w:rPr>
          <w:spacing w:val="-12"/>
        </w:rPr>
        <w:t> </w:t>
      </w:r>
      <w:r>
        <w:rPr/>
        <w:t>instrumentó</w:t>
      </w:r>
      <w:r>
        <w:rPr>
          <w:spacing w:val="-13"/>
        </w:rPr>
        <w:t> </w:t>
      </w:r>
      <w:r>
        <w:rPr/>
        <w:t>mediante la</w:t>
      </w:r>
      <w:r>
        <w:rPr>
          <w:spacing w:val="-11"/>
        </w:rPr>
        <w:t> </w:t>
      </w:r>
      <w:r>
        <w:rPr/>
        <w:t>distribución</w:t>
      </w:r>
      <w:r>
        <w:rPr>
          <w:spacing w:val="-11"/>
        </w:rPr>
        <w:t> </w:t>
      </w:r>
      <w:r>
        <w:rPr/>
        <w:t>de</w:t>
      </w:r>
      <w:r>
        <w:rPr>
          <w:spacing w:val="-11"/>
        </w:rPr>
        <w:t> </w:t>
      </w:r>
      <w:r>
        <w:rPr/>
        <w:t>paquetes</w:t>
      </w:r>
      <w:r>
        <w:rPr>
          <w:spacing w:val="-11"/>
        </w:rPr>
        <w:t> </w:t>
      </w:r>
      <w:r>
        <w:rPr/>
        <w:t>de</w:t>
      </w:r>
      <w:r>
        <w:rPr>
          <w:spacing w:val="-11"/>
        </w:rPr>
        <w:t> </w:t>
      </w:r>
      <w:r>
        <w:rPr/>
        <w:t>materiales</w:t>
      </w:r>
      <w:r>
        <w:rPr>
          <w:spacing w:val="-12"/>
        </w:rPr>
        <w:t> </w:t>
      </w:r>
      <w:r>
        <w:rPr/>
        <w:t>de</w:t>
      </w:r>
      <w:r>
        <w:rPr>
          <w:spacing w:val="-11"/>
        </w:rPr>
        <w:t> </w:t>
      </w:r>
      <w:r>
        <w:rPr/>
        <w:t>construcción</w:t>
      </w:r>
      <w:r>
        <w:rPr>
          <w:spacing w:val="-12"/>
        </w:rPr>
        <w:t> </w:t>
      </w:r>
      <w:r>
        <w:rPr/>
        <w:t>cuyas</w:t>
      </w:r>
      <w:r>
        <w:rPr>
          <w:spacing w:val="-11"/>
        </w:rPr>
        <w:t> </w:t>
      </w:r>
      <w:r>
        <w:rPr/>
        <w:t>aplicaciones</w:t>
      </w:r>
      <w:r>
        <w:rPr>
          <w:spacing w:val="-12"/>
        </w:rPr>
        <w:t> </w:t>
      </w:r>
      <w:r>
        <w:rPr/>
        <w:t>y montos</w:t>
      </w:r>
      <w:r>
        <w:rPr>
          <w:spacing w:val="-5"/>
        </w:rPr>
        <w:t> </w:t>
      </w:r>
      <w:r>
        <w:rPr/>
        <w:t>fueron:</w:t>
      </w:r>
      <w:r>
        <w:rPr>
          <w:spacing w:val="-5"/>
        </w:rPr>
        <w:t> </w:t>
      </w:r>
      <w:r>
        <w:rPr/>
        <w:t>a)</w:t>
      </w:r>
      <w:r>
        <w:rPr>
          <w:spacing w:val="-5"/>
        </w:rPr>
        <w:t> </w:t>
      </w:r>
      <w:r>
        <w:rPr/>
        <w:t>vivienda,</w:t>
      </w:r>
      <w:r>
        <w:rPr>
          <w:spacing w:val="-5"/>
        </w:rPr>
        <w:t> </w:t>
      </w:r>
      <w:r>
        <w:rPr/>
        <w:t>veinticinco</w:t>
      </w:r>
      <w:r>
        <w:rPr>
          <w:spacing w:val="-5"/>
        </w:rPr>
        <w:t> </w:t>
      </w:r>
      <w:r>
        <w:rPr/>
        <w:t>mil</w:t>
      </w:r>
      <w:r>
        <w:rPr>
          <w:spacing w:val="-5"/>
        </w:rPr>
        <w:t> </w:t>
      </w:r>
      <w:r>
        <w:rPr/>
        <w:t>pesos;</w:t>
      </w:r>
      <w:r>
        <w:rPr>
          <w:spacing w:val="-5"/>
        </w:rPr>
        <w:t> </w:t>
      </w:r>
      <w:r>
        <w:rPr/>
        <w:t>b)</w:t>
      </w:r>
      <w:r>
        <w:rPr>
          <w:spacing w:val="-5"/>
        </w:rPr>
        <w:t> </w:t>
      </w:r>
      <w:r>
        <w:rPr/>
        <w:t>ampliación</w:t>
      </w:r>
      <w:r>
        <w:rPr>
          <w:spacing w:val="-5"/>
        </w:rPr>
        <w:t> </w:t>
      </w:r>
      <w:r>
        <w:rPr/>
        <w:t>de</w:t>
      </w:r>
      <w:r>
        <w:rPr>
          <w:spacing w:val="-5"/>
        </w:rPr>
        <w:t> </w:t>
      </w:r>
      <w:r>
        <w:rPr/>
        <w:t>vivienda, diez y siete mil novecientos setenta y cuatro pesos; y c) techumbre, seis mil quinientos</w:t>
      </w:r>
      <w:r>
        <w:rPr>
          <w:spacing w:val="-9"/>
        </w:rPr>
        <w:t> </w:t>
      </w:r>
      <w:r>
        <w:rPr/>
        <w:t>pesos</w:t>
      </w:r>
      <w:r>
        <w:rPr>
          <w:position w:val="8"/>
          <w:sz w:val="13"/>
        </w:rPr>
        <w:t>214</w:t>
      </w:r>
      <w:r>
        <w:rPr/>
        <w:t>.</w:t>
      </w:r>
      <w:r>
        <w:rPr>
          <w:spacing w:val="-21"/>
        </w:rPr>
        <w:t> </w:t>
      </w:r>
      <w:r>
        <w:rPr/>
        <w:t>A</w:t>
      </w:r>
      <w:r>
        <w:rPr>
          <w:spacing w:val="-21"/>
        </w:rPr>
        <w:t> </w:t>
      </w:r>
      <w:r>
        <w:rPr/>
        <w:t>su</w:t>
      </w:r>
      <w:r>
        <w:rPr>
          <w:spacing w:val="-9"/>
        </w:rPr>
        <w:t> </w:t>
      </w:r>
      <w:r>
        <w:rPr/>
        <w:t>vez,</w:t>
      </w:r>
      <w:r>
        <w:rPr>
          <w:spacing w:val="-9"/>
        </w:rPr>
        <w:t> </w:t>
      </w:r>
      <w:r>
        <w:rPr/>
        <w:t>el</w:t>
      </w:r>
      <w:r>
        <w:rPr>
          <w:spacing w:val="-9"/>
        </w:rPr>
        <w:t> </w:t>
      </w:r>
      <w:r>
        <w:rPr>
          <w:i/>
        </w:rPr>
        <w:t>Programa</w:t>
      </w:r>
      <w:r>
        <w:rPr>
          <w:i/>
          <w:spacing w:val="-9"/>
        </w:rPr>
        <w:t> </w:t>
      </w:r>
      <w:r>
        <w:rPr>
          <w:i/>
          <w:spacing w:val="-3"/>
        </w:rPr>
        <w:t>Vivienda</w:t>
      </w:r>
      <w:r>
        <w:rPr>
          <w:i/>
          <w:spacing w:val="-9"/>
        </w:rPr>
        <w:t> </w:t>
      </w:r>
      <w:r>
        <w:rPr>
          <w:i/>
        </w:rPr>
        <w:t>Crédito</w:t>
      </w:r>
      <w:r>
        <w:rPr>
          <w:i/>
          <w:spacing w:val="-9"/>
        </w:rPr>
        <w:t> </w:t>
      </w:r>
      <w:r>
        <w:rPr/>
        <w:t>consistió</w:t>
      </w:r>
      <w:r>
        <w:rPr>
          <w:spacing w:val="-9"/>
        </w:rPr>
        <w:t> </w:t>
      </w:r>
      <w:r>
        <w:rPr/>
        <w:t>en</w:t>
      </w:r>
      <w:r>
        <w:rPr>
          <w:spacing w:val="-9"/>
        </w:rPr>
        <w:t> </w:t>
      </w:r>
      <w:r>
        <w:rPr/>
        <w:t>otor- gar facilidades para la adquisición de una casa a crédito en los planes de las sociedades financieras de objeto limitado</w:t>
      </w:r>
      <w:r>
        <w:rPr>
          <w:spacing w:val="-12"/>
        </w:rPr>
        <w:t> </w:t>
      </w:r>
      <w:r>
        <w:rPr/>
        <w:t>(SOFOLES).</w:t>
      </w:r>
    </w:p>
    <w:p>
      <w:pPr>
        <w:pStyle w:val="BodyText"/>
        <w:spacing w:before="7"/>
        <w:rPr>
          <w:sz w:val="22"/>
        </w:rPr>
      </w:pPr>
    </w:p>
    <w:p>
      <w:pPr>
        <w:pStyle w:val="BodyText"/>
        <w:spacing w:line="235" w:lineRule="auto" w:before="1"/>
        <w:ind w:left="117" w:right="107"/>
        <w:jc w:val="both"/>
      </w:pPr>
      <w:r>
        <w:rPr/>
        <w:t>Como esquema patrimonial propio de PROVIH cuya ejecución tuvo lugar  en el pasado reciente, </w:t>
      </w:r>
      <w:r>
        <w:rPr>
          <w:i/>
        </w:rPr>
        <w:t>el Programa de Ahorro, Subsidio y Crédito para la </w:t>
      </w:r>
      <w:r>
        <w:rPr>
          <w:i/>
          <w:spacing w:val="-3"/>
        </w:rPr>
        <w:t>Vivienda  </w:t>
      </w:r>
      <w:r>
        <w:rPr>
          <w:i/>
        </w:rPr>
        <w:t>tu Casa 2007 </w:t>
      </w:r>
      <w:r>
        <w:rPr/>
        <w:t>logró integrar el recurso federal del programa </w:t>
      </w:r>
      <w:r>
        <w:rPr>
          <w:i/>
        </w:rPr>
        <w:t>tu  </w:t>
      </w:r>
      <w:r>
        <w:rPr>
          <w:i/>
        </w:rPr>
        <w:t>casa </w:t>
      </w:r>
      <w:r>
        <w:rPr/>
        <w:t>con las acciones de la inmobiliaria ARA, fundación </w:t>
      </w:r>
      <w:r>
        <w:rPr>
          <w:spacing w:val="-3"/>
        </w:rPr>
        <w:t>Televisa </w:t>
      </w:r>
      <w:r>
        <w:rPr/>
        <w:t>y la fi- duciaria </w:t>
      </w:r>
      <w:r>
        <w:rPr>
          <w:spacing w:val="-5"/>
        </w:rPr>
        <w:t>PROVIVAH; </w:t>
      </w:r>
      <w:r>
        <w:rPr/>
        <w:t>además de utilizar reserva de suelo de la misma PROVIH. Los beneficiarios realizaron previamente acciones de ahorro para cubrir el enganche de la vivienda, así como la adquisición a crédito de un lote urbanizado. Las acciones se ubicaron en los municipios de: Tezontepec de Aldama (50 acciones con una inversión de tres millones quinientos mil pesos),</w:t>
      </w:r>
      <w:r>
        <w:rPr>
          <w:spacing w:val="-17"/>
        </w:rPr>
        <w:t> </w:t>
      </w:r>
      <w:r>
        <w:rPr/>
        <w:t>Tepeapulco</w:t>
      </w:r>
      <w:r>
        <w:rPr>
          <w:spacing w:val="-13"/>
        </w:rPr>
        <w:t> </w:t>
      </w:r>
      <w:r>
        <w:rPr/>
        <w:t>(32</w:t>
      </w:r>
      <w:r>
        <w:rPr>
          <w:spacing w:val="-13"/>
        </w:rPr>
        <w:t> </w:t>
      </w:r>
      <w:r>
        <w:rPr/>
        <w:t>acciones</w:t>
      </w:r>
      <w:r>
        <w:rPr>
          <w:spacing w:val="-13"/>
        </w:rPr>
        <w:t> </w:t>
      </w:r>
      <w:r>
        <w:rPr/>
        <w:t>con</w:t>
      </w:r>
      <w:r>
        <w:rPr>
          <w:spacing w:val="-13"/>
        </w:rPr>
        <w:t> </w:t>
      </w:r>
      <w:r>
        <w:rPr/>
        <w:t>una</w:t>
      </w:r>
      <w:r>
        <w:rPr>
          <w:spacing w:val="-13"/>
        </w:rPr>
        <w:t> </w:t>
      </w:r>
      <w:r>
        <w:rPr/>
        <w:t>inversión</w:t>
      </w:r>
      <w:r>
        <w:rPr>
          <w:spacing w:val="-14"/>
        </w:rPr>
        <w:t> </w:t>
      </w:r>
      <w:r>
        <w:rPr/>
        <w:t>de</w:t>
      </w:r>
      <w:r>
        <w:rPr>
          <w:spacing w:val="-13"/>
        </w:rPr>
        <w:t> </w:t>
      </w:r>
      <w:r>
        <w:rPr/>
        <w:t>dos</w:t>
      </w:r>
      <w:r>
        <w:rPr>
          <w:spacing w:val="-13"/>
        </w:rPr>
        <w:t> </w:t>
      </w:r>
      <w:r>
        <w:rPr/>
        <w:t>millones</w:t>
      </w:r>
      <w:r>
        <w:rPr>
          <w:spacing w:val="-13"/>
        </w:rPr>
        <w:t> </w:t>
      </w:r>
      <w:r>
        <w:rPr/>
        <w:t>doscientos cuarenta mil pesos), Mixquiahuala (50 acciones con una inversión de dos millones ochocientos cuarenta y ocho mil setecientos ochenta y dos pesos)   y Mineral de la Reforma (168 acciones con una inversión de siete millones ciento ochenta y dos mil</w:t>
      </w:r>
      <w:r>
        <w:rPr>
          <w:spacing w:val="2"/>
        </w:rPr>
        <w:t> </w:t>
      </w:r>
      <w:r>
        <w:rPr/>
        <w:t>pesos)</w:t>
      </w:r>
      <w:r>
        <w:rPr>
          <w:position w:val="8"/>
          <w:sz w:val="13"/>
        </w:rPr>
        <w:t>215</w:t>
      </w:r>
      <w:r>
        <w:rPr/>
        <w:t>.</w:t>
      </w:r>
    </w:p>
    <w:p>
      <w:pPr>
        <w:pStyle w:val="BodyText"/>
        <w:rPr>
          <w:sz w:val="20"/>
        </w:rPr>
      </w:pPr>
    </w:p>
    <w:p>
      <w:pPr>
        <w:pStyle w:val="BodyText"/>
        <w:rPr>
          <w:sz w:val="20"/>
        </w:rPr>
      </w:pPr>
    </w:p>
    <w:p>
      <w:pPr>
        <w:pStyle w:val="BodyText"/>
        <w:spacing w:before="6"/>
        <w:rPr>
          <w:sz w:val="22"/>
        </w:rPr>
      </w:pPr>
      <w:r>
        <w:rPr/>
        <w:pict>
          <v:line style="position:absolute;mso-position-horizontal-relative:page;mso-position-vertical-relative:paragraph;z-index:3304;mso-wrap-distance-left:0;mso-wrap-distance-right:0" from="70.866096pt,15.41205pt" to="142.866096pt,15.41205pt" stroked="true" strokeweight="1pt" strokecolor="#000000">
            <w10:wrap type="topAndBottom"/>
          </v:line>
        </w:pict>
      </w:r>
    </w:p>
    <w:p>
      <w:pPr>
        <w:spacing w:line="249" w:lineRule="auto" w:before="28"/>
        <w:ind w:left="400" w:right="101" w:hanging="284"/>
        <w:jc w:val="left"/>
        <w:rPr>
          <w:sz w:val="18"/>
        </w:rPr>
      </w:pPr>
      <w:r>
        <w:rPr>
          <w:position w:val="7"/>
          <w:sz w:val="11"/>
        </w:rPr>
        <w:t>214 </w:t>
      </w:r>
      <w:r>
        <w:rPr>
          <w:sz w:val="18"/>
        </w:rPr>
        <w:t>Información proporcionada para esta investigación por personal de la Promotora de Vivienda del Estado de Hidalgo (PROVIH), 19 de octubre del 2010.</w:t>
      </w:r>
    </w:p>
    <w:p>
      <w:pPr>
        <w:spacing w:line="249" w:lineRule="auto" w:before="20"/>
        <w:ind w:left="400" w:right="101" w:hanging="284"/>
        <w:jc w:val="left"/>
        <w:rPr>
          <w:sz w:val="18"/>
        </w:rPr>
      </w:pPr>
      <w:r>
        <w:rPr>
          <w:position w:val="7"/>
          <w:sz w:val="11"/>
        </w:rPr>
        <w:t>215 </w:t>
      </w:r>
      <w:r>
        <w:rPr>
          <w:sz w:val="18"/>
        </w:rPr>
        <w:t>Información proporcionada para esta investigación mediante oficio PROVIH/3293/2010 de fecha 17 de noviembre del 2010, firmado por el director general de PROVIH.</w:t>
      </w:r>
    </w:p>
    <w:p>
      <w:pPr>
        <w:spacing w:after="0" w:line="249" w:lineRule="auto"/>
        <w:jc w:val="left"/>
        <w:rPr>
          <w:sz w:val="18"/>
        </w:rPr>
        <w:sectPr>
          <w:footerReference w:type="default" r:id="rId208"/>
          <w:footerReference w:type="even" r:id="rId209"/>
          <w:pgSz w:w="9360" w:h="13040"/>
          <w:pgMar w:footer="515" w:header="531" w:top="940" w:bottom="700" w:left="1300" w:right="740"/>
          <w:pgNumType w:start="143"/>
        </w:sectPr>
      </w:pPr>
    </w:p>
    <w:p>
      <w:pPr>
        <w:pStyle w:val="BodyText"/>
        <w:rPr>
          <w:sz w:val="20"/>
        </w:rPr>
      </w:pPr>
    </w:p>
    <w:p>
      <w:pPr>
        <w:pStyle w:val="BodyText"/>
        <w:spacing w:before="9"/>
        <w:rPr>
          <w:sz w:val="28"/>
        </w:rPr>
      </w:pPr>
    </w:p>
    <w:p>
      <w:pPr>
        <w:pStyle w:val="Heading3"/>
        <w:spacing w:line="260" w:lineRule="exact" w:before="77"/>
        <w:ind w:left="110" w:right="115"/>
      </w:pPr>
      <w:r>
        <w:rPr/>
        <w:t>El</w:t>
      </w:r>
      <w:r>
        <w:rPr>
          <w:spacing w:val="-6"/>
        </w:rPr>
        <w:t> </w:t>
      </w:r>
      <w:r>
        <w:rPr/>
        <w:t>Programa</w:t>
      </w:r>
      <w:r>
        <w:rPr>
          <w:spacing w:val="-6"/>
        </w:rPr>
        <w:t> </w:t>
      </w:r>
      <w:r>
        <w:rPr/>
        <w:t>de</w:t>
      </w:r>
      <w:r>
        <w:rPr>
          <w:spacing w:val="-6"/>
        </w:rPr>
        <w:t> </w:t>
      </w:r>
      <w:r>
        <w:rPr/>
        <w:t>Regularización</w:t>
      </w:r>
      <w:r>
        <w:rPr>
          <w:spacing w:val="-6"/>
        </w:rPr>
        <w:t> </w:t>
      </w:r>
      <w:r>
        <w:rPr/>
        <w:t>de</w:t>
      </w:r>
      <w:r>
        <w:rPr>
          <w:spacing w:val="-6"/>
        </w:rPr>
        <w:t> </w:t>
      </w:r>
      <w:r>
        <w:rPr/>
        <w:t>la</w:t>
      </w:r>
      <w:r>
        <w:rPr>
          <w:spacing w:val="-10"/>
        </w:rPr>
        <w:t> </w:t>
      </w:r>
      <w:r>
        <w:rPr>
          <w:spacing w:val="-3"/>
        </w:rPr>
        <w:t>Tenencia</w:t>
      </w:r>
      <w:r>
        <w:rPr>
          <w:spacing w:val="-7"/>
        </w:rPr>
        <w:t> </w:t>
      </w:r>
      <w:r>
        <w:rPr/>
        <w:t>de</w:t>
      </w:r>
      <w:r>
        <w:rPr>
          <w:spacing w:val="-6"/>
        </w:rPr>
        <w:t> </w:t>
      </w:r>
      <w:r>
        <w:rPr/>
        <w:t>la</w:t>
      </w:r>
      <w:r>
        <w:rPr>
          <w:spacing w:val="-10"/>
        </w:rPr>
        <w:t> </w:t>
      </w:r>
      <w:r>
        <w:rPr/>
        <w:t>Tierra</w:t>
      </w:r>
      <w:r>
        <w:rPr>
          <w:spacing w:val="-6"/>
        </w:rPr>
        <w:t> </w:t>
      </w:r>
      <w:r>
        <w:rPr/>
        <w:t>del</w:t>
      </w:r>
      <w:r>
        <w:rPr>
          <w:spacing w:val="-6"/>
        </w:rPr>
        <w:t> </w:t>
      </w:r>
      <w:r>
        <w:rPr/>
        <w:t>Estado</w:t>
      </w:r>
      <w:r>
        <w:rPr>
          <w:spacing w:val="-6"/>
        </w:rPr>
        <w:t> </w:t>
      </w:r>
      <w:r>
        <w:rPr/>
        <w:t>de Hidalgo</w:t>
      </w:r>
      <w:r>
        <w:rPr>
          <w:spacing w:val="-10"/>
        </w:rPr>
        <w:t> </w:t>
      </w:r>
      <w:r>
        <w:rPr/>
        <w:t>(PRTTEH).</w:t>
      </w:r>
    </w:p>
    <w:p>
      <w:pPr>
        <w:pStyle w:val="BodyText"/>
        <w:spacing w:before="4"/>
        <w:rPr>
          <w:b/>
          <w:sz w:val="22"/>
        </w:rPr>
      </w:pPr>
    </w:p>
    <w:p>
      <w:pPr>
        <w:pStyle w:val="BodyText"/>
        <w:spacing w:line="235" w:lineRule="auto"/>
        <w:ind w:left="110" w:right="114"/>
        <w:jc w:val="both"/>
      </w:pPr>
      <w:r>
        <w:rPr/>
        <w:t>Este</w:t>
      </w:r>
      <w:r>
        <w:rPr>
          <w:spacing w:val="-20"/>
        </w:rPr>
        <w:t> </w:t>
      </w:r>
      <w:r>
        <w:rPr/>
        <w:t>programa</w:t>
      </w:r>
      <w:r>
        <w:rPr>
          <w:spacing w:val="-20"/>
        </w:rPr>
        <w:t> </w:t>
      </w:r>
      <w:r>
        <w:rPr/>
        <w:t>lo</w:t>
      </w:r>
      <w:r>
        <w:rPr>
          <w:spacing w:val="-20"/>
        </w:rPr>
        <w:t> </w:t>
      </w:r>
      <w:r>
        <w:rPr/>
        <w:t>implementa</w:t>
      </w:r>
      <w:r>
        <w:rPr>
          <w:spacing w:val="-21"/>
        </w:rPr>
        <w:t> </w:t>
      </w:r>
      <w:r>
        <w:rPr/>
        <w:t>una</w:t>
      </w:r>
      <w:r>
        <w:rPr>
          <w:spacing w:val="-20"/>
        </w:rPr>
        <w:t> </w:t>
      </w:r>
      <w:r>
        <w:rPr/>
        <w:t>dependencia</w:t>
      </w:r>
      <w:r>
        <w:rPr>
          <w:spacing w:val="-20"/>
        </w:rPr>
        <w:t> </w:t>
      </w:r>
      <w:r>
        <w:rPr/>
        <w:t>con</w:t>
      </w:r>
      <w:r>
        <w:rPr>
          <w:spacing w:val="-20"/>
        </w:rPr>
        <w:t> </w:t>
      </w:r>
      <w:r>
        <w:rPr/>
        <w:t>el</w:t>
      </w:r>
      <w:r>
        <w:rPr>
          <w:spacing w:val="-20"/>
        </w:rPr>
        <w:t> </w:t>
      </w:r>
      <w:r>
        <w:rPr/>
        <w:t>mismo</w:t>
      </w:r>
      <w:r>
        <w:rPr>
          <w:spacing w:val="-20"/>
        </w:rPr>
        <w:t> </w:t>
      </w:r>
      <w:r>
        <w:rPr/>
        <w:t>nombre</w:t>
      </w:r>
      <w:r>
        <w:rPr>
          <w:spacing w:val="-20"/>
        </w:rPr>
        <w:t> </w:t>
      </w:r>
      <w:r>
        <w:rPr/>
        <w:t>integrada a</w:t>
      </w:r>
      <w:r>
        <w:rPr>
          <w:spacing w:val="-7"/>
        </w:rPr>
        <w:t> </w:t>
      </w:r>
      <w:r>
        <w:rPr/>
        <w:t>la</w:t>
      </w:r>
      <w:r>
        <w:rPr>
          <w:spacing w:val="-7"/>
        </w:rPr>
        <w:t> </w:t>
      </w:r>
      <w:r>
        <w:rPr/>
        <w:t>Coordinación</w:t>
      </w:r>
      <w:r>
        <w:rPr>
          <w:spacing w:val="-7"/>
        </w:rPr>
        <w:t> </w:t>
      </w:r>
      <w:r>
        <w:rPr/>
        <w:t>Jurídica</w:t>
      </w:r>
      <w:r>
        <w:rPr>
          <w:spacing w:val="-7"/>
        </w:rPr>
        <w:t> </w:t>
      </w:r>
      <w:r>
        <w:rPr/>
        <w:t>de</w:t>
      </w:r>
      <w:r>
        <w:rPr>
          <w:spacing w:val="-7"/>
        </w:rPr>
        <w:t> </w:t>
      </w:r>
      <w:r>
        <w:rPr/>
        <w:t>la</w:t>
      </w:r>
      <w:r>
        <w:rPr>
          <w:spacing w:val="-7"/>
        </w:rPr>
        <w:t> </w:t>
      </w:r>
      <w:r>
        <w:rPr/>
        <w:t>Secretaría</w:t>
      </w:r>
      <w:r>
        <w:rPr>
          <w:spacing w:val="-7"/>
        </w:rPr>
        <w:t> </w:t>
      </w:r>
      <w:r>
        <w:rPr/>
        <w:t>General</w:t>
      </w:r>
      <w:r>
        <w:rPr>
          <w:spacing w:val="-7"/>
        </w:rPr>
        <w:t> </w:t>
      </w:r>
      <w:r>
        <w:rPr/>
        <w:t>de</w:t>
      </w:r>
      <w:r>
        <w:rPr>
          <w:spacing w:val="-7"/>
        </w:rPr>
        <w:t> </w:t>
      </w:r>
      <w:r>
        <w:rPr/>
        <w:t>Gobierno.</w:t>
      </w:r>
      <w:r>
        <w:rPr>
          <w:spacing w:val="-7"/>
        </w:rPr>
        <w:t> </w:t>
      </w:r>
      <w:r>
        <w:rPr/>
        <w:t>Como</w:t>
      </w:r>
      <w:r>
        <w:rPr>
          <w:spacing w:val="-7"/>
        </w:rPr>
        <w:t> </w:t>
      </w:r>
      <w:r>
        <w:rPr/>
        <w:t>único esquema de carácter patrimonial, la regularización de la tenencia de la tierra se ejecuta mediante dos procedimientos: a) el </w:t>
      </w:r>
      <w:r>
        <w:rPr>
          <w:i/>
        </w:rPr>
        <w:t>procedimiento administrativo </w:t>
      </w:r>
      <w:r>
        <w:rPr/>
        <w:t>se ocupa para inmatricular propiedad privada sin antecedentes registrales, en ocasiones</w:t>
      </w:r>
      <w:r>
        <w:rPr>
          <w:spacing w:val="-5"/>
        </w:rPr>
        <w:t> </w:t>
      </w:r>
      <w:r>
        <w:rPr/>
        <w:t>subdividida</w:t>
      </w:r>
      <w:r>
        <w:rPr>
          <w:spacing w:val="-4"/>
        </w:rPr>
        <w:t> </w:t>
      </w:r>
      <w:r>
        <w:rPr/>
        <w:t>de</w:t>
      </w:r>
      <w:r>
        <w:rPr>
          <w:spacing w:val="-5"/>
        </w:rPr>
        <w:t> </w:t>
      </w:r>
      <w:r>
        <w:rPr/>
        <w:t>hecho</w:t>
      </w:r>
      <w:r>
        <w:rPr>
          <w:position w:val="8"/>
          <w:sz w:val="13"/>
        </w:rPr>
        <w:t>216</w:t>
      </w:r>
      <w:r>
        <w:rPr/>
        <w:t>;</w:t>
      </w:r>
      <w:r>
        <w:rPr>
          <w:spacing w:val="-5"/>
        </w:rPr>
        <w:t> </w:t>
      </w:r>
      <w:r>
        <w:rPr/>
        <w:t>y</w:t>
      </w:r>
      <w:r>
        <w:rPr>
          <w:spacing w:val="-5"/>
        </w:rPr>
        <w:t> </w:t>
      </w:r>
      <w:r>
        <w:rPr/>
        <w:t>b)</w:t>
      </w:r>
      <w:r>
        <w:rPr>
          <w:spacing w:val="-5"/>
        </w:rPr>
        <w:t> </w:t>
      </w:r>
      <w:r>
        <w:rPr/>
        <w:t>el</w:t>
      </w:r>
      <w:r>
        <w:rPr>
          <w:spacing w:val="-5"/>
        </w:rPr>
        <w:t> </w:t>
      </w:r>
      <w:r>
        <w:rPr/>
        <w:t>juicio</w:t>
      </w:r>
      <w:r>
        <w:rPr>
          <w:spacing w:val="-5"/>
        </w:rPr>
        <w:t> </w:t>
      </w:r>
      <w:r>
        <w:rPr/>
        <w:t>civil</w:t>
      </w:r>
      <w:r>
        <w:rPr>
          <w:spacing w:val="-5"/>
        </w:rPr>
        <w:t> </w:t>
      </w:r>
      <w:r>
        <w:rPr>
          <w:i/>
        </w:rPr>
        <w:t>Ad</w:t>
      </w:r>
      <w:r>
        <w:rPr>
          <w:i/>
          <w:spacing w:val="-5"/>
        </w:rPr>
        <w:t> </w:t>
      </w:r>
      <w:r>
        <w:rPr>
          <w:i/>
        </w:rPr>
        <w:t>Perpetuam</w:t>
      </w:r>
      <w:r>
        <w:rPr>
          <w:i/>
          <w:spacing w:val="-5"/>
        </w:rPr>
        <w:t> </w:t>
      </w:r>
      <w:r>
        <w:rPr/>
        <w:t>aplica</w:t>
      </w:r>
      <w:r>
        <w:rPr>
          <w:spacing w:val="-5"/>
        </w:rPr>
        <w:t> </w:t>
      </w:r>
      <w:r>
        <w:rPr/>
        <w:t>en propiedad privada sin título pero sólo cuando los ocupantes hayan ejercido  la posesión pacífica por más de cinco años consecutivos. La secuencia del procedimiento incluye el alta en el padrón catastral, las testimoniales de dos personas, la constancia de obras públicas municipales de que el terreno no  es área verde o de servicios públicos, y la protocolización de la sentencia mediante tarifas económicas por haber celebrado un convenio con el colegio de notarios del estado (seiscientos pesos por</w:t>
      </w:r>
      <w:r>
        <w:rPr>
          <w:spacing w:val="-13"/>
        </w:rPr>
        <w:t> </w:t>
      </w:r>
      <w:r>
        <w:rPr/>
        <w:t>sentencia).</w:t>
      </w:r>
    </w:p>
    <w:p>
      <w:pPr>
        <w:pStyle w:val="BodyText"/>
        <w:spacing w:before="7"/>
        <w:rPr>
          <w:sz w:val="22"/>
        </w:rPr>
      </w:pPr>
    </w:p>
    <w:p>
      <w:pPr>
        <w:pStyle w:val="BodyText"/>
        <w:spacing w:line="235" w:lineRule="auto" w:before="1"/>
        <w:ind w:left="110" w:right="114"/>
        <w:jc w:val="both"/>
      </w:pPr>
      <w:r>
        <w:rPr/>
        <w:t>Los juzgados en los que más se han ejercido este tipo de procedimientos son Pachuca, Tulancingo, Tizayuca, Huejutla y Apan</w:t>
      </w:r>
      <w:r>
        <w:rPr>
          <w:position w:val="8"/>
          <w:sz w:val="13"/>
        </w:rPr>
        <w:t>217</w:t>
      </w:r>
      <w:r>
        <w:rPr/>
        <w:t>. En general, por ser un programa social su aplicación está prohibida para terrenos mayores de cinco hectáreas, parcelas o áreas agrícolas de riego, o bien que su valor comercial sea elevado</w:t>
      </w:r>
      <w:r>
        <w:rPr>
          <w:position w:val="8"/>
          <w:sz w:val="13"/>
        </w:rPr>
        <w:t>218</w:t>
      </w:r>
      <w:r>
        <w:rPr/>
        <w:t>. Las metas aproximadas del programa son de dos mil a dos  mil doscientos trámites al año</w:t>
      </w:r>
      <w:r>
        <w:rPr>
          <w:position w:val="8"/>
          <w:sz w:val="13"/>
        </w:rPr>
        <w:t>219</w:t>
      </w:r>
      <w:r>
        <w:rPr/>
        <w:t>. Los programas de la Comisión para la Regularización de la </w:t>
      </w:r>
      <w:r>
        <w:rPr>
          <w:spacing w:val="-3"/>
        </w:rPr>
        <w:t>Tenencia </w:t>
      </w:r>
      <w:r>
        <w:rPr/>
        <w:t>de la Tierra (CORETT) y del Registro</w:t>
      </w:r>
      <w:r>
        <w:rPr>
          <w:spacing w:val="-36"/>
        </w:rPr>
        <w:t> </w:t>
      </w:r>
      <w:r>
        <w:rPr/>
        <w:t>Agrario Nacional (RAN), organismos federales que regularizan terrenos a partir de  la propiedad social, no están vinculados al programa que nos ocupa en el presente</w:t>
      </w:r>
      <w:r>
        <w:rPr>
          <w:spacing w:val="5"/>
        </w:rPr>
        <w:t> </w:t>
      </w:r>
      <w:r>
        <w:rPr/>
        <w:t>apartado</w:t>
      </w:r>
      <w:r>
        <w:rPr>
          <w:position w:val="8"/>
          <w:sz w:val="13"/>
        </w:rPr>
        <w:t>220</w:t>
      </w:r>
      <w:r>
        <w:rPr/>
        <w:t>.</w:t>
      </w:r>
    </w:p>
    <w:p>
      <w:pPr>
        <w:pStyle w:val="BodyText"/>
        <w:spacing w:before="10"/>
        <w:rPr>
          <w:sz w:val="22"/>
        </w:rPr>
      </w:pPr>
    </w:p>
    <w:p>
      <w:pPr>
        <w:pStyle w:val="Heading3"/>
        <w:spacing w:line="260" w:lineRule="exact"/>
        <w:ind w:left="110" w:right="114"/>
      </w:pPr>
      <w:r>
        <w:rPr/>
        <w:t>La Secretaría del Trabajo y Previsión Social del Estado de Hidalgo (STPSEH).</w:t>
      </w:r>
    </w:p>
    <w:p>
      <w:pPr>
        <w:pStyle w:val="BodyText"/>
        <w:spacing w:before="7"/>
        <w:rPr>
          <w:b/>
          <w:sz w:val="22"/>
        </w:rPr>
      </w:pPr>
    </w:p>
    <w:p>
      <w:pPr>
        <w:spacing w:line="260" w:lineRule="exact" w:before="0"/>
        <w:ind w:left="110" w:right="115" w:firstLine="0"/>
        <w:jc w:val="both"/>
        <w:rPr>
          <w:i/>
          <w:sz w:val="23"/>
        </w:rPr>
      </w:pPr>
      <w:r>
        <w:rPr>
          <w:sz w:val="23"/>
        </w:rPr>
        <w:t>Esta secretaría regularmente opera seis programas que descentraliza el sector federal</w:t>
      </w:r>
      <w:r>
        <w:rPr>
          <w:spacing w:val="-11"/>
          <w:sz w:val="23"/>
        </w:rPr>
        <w:t> </w:t>
      </w:r>
      <w:r>
        <w:rPr>
          <w:sz w:val="23"/>
        </w:rPr>
        <w:t>análogo:</w:t>
      </w:r>
      <w:r>
        <w:rPr>
          <w:spacing w:val="-11"/>
          <w:sz w:val="23"/>
        </w:rPr>
        <w:t> </w:t>
      </w:r>
      <w:r>
        <w:rPr>
          <w:sz w:val="23"/>
        </w:rPr>
        <w:t>a)</w:t>
      </w:r>
      <w:r>
        <w:rPr>
          <w:spacing w:val="-11"/>
          <w:sz w:val="23"/>
        </w:rPr>
        <w:t> </w:t>
      </w:r>
      <w:r>
        <w:rPr>
          <w:i/>
          <w:sz w:val="23"/>
        </w:rPr>
        <w:t>bolsa</w:t>
      </w:r>
      <w:r>
        <w:rPr>
          <w:i/>
          <w:spacing w:val="-11"/>
          <w:sz w:val="23"/>
        </w:rPr>
        <w:t> </w:t>
      </w:r>
      <w:r>
        <w:rPr>
          <w:i/>
          <w:sz w:val="23"/>
        </w:rPr>
        <w:t>de</w:t>
      </w:r>
      <w:r>
        <w:rPr>
          <w:i/>
          <w:spacing w:val="-11"/>
          <w:sz w:val="23"/>
        </w:rPr>
        <w:t> </w:t>
      </w:r>
      <w:r>
        <w:rPr>
          <w:i/>
          <w:sz w:val="23"/>
        </w:rPr>
        <w:t>trabajo</w:t>
      </w:r>
      <w:r>
        <w:rPr>
          <w:i/>
          <w:spacing w:val="-11"/>
          <w:sz w:val="23"/>
        </w:rPr>
        <w:t> </w:t>
      </w:r>
      <w:r>
        <w:rPr>
          <w:i/>
          <w:sz w:val="23"/>
        </w:rPr>
        <w:t>del</w:t>
      </w:r>
      <w:r>
        <w:rPr>
          <w:i/>
          <w:spacing w:val="-11"/>
          <w:sz w:val="23"/>
        </w:rPr>
        <w:t> </w:t>
      </w:r>
      <w:r>
        <w:rPr>
          <w:i/>
          <w:sz w:val="23"/>
        </w:rPr>
        <w:t>servicio</w:t>
      </w:r>
      <w:r>
        <w:rPr>
          <w:i/>
          <w:spacing w:val="-11"/>
          <w:sz w:val="23"/>
        </w:rPr>
        <w:t> </w:t>
      </w:r>
      <w:r>
        <w:rPr>
          <w:i/>
          <w:sz w:val="23"/>
        </w:rPr>
        <w:t>nacional</w:t>
      </w:r>
      <w:r>
        <w:rPr>
          <w:i/>
          <w:spacing w:val="-11"/>
          <w:sz w:val="23"/>
        </w:rPr>
        <w:t> </w:t>
      </w:r>
      <w:r>
        <w:rPr>
          <w:i/>
          <w:sz w:val="23"/>
        </w:rPr>
        <w:t>de</w:t>
      </w:r>
      <w:r>
        <w:rPr>
          <w:i/>
          <w:spacing w:val="-11"/>
          <w:sz w:val="23"/>
        </w:rPr>
        <w:t> </w:t>
      </w:r>
      <w:r>
        <w:rPr>
          <w:i/>
          <w:sz w:val="23"/>
        </w:rPr>
        <w:t>empleo</w:t>
      </w:r>
      <w:r>
        <w:rPr>
          <w:sz w:val="23"/>
        </w:rPr>
        <w:t>,</w:t>
      </w:r>
      <w:r>
        <w:rPr>
          <w:spacing w:val="-11"/>
          <w:sz w:val="23"/>
        </w:rPr>
        <w:t> </w:t>
      </w:r>
      <w:r>
        <w:rPr>
          <w:sz w:val="23"/>
        </w:rPr>
        <w:t>b)</w:t>
      </w:r>
      <w:r>
        <w:rPr>
          <w:spacing w:val="-10"/>
          <w:sz w:val="23"/>
        </w:rPr>
        <w:t> </w:t>
      </w:r>
      <w:r>
        <w:rPr>
          <w:i/>
          <w:sz w:val="23"/>
        </w:rPr>
        <w:t>portal </w:t>
      </w:r>
      <w:r>
        <w:rPr>
          <w:i/>
          <w:sz w:val="23"/>
          <w:u w:val="single"/>
        </w:rPr>
        <w:t>de empleo </w:t>
      </w:r>
      <w:r>
        <w:rPr>
          <w:sz w:val="23"/>
          <w:u w:val="single"/>
        </w:rPr>
        <w:t>(ww</w:t>
      </w:r>
      <w:r>
        <w:rPr>
          <w:sz w:val="23"/>
        </w:rPr>
        <w:t>w.empleo.gob.mx), c) </w:t>
      </w:r>
      <w:r>
        <w:rPr>
          <w:i/>
          <w:sz w:val="23"/>
        </w:rPr>
        <w:t>programa de trabajadores   </w:t>
      </w:r>
      <w:r>
        <w:rPr>
          <w:i/>
          <w:spacing w:val="54"/>
          <w:sz w:val="23"/>
        </w:rPr>
        <w:t> </w:t>
      </w:r>
      <w:r>
        <w:rPr>
          <w:i/>
          <w:sz w:val="23"/>
        </w:rPr>
        <w:t>agrícolas</w:t>
      </w:r>
    </w:p>
    <w:p>
      <w:pPr>
        <w:spacing w:line="249" w:lineRule="auto" w:before="68"/>
        <w:ind w:left="393" w:right="0" w:hanging="284"/>
        <w:jc w:val="left"/>
        <w:rPr>
          <w:sz w:val="18"/>
        </w:rPr>
      </w:pPr>
      <w:r>
        <w:rPr>
          <w:position w:val="7"/>
          <w:sz w:val="11"/>
        </w:rPr>
        <w:t>216 </w:t>
      </w:r>
      <w:r>
        <w:rPr>
          <w:sz w:val="18"/>
        </w:rPr>
        <w:t>Información proporcionada para esta investigación por el secretario ejecutivo del programa de regularización de la tenencia de la tierra, 25 de enero del 2011.</w:t>
      </w:r>
    </w:p>
    <w:p>
      <w:pPr>
        <w:spacing w:before="20"/>
        <w:ind w:left="110" w:right="0" w:firstLine="0"/>
        <w:jc w:val="both"/>
        <w:rPr>
          <w:i/>
          <w:sz w:val="18"/>
        </w:rPr>
      </w:pPr>
      <w:r>
        <w:rPr>
          <w:w w:val="105"/>
          <w:position w:val="7"/>
          <w:sz w:val="11"/>
        </w:rPr>
        <w:t>217  </w:t>
      </w:r>
      <w:r>
        <w:rPr>
          <w:i/>
          <w:w w:val="105"/>
          <w:sz w:val="18"/>
        </w:rPr>
        <w:t>Ibídem.</w:t>
      </w:r>
    </w:p>
    <w:p>
      <w:pPr>
        <w:spacing w:before="28"/>
        <w:ind w:left="110" w:right="0" w:firstLine="0"/>
        <w:jc w:val="both"/>
        <w:rPr>
          <w:i/>
          <w:sz w:val="18"/>
        </w:rPr>
      </w:pPr>
      <w:r>
        <w:rPr>
          <w:w w:val="105"/>
          <w:position w:val="7"/>
          <w:sz w:val="11"/>
        </w:rPr>
        <w:t>218  </w:t>
      </w:r>
      <w:r>
        <w:rPr>
          <w:i/>
          <w:w w:val="105"/>
          <w:sz w:val="18"/>
        </w:rPr>
        <w:t>Ibídem.</w:t>
      </w:r>
    </w:p>
    <w:p>
      <w:pPr>
        <w:spacing w:before="28"/>
        <w:ind w:left="110" w:right="0" w:firstLine="0"/>
        <w:jc w:val="both"/>
        <w:rPr>
          <w:i/>
          <w:sz w:val="18"/>
        </w:rPr>
      </w:pPr>
      <w:r>
        <w:rPr>
          <w:w w:val="105"/>
          <w:position w:val="7"/>
          <w:sz w:val="11"/>
        </w:rPr>
        <w:t>219  </w:t>
      </w:r>
      <w:r>
        <w:rPr>
          <w:i/>
          <w:w w:val="105"/>
          <w:sz w:val="18"/>
        </w:rPr>
        <w:t>Ibídem.</w:t>
      </w:r>
    </w:p>
    <w:p>
      <w:pPr>
        <w:spacing w:before="28"/>
        <w:ind w:left="110" w:right="0" w:firstLine="0"/>
        <w:jc w:val="both"/>
        <w:rPr>
          <w:i/>
          <w:sz w:val="18"/>
        </w:rPr>
      </w:pPr>
      <w:r>
        <w:rPr>
          <w:w w:val="105"/>
          <w:position w:val="7"/>
          <w:sz w:val="11"/>
        </w:rPr>
        <w:t>220  </w:t>
      </w:r>
      <w:r>
        <w:rPr>
          <w:i/>
          <w:w w:val="105"/>
          <w:sz w:val="18"/>
        </w:rPr>
        <w:t>Ibídem.</w:t>
      </w:r>
    </w:p>
    <w:p>
      <w:pPr>
        <w:spacing w:after="0"/>
        <w:jc w:val="both"/>
        <w:rPr>
          <w:sz w:val="18"/>
        </w:rPr>
        <w:sectPr>
          <w:pgSz w:w="9360" w:h="13040"/>
          <w:pgMar w:header="547" w:footer="515" w:top="720" w:bottom="700" w:left="740" w:right="1300"/>
        </w:sectPr>
      </w:pPr>
    </w:p>
    <w:p>
      <w:pPr>
        <w:pStyle w:val="BodyText"/>
        <w:spacing w:before="11"/>
        <w:rPr>
          <w:i/>
          <w:sz w:val="29"/>
        </w:rPr>
      </w:pPr>
    </w:p>
    <w:p>
      <w:pPr>
        <w:spacing w:line="260" w:lineRule="exact" w:before="77"/>
        <w:ind w:left="117" w:right="108" w:hanging="1"/>
        <w:jc w:val="both"/>
        <w:rPr>
          <w:sz w:val="23"/>
        </w:rPr>
      </w:pPr>
      <w:r>
        <w:rPr>
          <w:i/>
          <w:sz w:val="23"/>
        </w:rPr>
        <w:t>temporales México-Canadá</w:t>
      </w:r>
      <w:r>
        <w:rPr>
          <w:sz w:val="23"/>
        </w:rPr>
        <w:t>, d) </w:t>
      </w:r>
      <w:r>
        <w:rPr>
          <w:i/>
          <w:sz w:val="23"/>
        </w:rPr>
        <w:t>sistema nacional de empleo por teléfono</w:t>
      </w:r>
      <w:r>
        <w:rPr>
          <w:sz w:val="23"/>
        </w:rPr>
        <w:t>, e) </w:t>
      </w:r>
      <w:r>
        <w:rPr>
          <w:i/>
          <w:sz w:val="23"/>
        </w:rPr>
        <w:t>BÉCATE</w:t>
      </w:r>
      <w:r>
        <w:rPr>
          <w:i/>
          <w:spacing w:val="-12"/>
          <w:sz w:val="23"/>
        </w:rPr>
        <w:t> </w:t>
      </w:r>
      <w:r>
        <w:rPr>
          <w:sz w:val="23"/>
        </w:rPr>
        <w:t>(apoyos</w:t>
      </w:r>
      <w:r>
        <w:rPr>
          <w:spacing w:val="-12"/>
          <w:sz w:val="23"/>
        </w:rPr>
        <w:t> </w:t>
      </w:r>
      <w:r>
        <w:rPr>
          <w:sz w:val="23"/>
        </w:rPr>
        <w:t>económicos</w:t>
      </w:r>
      <w:r>
        <w:rPr>
          <w:spacing w:val="-12"/>
          <w:sz w:val="23"/>
        </w:rPr>
        <w:t> </w:t>
      </w:r>
      <w:r>
        <w:rPr>
          <w:sz w:val="23"/>
        </w:rPr>
        <w:t>para</w:t>
      </w:r>
      <w:r>
        <w:rPr>
          <w:spacing w:val="-12"/>
          <w:sz w:val="23"/>
        </w:rPr>
        <w:t> </w:t>
      </w:r>
      <w:r>
        <w:rPr>
          <w:sz w:val="23"/>
        </w:rPr>
        <w:t>la</w:t>
      </w:r>
      <w:r>
        <w:rPr>
          <w:spacing w:val="-12"/>
          <w:sz w:val="23"/>
        </w:rPr>
        <w:t> </w:t>
      </w:r>
      <w:r>
        <w:rPr>
          <w:sz w:val="23"/>
        </w:rPr>
        <w:t>capacitación</w:t>
      </w:r>
      <w:r>
        <w:rPr>
          <w:spacing w:val="-13"/>
          <w:sz w:val="23"/>
        </w:rPr>
        <w:t> </w:t>
      </w:r>
      <w:r>
        <w:rPr>
          <w:sz w:val="23"/>
        </w:rPr>
        <w:t>laboral),</w:t>
      </w:r>
      <w:r>
        <w:rPr>
          <w:spacing w:val="-12"/>
          <w:sz w:val="23"/>
        </w:rPr>
        <w:t> </w:t>
      </w:r>
      <w:r>
        <w:rPr>
          <w:sz w:val="23"/>
        </w:rPr>
        <w:t>y</w:t>
      </w:r>
      <w:r>
        <w:rPr>
          <w:spacing w:val="-12"/>
          <w:sz w:val="23"/>
        </w:rPr>
        <w:t> </w:t>
      </w:r>
      <w:r>
        <w:rPr>
          <w:sz w:val="23"/>
        </w:rPr>
        <w:t>f)</w:t>
      </w:r>
      <w:r>
        <w:rPr>
          <w:spacing w:val="-12"/>
          <w:sz w:val="23"/>
        </w:rPr>
        <w:t> </w:t>
      </w:r>
      <w:r>
        <w:rPr>
          <w:i/>
          <w:sz w:val="23"/>
        </w:rPr>
        <w:t>subprograma </w:t>
      </w:r>
      <w:r>
        <w:rPr>
          <w:i/>
          <w:sz w:val="23"/>
        </w:rPr>
        <w:t>de movilidad laboral interna sector agrícola </w:t>
      </w:r>
      <w:r>
        <w:rPr>
          <w:sz w:val="23"/>
        </w:rPr>
        <w:t>(SUMLISA)</w:t>
      </w:r>
      <w:r>
        <w:rPr>
          <w:spacing w:val="-35"/>
          <w:sz w:val="23"/>
        </w:rPr>
        <w:t> </w:t>
      </w:r>
      <w:r>
        <w:rPr>
          <w:position w:val="8"/>
          <w:sz w:val="13"/>
        </w:rPr>
        <w:t>221</w:t>
      </w:r>
      <w:r>
        <w:rPr>
          <w:sz w:val="23"/>
        </w:rPr>
        <w:t>.</w:t>
      </w:r>
    </w:p>
    <w:p>
      <w:pPr>
        <w:pStyle w:val="BodyText"/>
        <w:spacing w:before="4"/>
        <w:rPr>
          <w:sz w:val="22"/>
        </w:rPr>
      </w:pPr>
    </w:p>
    <w:p>
      <w:pPr>
        <w:pStyle w:val="BodyText"/>
        <w:spacing w:line="235" w:lineRule="auto"/>
        <w:ind w:left="117" w:right="107"/>
        <w:jc w:val="both"/>
      </w:pPr>
      <w:r>
        <w:rPr/>
        <w:t>Los</w:t>
      </w:r>
      <w:r>
        <w:rPr>
          <w:spacing w:val="-4"/>
        </w:rPr>
        <w:t> </w:t>
      </w:r>
      <w:r>
        <w:rPr/>
        <w:t>programas</w:t>
      </w:r>
      <w:r>
        <w:rPr>
          <w:spacing w:val="-4"/>
        </w:rPr>
        <w:t> </w:t>
      </w:r>
      <w:r>
        <w:rPr/>
        <w:t>que</w:t>
      </w:r>
      <w:r>
        <w:rPr>
          <w:spacing w:val="-4"/>
        </w:rPr>
        <w:t> </w:t>
      </w:r>
      <w:r>
        <w:rPr/>
        <w:t>la</w:t>
      </w:r>
      <w:r>
        <w:rPr>
          <w:spacing w:val="-4"/>
        </w:rPr>
        <w:t> </w:t>
      </w:r>
      <w:r>
        <w:rPr/>
        <w:t>Secretaría</w:t>
      </w:r>
      <w:r>
        <w:rPr>
          <w:spacing w:val="-3"/>
        </w:rPr>
        <w:t> </w:t>
      </w:r>
      <w:r>
        <w:rPr/>
        <w:t>del</w:t>
      </w:r>
      <w:r>
        <w:rPr>
          <w:spacing w:val="-8"/>
        </w:rPr>
        <w:t> </w:t>
      </w:r>
      <w:r>
        <w:rPr/>
        <w:t>Trabajo</w:t>
      </w:r>
      <w:r>
        <w:rPr>
          <w:spacing w:val="-4"/>
        </w:rPr>
        <w:t> </w:t>
      </w:r>
      <w:r>
        <w:rPr/>
        <w:t>y</w:t>
      </w:r>
      <w:r>
        <w:rPr>
          <w:spacing w:val="-4"/>
        </w:rPr>
        <w:t> </w:t>
      </w:r>
      <w:r>
        <w:rPr/>
        <w:t>Previsión</w:t>
      </w:r>
      <w:r>
        <w:rPr>
          <w:spacing w:val="-3"/>
        </w:rPr>
        <w:t> </w:t>
      </w:r>
      <w:r>
        <w:rPr/>
        <w:t>Social</w:t>
      </w:r>
      <w:r>
        <w:rPr>
          <w:spacing w:val="-3"/>
        </w:rPr>
        <w:t> </w:t>
      </w:r>
      <w:r>
        <w:rPr/>
        <w:t>del</w:t>
      </w:r>
      <w:r>
        <w:rPr>
          <w:spacing w:val="-4"/>
        </w:rPr>
        <w:t> </w:t>
      </w:r>
      <w:r>
        <w:rPr/>
        <w:t>Estado</w:t>
      </w:r>
      <w:r>
        <w:rPr>
          <w:spacing w:val="-4"/>
        </w:rPr>
        <w:t> </w:t>
      </w:r>
      <w:r>
        <w:rPr/>
        <w:t>de Hidalgo</w:t>
      </w:r>
      <w:r>
        <w:rPr>
          <w:spacing w:val="-6"/>
        </w:rPr>
        <w:t> </w:t>
      </w:r>
      <w:r>
        <w:rPr/>
        <w:t>opera</w:t>
      </w:r>
      <w:r>
        <w:rPr>
          <w:spacing w:val="-6"/>
        </w:rPr>
        <w:t> </w:t>
      </w:r>
      <w:r>
        <w:rPr/>
        <w:t>por</w:t>
      </w:r>
      <w:r>
        <w:rPr>
          <w:spacing w:val="-6"/>
        </w:rPr>
        <w:t> </w:t>
      </w:r>
      <w:r>
        <w:rPr/>
        <w:t>iniciativa</w:t>
      </w:r>
      <w:r>
        <w:rPr>
          <w:spacing w:val="-7"/>
        </w:rPr>
        <w:t> </w:t>
      </w:r>
      <w:r>
        <w:rPr/>
        <w:t>propia</w:t>
      </w:r>
      <w:r>
        <w:rPr>
          <w:spacing w:val="-6"/>
        </w:rPr>
        <w:t> </w:t>
      </w:r>
      <w:r>
        <w:rPr/>
        <w:t>son</w:t>
      </w:r>
      <w:r>
        <w:rPr>
          <w:spacing w:val="-6"/>
        </w:rPr>
        <w:t> </w:t>
      </w:r>
      <w:r>
        <w:rPr/>
        <w:t>uno</w:t>
      </w:r>
      <w:r>
        <w:rPr>
          <w:spacing w:val="-6"/>
        </w:rPr>
        <w:t> </w:t>
      </w:r>
      <w:r>
        <w:rPr/>
        <w:t>de</w:t>
      </w:r>
      <w:r>
        <w:rPr>
          <w:spacing w:val="-7"/>
        </w:rPr>
        <w:t> </w:t>
      </w:r>
      <w:r>
        <w:rPr/>
        <w:t>capacitación</w:t>
      </w:r>
      <w:r>
        <w:rPr>
          <w:spacing w:val="-7"/>
        </w:rPr>
        <w:t> </w:t>
      </w:r>
      <w:r>
        <w:rPr/>
        <w:t>(16.67%</w:t>
      </w:r>
      <w:r>
        <w:rPr>
          <w:spacing w:val="-6"/>
        </w:rPr>
        <w:t> </w:t>
      </w:r>
      <w:r>
        <w:rPr/>
        <w:t>del</w:t>
      </w:r>
      <w:r>
        <w:rPr>
          <w:spacing w:val="-6"/>
        </w:rPr>
        <w:t> </w:t>
      </w:r>
      <w:r>
        <w:rPr/>
        <w:t>total de</w:t>
      </w:r>
      <w:r>
        <w:rPr>
          <w:spacing w:val="-20"/>
        </w:rPr>
        <w:t> </w:t>
      </w:r>
      <w:r>
        <w:rPr/>
        <w:t>acciones),</w:t>
      </w:r>
      <w:r>
        <w:rPr>
          <w:spacing w:val="-21"/>
        </w:rPr>
        <w:t> </w:t>
      </w:r>
      <w:r>
        <w:rPr/>
        <w:t>cinco</w:t>
      </w:r>
      <w:r>
        <w:rPr>
          <w:spacing w:val="-21"/>
        </w:rPr>
        <w:t> </w:t>
      </w:r>
      <w:r>
        <w:rPr/>
        <w:t>de</w:t>
      </w:r>
      <w:r>
        <w:rPr>
          <w:spacing w:val="-20"/>
        </w:rPr>
        <w:t> </w:t>
      </w:r>
      <w:r>
        <w:rPr/>
        <w:t>oportunidades</w:t>
      </w:r>
      <w:r>
        <w:rPr>
          <w:spacing w:val="-20"/>
        </w:rPr>
        <w:t> </w:t>
      </w:r>
      <w:r>
        <w:rPr/>
        <w:t>de</w:t>
      </w:r>
      <w:r>
        <w:rPr>
          <w:spacing w:val="-20"/>
        </w:rPr>
        <w:t> </w:t>
      </w:r>
      <w:r>
        <w:rPr/>
        <w:t>empleo</w:t>
      </w:r>
      <w:r>
        <w:rPr>
          <w:spacing w:val="-21"/>
        </w:rPr>
        <w:t> </w:t>
      </w:r>
      <w:r>
        <w:rPr/>
        <w:t>(83.33%</w:t>
      </w:r>
      <w:r>
        <w:rPr>
          <w:spacing w:val="-20"/>
        </w:rPr>
        <w:t> </w:t>
      </w:r>
      <w:r>
        <w:rPr/>
        <w:t>del</w:t>
      </w:r>
      <w:r>
        <w:rPr>
          <w:spacing w:val="-20"/>
        </w:rPr>
        <w:t> </w:t>
      </w:r>
      <w:r>
        <w:rPr/>
        <w:t>total</w:t>
      </w:r>
      <w:r>
        <w:rPr>
          <w:spacing w:val="-21"/>
        </w:rPr>
        <w:t> </w:t>
      </w:r>
      <w:r>
        <w:rPr/>
        <w:t>de</w:t>
      </w:r>
      <w:r>
        <w:rPr>
          <w:spacing w:val="-20"/>
        </w:rPr>
        <w:t> </w:t>
      </w:r>
      <w:r>
        <w:rPr/>
        <w:t>acciones), y ninguno de patrimonio ni de asistencia. El esquema de capacitación se refiere a un taller para la búsqueda de empleo, mientras que los programas  de</w:t>
      </w:r>
      <w:r>
        <w:rPr>
          <w:spacing w:val="-5"/>
        </w:rPr>
        <w:t> </w:t>
      </w:r>
      <w:r>
        <w:rPr/>
        <w:t>oportunidades</w:t>
      </w:r>
      <w:r>
        <w:rPr>
          <w:spacing w:val="-5"/>
        </w:rPr>
        <w:t> </w:t>
      </w:r>
      <w:r>
        <w:rPr/>
        <w:t>de</w:t>
      </w:r>
      <w:r>
        <w:rPr>
          <w:spacing w:val="-5"/>
        </w:rPr>
        <w:t> </w:t>
      </w:r>
      <w:r>
        <w:rPr/>
        <w:t>trabajo</w:t>
      </w:r>
      <w:r>
        <w:rPr>
          <w:spacing w:val="-5"/>
        </w:rPr>
        <w:t> </w:t>
      </w:r>
      <w:r>
        <w:rPr/>
        <w:t>son</w:t>
      </w:r>
      <w:r>
        <w:rPr>
          <w:spacing w:val="-5"/>
        </w:rPr>
        <w:t> </w:t>
      </w:r>
      <w:r>
        <w:rPr/>
        <w:t>cinco</w:t>
      </w:r>
      <w:r>
        <w:rPr>
          <w:spacing w:val="-5"/>
        </w:rPr>
        <w:t> </w:t>
      </w:r>
      <w:r>
        <w:rPr/>
        <w:t>bolsas</w:t>
      </w:r>
      <w:r>
        <w:rPr>
          <w:spacing w:val="-5"/>
        </w:rPr>
        <w:t> </w:t>
      </w:r>
      <w:r>
        <w:rPr/>
        <w:t>laborales</w:t>
      </w:r>
      <w:r>
        <w:rPr>
          <w:spacing w:val="-5"/>
        </w:rPr>
        <w:t> </w:t>
      </w:r>
      <w:r>
        <w:rPr/>
        <w:t>focalizadas:</w:t>
      </w:r>
      <w:r>
        <w:rPr>
          <w:spacing w:val="-5"/>
        </w:rPr>
        <w:t> </w:t>
      </w:r>
      <w:r>
        <w:rPr/>
        <w:t>1)</w:t>
      </w:r>
      <w:r>
        <w:rPr>
          <w:spacing w:val="-5"/>
        </w:rPr>
        <w:t> </w:t>
      </w:r>
      <w:r>
        <w:rPr>
          <w:i/>
        </w:rPr>
        <w:t>días</w:t>
      </w:r>
      <w:r>
        <w:rPr>
          <w:i/>
          <w:spacing w:val="-5"/>
        </w:rPr>
        <w:t> </w:t>
      </w:r>
      <w:r>
        <w:rPr>
          <w:i/>
        </w:rPr>
        <w:t>de </w:t>
      </w:r>
      <w:r>
        <w:rPr>
          <w:i/>
        </w:rPr>
        <w:t>empleo, </w:t>
      </w:r>
      <w:r>
        <w:rPr/>
        <w:t>concentración de buscadores de empleo para dos o más oferentes; 2) </w:t>
      </w:r>
      <w:r>
        <w:rPr>
          <w:i/>
        </w:rPr>
        <w:t>ferias</w:t>
      </w:r>
      <w:r>
        <w:rPr>
          <w:i/>
          <w:spacing w:val="-18"/>
        </w:rPr>
        <w:t> </w:t>
      </w:r>
      <w:r>
        <w:rPr>
          <w:i/>
        </w:rPr>
        <w:t>y</w:t>
      </w:r>
      <w:r>
        <w:rPr>
          <w:i/>
          <w:spacing w:val="-17"/>
        </w:rPr>
        <w:t> </w:t>
      </w:r>
      <w:r>
        <w:rPr>
          <w:i/>
        </w:rPr>
        <w:t>microferias</w:t>
      </w:r>
      <w:r>
        <w:rPr>
          <w:i/>
          <w:spacing w:val="-17"/>
        </w:rPr>
        <w:t> </w:t>
      </w:r>
      <w:r>
        <w:rPr>
          <w:i/>
        </w:rPr>
        <w:t>de</w:t>
      </w:r>
      <w:r>
        <w:rPr>
          <w:i/>
          <w:spacing w:val="-17"/>
        </w:rPr>
        <w:t> </w:t>
      </w:r>
      <w:r>
        <w:rPr>
          <w:i/>
        </w:rPr>
        <w:t>empleo</w:t>
      </w:r>
      <w:r>
        <w:rPr/>
        <w:t>;</w:t>
      </w:r>
      <w:r>
        <w:rPr>
          <w:spacing w:val="-17"/>
        </w:rPr>
        <w:t> </w:t>
      </w:r>
      <w:r>
        <w:rPr/>
        <w:t>3)</w:t>
      </w:r>
      <w:r>
        <w:rPr>
          <w:spacing w:val="-17"/>
        </w:rPr>
        <w:t> </w:t>
      </w:r>
      <w:r>
        <w:rPr>
          <w:i/>
        </w:rPr>
        <w:t>ofertas</w:t>
      </w:r>
      <w:r>
        <w:rPr>
          <w:i/>
          <w:spacing w:val="-17"/>
        </w:rPr>
        <w:t> </w:t>
      </w:r>
      <w:r>
        <w:rPr>
          <w:i/>
        </w:rPr>
        <w:t>de</w:t>
      </w:r>
      <w:r>
        <w:rPr>
          <w:i/>
          <w:spacing w:val="-17"/>
        </w:rPr>
        <w:t> </w:t>
      </w:r>
      <w:r>
        <w:rPr>
          <w:i/>
        </w:rPr>
        <w:t>empleo,</w:t>
      </w:r>
      <w:r>
        <w:rPr>
          <w:i/>
          <w:spacing w:val="-17"/>
        </w:rPr>
        <w:t> </w:t>
      </w:r>
      <w:r>
        <w:rPr/>
        <w:t>publicación</w:t>
      </w:r>
      <w:r>
        <w:rPr>
          <w:spacing w:val="-17"/>
        </w:rPr>
        <w:t> </w:t>
      </w:r>
      <w:r>
        <w:rPr/>
        <w:t>quincenal;</w:t>
      </w:r>
      <w:r>
        <w:rPr>
          <w:spacing w:val="-17"/>
        </w:rPr>
        <w:t> </w:t>
      </w:r>
      <w:r>
        <w:rPr/>
        <w:t>4) </w:t>
      </w:r>
      <w:r>
        <w:rPr>
          <w:i/>
        </w:rPr>
        <w:t>programa</w:t>
      </w:r>
      <w:r>
        <w:rPr>
          <w:i/>
          <w:spacing w:val="-9"/>
        </w:rPr>
        <w:t> </w:t>
      </w:r>
      <w:r>
        <w:rPr>
          <w:i/>
        </w:rPr>
        <w:t>abriendo</w:t>
      </w:r>
      <w:r>
        <w:rPr>
          <w:i/>
          <w:spacing w:val="-10"/>
        </w:rPr>
        <w:t> </w:t>
      </w:r>
      <w:r>
        <w:rPr>
          <w:i/>
        </w:rPr>
        <w:t>espacios,</w:t>
      </w:r>
      <w:r>
        <w:rPr>
          <w:i/>
          <w:spacing w:val="-10"/>
        </w:rPr>
        <w:t> </w:t>
      </w:r>
      <w:r>
        <w:rPr/>
        <w:t>empleo</w:t>
      </w:r>
      <w:r>
        <w:rPr>
          <w:spacing w:val="-10"/>
        </w:rPr>
        <w:t> </w:t>
      </w:r>
      <w:r>
        <w:rPr/>
        <w:t>para</w:t>
      </w:r>
      <w:r>
        <w:rPr>
          <w:spacing w:val="-10"/>
        </w:rPr>
        <w:t> </w:t>
      </w:r>
      <w:r>
        <w:rPr/>
        <w:t>adultos</w:t>
      </w:r>
      <w:r>
        <w:rPr>
          <w:spacing w:val="-10"/>
        </w:rPr>
        <w:t> </w:t>
      </w:r>
      <w:r>
        <w:rPr/>
        <w:t>en</w:t>
      </w:r>
      <w:r>
        <w:rPr>
          <w:spacing w:val="-10"/>
        </w:rPr>
        <w:t> </w:t>
      </w:r>
      <w:r>
        <w:rPr/>
        <w:t>plenitud;</w:t>
      </w:r>
      <w:r>
        <w:rPr>
          <w:spacing w:val="-9"/>
        </w:rPr>
        <w:t> </w:t>
      </w:r>
      <w:r>
        <w:rPr/>
        <w:t>y</w:t>
      </w:r>
      <w:r>
        <w:rPr>
          <w:spacing w:val="-9"/>
        </w:rPr>
        <w:t> </w:t>
      </w:r>
      <w:r>
        <w:rPr/>
        <w:t>5)</w:t>
      </w:r>
      <w:r>
        <w:rPr>
          <w:spacing w:val="-9"/>
        </w:rPr>
        <w:t> </w:t>
      </w:r>
      <w:r>
        <w:rPr>
          <w:i/>
        </w:rPr>
        <w:t>programa </w:t>
      </w:r>
      <w:r>
        <w:rPr>
          <w:i/>
        </w:rPr>
        <w:t>causa joven, </w:t>
      </w:r>
      <w:r>
        <w:rPr/>
        <w:t>con opciones para</w:t>
      </w:r>
      <w:r>
        <w:rPr>
          <w:spacing w:val="2"/>
        </w:rPr>
        <w:t> </w:t>
      </w:r>
      <w:r>
        <w:rPr/>
        <w:t>jóvenes</w:t>
      </w:r>
      <w:r>
        <w:rPr>
          <w:position w:val="8"/>
          <w:sz w:val="13"/>
        </w:rPr>
        <w:t>222</w:t>
      </w:r>
      <w:r>
        <w:rPr/>
        <w:t>.</w:t>
      </w:r>
    </w:p>
    <w:p>
      <w:pPr>
        <w:pStyle w:val="BodyText"/>
        <w:spacing w:before="10"/>
        <w:rPr>
          <w:sz w:val="22"/>
        </w:rPr>
      </w:pPr>
    </w:p>
    <w:p>
      <w:pPr>
        <w:pStyle w:val="Heading3"/>
        <w:spacing w:line="260" w:lineRule="exact"/>
        <w:ind w:right="107"/>
      </w:pPr>
      <w:r>
        <w:rPr/>
        <w:t>El Instituto de Capacitación para el Trabajo del Estado de Hidalgo (ICATHI).</w:t>
      </w:r>
    </w:p>
    <w:p>
      <w:pPr>
        <w:pStyle w:val="BodyText"/>
        <w:spacing w:before="7"/>
        <w:rPr>
          <w:b/>
          <w:sz w:val="22"/>
        </w:rPr>
      </w:pPr>
    </w:p>
    <w:p>
      <w:pPr>
        <w:spacing w:line="260" w:lineRule="exact" w:before="0"/>
        <w:ind w:left="117" w:right="109" w:firstLine="0"/>
        <w:jc w:val="both"/>
        <w:rPr>
          <w:sz w:val="23"/>
        </w:rPr>
      </w:pPr>
      <w:r>
        <w:rPr>
          <w:sz w:val="23"/>
        </w:rPr>
        <w:t>Este instituto no opera programas federales descentralizados, en cambio ejecuta un programa de diseño propio para </w:t>
      </w:r>
      <w:r>
        <w:rPr>
          <w:i/>
          <w:sz w:val="23"/>
        </w:rPr>
        <w:t>atender las necesidades de </w:t>
      </w:r>
      <w:r>
        <w:rPr>
          <w:i/>
          <w:sz w:val="23"/>
        </w:rPr>
        <w:t>capacitación de todos los municipios del Estado de Hidalgo</w:t>
      </w:r>
      <w:r>
        <w:rPr>
          <w:position w:val="8"/>
          <w:sz w:val="13"/>
        </w:rPr>
        <w:t>223</w:t>
      </w:r>
      <w:r>
        <w:rPr>
          <w:sz w:val="23"/>
        </w:rPr>
        <w:t>. Según el programa operativo anual, en el año 2010 se atendieron cincuenta y un mil trescientos cincuenta y siete alumnos en trece municipios con sede fija y seis localidades con sede móvil</w:t>
      </w:r>
      <w:r>
        <w:rPr>
          <w:position w:val="8"/>
          <w:sz w:val="13"/>
        </w:rPr>
        <w:t>224</w:t>
      </w:r>
      <w:r>
        <w:rPr>
          <w:sz w:val="23"/>
        </w:rPr>
        <w:t>.</w:t>
      </w:r>
    </w:p>
    <w:p>
      <w:pPr>
        <w:pStyle w:val="BodyText"/>
        <w:rPr>
          <w:sz w:val="22"/>
        </w:rPr>
      </w:pPr>
    </w:p>
    <w:p>
      <w:pPr>
        <w:pStyle w:val="Heading3"/>
      </w:pPr>
      <w:bookmarkStart w:name="_TOC_250015" w:id="28"/>
      <w:bookmarkEnd w:id="28"/>
      <w:r>
        <w:rPr/>
        <w:t>Conclusiones del Capítulo V.</w:t>
      </w:r>
    </w:p>
    <w:p>
      <w:pPr>
        <w:pStyle w:val="BodyText"/>
        <w:spacing w:before="9"/>
        <w:rPr>
          <w:b/>
          <w:sz w:val="22"/>
        </w:rPr>
      </w:pPr>
    </w:p>
    <w:p>
      <w:pPr>
        <w:pStyle w:val="BodyText"/>
        <w:spacing w:line="260" w:lineRule="exact"/>
        <w:ind w:left="117" w:right="108"/>
        <w:jc w:val="both"/>
      </w:pPr>
      <w:r>
        <w:rPr/>
        <w:t>En función de la esencia subsidiaria, los factores que afectan la dirección preferente</w:t>
      </w:r>
      <w:r>
        <w:rPr>
          <w:spacing w:val="-5"/>
        </w:rPr>
        <w:t> </w:t>
      </w:r>
      <w:r>
        <w:rPr/>
        <w:t>del</w:t>
      </w:r>
      <w:r>
        <w:rPr>
          <w:spacing w:val="-5"/>
        </w:rPr>
        <w:t> </w:t>
      </w:r>
      <w:r>
        <w:rPr/>
        <w:t>gobierno</w:t>
      </w:r>
      <w:r>
        <w:rPr>
          <w:spacing w:val="-5"/>
        </w:rPr>
        <w:t> </w:t>
      </w:r>
      <w:r>
        <w:rPr/>
        <w:t>de</w:t>
      </w:r>
      <w:r>
        <w:rPr>
          <w:spacing w:val="-5"/>
        </w:rPr>
        <w:t> </w:t>
      </w:r>
      <w:r>
        <w:rPr/>
        <w:t>Hidalgo</w:t>
      </w:r>
      <w:r>
        <w:rPr>
          <w:spacing w:val="-5"/>
        </w:rPr>
        <w:t> </w:t>
      </w:r>
      <w:r>
        <w:rPr/>
        <w:t>sobre</w:t>
      </w:r>
      <w:r>
        <w:rPr>
          <w:spacing w:val="-5"/>
        </w:rPr>
        <w:t> </w:t>
      </w:r>
      <w:r>
        <w:rPr/>
        <w:t>la</w:t>
      </w:r>
      <w:r>
        <w:rPr>
          <w:spacing w:val="-5"/>
        </w:rPr>
        <w:t> </w:t>
      </w:r>
      <w:r>
        <w:rPr/>
        <w:t>política</w:t>
      </w:r>
      <w:r>
        <w:rPr>
          <w:spacing w:val="-5"/>
        </w:rPr>
        <w:t> </w:t>
      </w:r>
      <w:r>
        <w:rPr/>
        <w:t>redistributiva</w:t>
      </w:r>
      <w:r>
        <w:rPr>
          <w:spacing w:val="-5"/>
        </w:rPr>
        <w:t> </w:t>
      </w:r>
      <w:r>
        <w:rPr/>
        <w:t>estatal</w:t>
      </w:r>
      <w:r>
        <w:rPr>
          <w:spacing w:val="-6"/>
        </w:rPr>
        <w:t> </w:t>
      </w:r>
      <w:r>
        <w:rPr/>
        <w:t>son:</w:t>
      </w:r>
    </w:p>
    <w:p>
      <w:pPr>
        <w:pStyle w:val="BodyText"/>
        <w:spacing w:before="7"/>
        <w:rPr>
          <w:sz w:val="22"/>
        </w:rPr>
      </w:pPr>
    </w:p>
    <w:p>
      <w:pPr>
        <w:pStyle w:val="ListParagraph"/>
        <w:numPr>
          <w:ilvl w:val="0"/>
          <w:numId w:val="15"/>
        </w:numPr>
        <w:tabs>
          <w:tab w:pos="684" w:val="left" w:leader="none"/>
        </w:tabs>
        <w:spacing w:line="260" w:lineRule="exact" w:before="0" w:after="11"/>
        <w:ind w:left="684" w:right="108" w:hanging="284"/>
        <w:jc w:val="both"/>
        <w:rPr>
          <w:sz w:val="23"/>
        </w:rPr>
      </w:pPr>
      <w:r>
        <w:rPr>
          <w:sz w:val="23"/>
        </w:rPr>
        <w:t>Según la </w:t>
      </w:r>
      <w:r>
        <w:rPr>
          <w:i/>
          <w:sz w:val="23"/>
        </w:rPr>
        <w:t>capacidad intergubernamental de asociación estratégica</w:t>
      </w:r>
      <w:r>
        <w:rPr>
          <w:sz w:val="23"/>
        </w:rPr>
        <w:t>. El Comité de Desarrollo Social del Estado de Hidalgo ha sido un intento efímero de asociación estratégica general para depurar la política social</w:t>
      </w:r>
      <w:r>
        <w:rPr>
          <w:spacing w:val="-5"/>
          <w:sz w:val="23"/>
        </w:rPr>
        <w:t> </w:t>
      </w:r>
      <w:r>
        <w:rPr>
          <w:sz w:val="23"/>
        </w:rPr>
        <w:t>estatal.</w:t>
      </w:r>
      <w:r>
        <w:rPr>
          <w:spacing w:val="-6"/>
          <w:sz w:val="23"/>
        </w:rPr>
        <w:t> </w:t>
      </w:r>
      <w:r>
        <w:rPr>
          <w:sz w:val="23"/>
        </w:rPr>
        <w:t>Los</w:t>
      </w:r>
      <w:r>
        <w:rPr>
          <w:spacing w:val="-6"/>
          <w:sz w:val="23"/>
        </w:rPr>
        <w:t> </w:t>
      </w:r>
      <w:r>
        <w:rPr>
          <w:sz w:val="23"/>
        </w:rPr>
        <w:t>problemas</w:t>
      </w:r>
      <w:r>
        <w:rPr>
          <w:spacing w:val="-6"/>
          <w:sz w:val="23"/>
        </w:rPr>
        <w:t> </w:t>
      </w:r>
      <w:r>
        <w:rPr>
          <w:sz w:val="23"/>
        </w:rPr>
        <w:t>en</w:t>
      </w:r>
      <w:r>
        <w:rPr>
          <w:spacing w:val="-5"/>
          <w:sz w:val="23"/>
        </w:rPr>
        <w:t> </w:t>
      </w:r>
      <w:r>
        <w:rPr>
          <w:sz w:val="23"/>
        </w:rPr>
        <w:t>su</w:t>
      </w:r>
      <w:r>
        <w:rPr>
          <w:spacing w:val="-5"/>
          <w:sz w:val="23"/>
        </w:rPr>
        <w:t> </w:t>
      </w:r>
      <w:r>
        <w:rPr>
          <w:sz w:val="23"/>
        </w:rPr>
        <w:t>funcionamiento</w:t>
      </w:r>
      <w:r>
        <w:rPr>
          <w:spacing w:val="-5"/>
          <w:sz w:val="23"/>
        </w:rPr>
        <w:t> </w:t>
      </w:r>
      <w:r>
        <w:rPr>
          <w:sz w:val="23"/>
        </w:rPr>
        <w:t>fueron:</w:t>
      </w:r>
      <w:r>
        <w:rPr>
          <w:spacing w:val="-5"/>
          <w:sz w:val="23"/>
        </w:rPr>
        <w:t> </w:t>
      </w:r>
      <w:r>
        <w:rPr>
          <w:sz w:val="23"/>
        </w:rPr>
        <w:t>a)</w:t>
      </w:r>
      <w:r>
        <w:rPr>
          <w:spacing w:val="-5"/>
          <w:sz w:val="23"/>
        </w:rPr>
        <w:t> </w:t>
      </w:r>
      <w:r>
        <w:rPr>
          <w:sz w:val="23"/>
        </w:rPr>
        <w:t>al</w:t>
      </w:r>
      <w:r>
        <w:rPr>
          <w:spacing w:val="-6"/>
          <w:sz w:val="23"/>
        </w:rPr>
        <w:t> </w:t>
      </w:r>
      <w:r>
        <w:rPr>
          <w:sz w:val="23"/>
        </w:rPr>
        <w:t>quedar</w:t>
      </w:r>
    </w:p>
    <w:p>
      <w:pPr>
        <w:pStyle w:val="BodyText"/>
        <w:spacing w:line="20" w:lineRule="exact"/>
        <w:ind w:left="107"/>
        <w:rPr>
          <w:sz w:val="2"/>
        </w:rPr>
      </w:pPr>
      <w:r>
        <w:rPr>
          <w:sz w:val="2"/>
        </w:rPr>
        <w:pict>
          <v:group style="width:73pt;height:1pt;mso-position-horizontal-relative:char;mso-position-vertical-relative:line" coordorigin="0,0" coordsize="1460,20">
            <v:line style="position:absolute" from="10,10" to="1450,10" stroked="true" strokeweight="1pt" strokecolor="#000000"/>
          </v:group>
        </w:pict>
      </w:r>
      <w:r>
        <w:rPr>
          <w:sz w:val="2"/>
        </w:rPr>
      </w:r>
    </w:p>
    <w:p>
      <w:pPr>
        <w:spacing w:line="249" w:lineRule="auto" w:before="57"/>
        <w:ind w:left="400" w:right="0" w:hanging="284"/>
        <w:jc w:val="left"/>
        <w:rPr>
          <w:sz w:val="18"/>
        </w:rPr>
      </w:pPr>
      <w:r>
        <w:rPr>
          <w:position w:val="7"/>
          <w:sz w:val="11"/>
        </w:rPr>
        <w:t>221 </w:t>
      </w:r>
      <w:r>
        <w:rPr>
          <w:sz w:val="18"/>
        </w:rPr>
        <w:t>Información proporcionada para esta investigación por personal de la secretaría del trabajo y previsión social del Estado de Hidalgo, 1° de junio del 2011.</w:t>
      </w:r>
    </w:p>
    <w:p>
      <w:pPr>
        <w:spacing w:before="20"/>
        <w:ind w:left="117" w:right="0" w:firstLine="0"/>
        <w:jc w:val="both"/>
        <w:rPr>
          <w:i/>
          <w:sz w:val="18"/>
        </w:rPr>
      </w:pPr>
      <w:r>
        <w:rPr>
          <w:w w:val="105"/>
          <w:position w:val="7"/>
          <w:sz w:val="11"/>
        </w:rPr>
        <w:t>222  </w:t>
      </w:r>
      <w:r>
        <w:rPr>
          <w:i/>
          <w:w w:val="105"/>
          <w:sz w:val="18"/>
        </w:rPr>
        <w:t>Ibídem.</w:t>
      </w:r>
    </w:p>
    <w:p>
      <w:pPr>
        <w:spacing w:line="249" w:lineRule="auto" w:before="28"/>
        <w:ind w:left="400" w:right="0" w:hanging="284"/>
        <w:jc w:val="left"/>
        <w:rPr>
          <w:sz w:val="18"/>
        </w:rPr>
      </w:pPr>
      <w:r>
        <w:rPr>
          <w:position w:val="7"/>
          <w:sz w:val="11"/>
        </w:rPr>
        <w:t>223 </w:t>
      </w:r>
      <w:r>
        <w:rPr>
          <w:sz w:val="18"/>
        </w:rPr>
        <w:t>Instituto de Capacitación para el Trabajo del Estado de Hidalgo (ICATHI), </w:t>
      </w:r>
      <w:r>
        <w:rPr>
          <w:i/>
          <w:sz w:val="18"/>
        </w:rPr>
        <w:t>Programa operativo </w:t>
      </w:r>
      <w:r>
        <w:rPr>
          <w:i/>
          <w:sz w:val="18"/>
        </w:rPr>
        <w:t>anual, </w:t>
      </w:r>
      <w:r>
        <w:rPr>
          <w:sz w:val="18"/>
        </w:rPr>
        <w:t>2010.</w:t>
      </w:r>
    </w:p>
    <w:p>
      <w:pPr>
        <w:spacing w:before="20"/>
        <w:ind w:left="117" w:right="0" w:firstLine="0"/>
        <w:jc w:val="both"/>
        <w:rPr>
          <w:i/>
          <w:sz w:val="18"/>
        </w:rPr>
      </w:pPr>
      <w:r>
        <w:rPr>
          <w:w w:val="105"/>
          <w:position w:val="7"/>
          <w:sz w:val="11"/>
        </w:rPr>
        <w:t>224  </w:t>
      </w:r>
      <w:r>
        <w:rPr>
          <w:i/>
          <w:w w:val="105"/>
          <w:sz w:val="18"/>
        </w:rPr>
        <w:t>Ibídem.</w:t>
      </w:r>
    </w:p>
    <w:p>
      <w:pPr>
        <w:spacing w:after="0"/>
        <w:jc w:val="both"/>
        <w:rPr>
          <w:sz w:val="18"/>
        </w:rPr>
        <w:sectPr>
          <w:pgSz w:w="9360" w:h="13040"/>
          <w:pgMar w:header="531" w:footer="515" w:top="940" w:bottom="700" w:left="1300" w:right="740"/>
        </w:sectPr>
      </w:pPr>
    </w:p>
    <w:p>
      <w:pPr>
        <w:pStyle w:val="BodyText"/>
        <w:rPr>
          <w:i/>
          <w:sz w:val="20"/>
        </w:rPr>
      </w:pPr>
    </w:p>
    <w:p>
      <w:pPr>
        <w:pStyle w:val="BodyText"/>
        <w:spacing w:before="1"/>
        <w:rPr>
          <w:i/>
          <w:sz w:val="29"/>
        </w:rPr>
      </w:pPr>
    </w:p>
    <w:p>
      <w:pPr>
        <w:pStyle w:val="BodyText"/>
        <w:spacing w:line="260" w:lineRule="exact" w:before="77"/>
        <w:ind w:left="677" w:right="115"/>
        <w:jc w:val="both"/>
      </w:pPr>
      <w:r>
        <w:rPr/>
        <w:t>compuesto por ciento treinta y dos miembros, su integración resultó ejecutivamente impráctica; y b) pese a que quedó estipulado sesionar por lo menos dos veces al año, durante el sexenio 2005-2011 sólo       se celebraron dos reuniones con un lapso de casi quince meses entre ambas.</w:t>
      </w:r>
    </w:p>
    <w:p>
      <w:pPr>
        <w:pStyle w:val="BodyText"/>
        <w:spacing w:before="7"/>
        <w:rPr>
          <w:sz w:val="22"/>
        </w:rPr>
      </w:pPr>
    </w:p>
    <w:p>
      <w:pPr>
        <w:pStyle w:val="ListParagraph"/>
        <w:numPr>
          <w:ilvl w:val="0"/>
          <w:numId w:val="15"/>
        </w:numPr>
        <w:tabs>
          <w:tab w:pos="678" w:val="left" w:leader="none"/>
        </w:tabs>
        <w:spacing w:line="260" w:lineRule="exact" w:before="0" w:after="0"/>
        <w:ind w:left="677" w:right="114" w:hanging="284"/>
        <w:jc w:val="both"/>
        <w:rPr>
          <w:sz w:val="23"/>
        </w:rPr>
      </w:pPr>
      <w:r>
        <w:rPr>
          <w:sz w:val="23"/>
        </w:rPr>
        <w:t>Con</w:t>
      </w:r>
      <w:r>
        <w:rPr>
          <w:spacing w:val="-20"/>
          <w:sz w:val="23"/>
        </w:rPr>
        <w:t> </w:t>
      </w:r>
      <w:r>
        <w:rPr>
          <w:sz w:val="23"/>
        </w:rPr>
        <w:t>base</w:t>
      </w:r>
      <w:r>
        <w:rPr>
          <w:spacing w:val="-20"/>
          <w:sz w:val="23"/>
        </w:rPr>
        <w:t> </w:t>
      </w:r>
      <w:r>
        <w:rPr>
          <w:sz w:val="23"/>
        </w:rPr>
        <w:t>en</w:t>
      </w:r>
      <w:r>
        <w:rPr>
          <w:spacing w:val="-20"/>
          <w:sz w:val="23"/>
        </w:rPr>
        <w:t> </w:t>
      </w:r>
      <w:r>
        <w:rPr>
          <w:sz w:val="23"/>
        </w:rPr>
        <w:t>la</w:t>
      </w:r>
      <w:r>
        <w:rPr>
          <w:spacing w:val="-20"/>
          <w:sz w:val="23"/>
        </w:rPr>
        <w:t> </w:t>
      </w:r>
      <w:r>
        <w:rPr>
          <w:i/>
          <w:sz w:val="23"/>
        </w:rPr>
        <w:t>restricción</w:t>
      </w:r>
      <w:r>
        <w:rPr>
          <w:i/>
          <w:spacing w:val="-20"/>
          <w:sz w:val="23"/>
        </w:rPr>
        <w:t> </w:t>
      </w:r>
      <w:r>
        <w:rPr>
          <w:i/>
          <w:sz w:val="23"/>
        </w:rPr>
        <w:t>competencial</w:t>
      </w:r>
      <w:r>
        <w:rPr>
          <w:i/>
          <w:spacing w:val="-21"/>
          <w:sz w:val="23"/>
        </w:rPr>
        <w:t> </w:t>
      </w:r>
      <w:r>
        <w:rPr>
          <w:i/>
          <w:sz w:val="23"/>
        </w:rPr>
        <w:t>de</w:t>
      </w:r>
      <w:r>
        <w:rPr>
          <w:i/>
          <w:spacing w:val="-20"/>
          <w:sz w:val="23"/>
        </w:rPr>
        <w:t> </w:t>
      </w:r>
      <w:r>
        <w:rPr>
          <w:i/>
          <w:sz w:val="23"/>
        </w:rPr>
        <w:t>las</w:t>
      </w:r>
      <w:r>
        <w:rPr>
          <w:i/>
          <w:spacing w:val="-21"/>
          <w:sz w:val="23"/>
        </w:rPr>
        <w:t> </w:t>
      </w:r>
      <w:r>
        <w:rPr>
          <w:i/>
          <w:sz w:val="23"/>
        </w:rPr>
        <w:t>formaciones</w:t>
      </w:r>
      <w:r>
        <w:rPr>
          <w:i/>
          <w:spacing w:val="-21"/>
          <w:sz w:val="23"/>
        </w:rPr>
        <w:t> </w:t>
      </w:r>
      <w:r>
        <w:rPr>
          <w:i/>
          <w:sz w:val="23"/>
        </w:rPr>
        <w:t>sociales</w:t>
      </w:r>
      <w:r>
        <w:rPr>
          <w:i/>
          <w:spacing w:val="-20"/>
          <w:sz w:val="23"/>
        </w:rPr>
        <w:t> </w:t>
      </w:r>
      <w:r>
        <w:rPr>
          <w:i/>
          <w:sz w:val="23"/>
        </w:rPr>
        <w:t>más </w:t>
      </w:r>
      <w:r>
        <w:rPr>
          <w:i/>
          <w:sz w:val="23"/>
        </w:rPr>
        <w:t>complejas</w:t>
      </w:r>
      <w:r>
        <w:rPr>
          <w:sz w:val="23"/>
        </w:rPr>
        <w:t>.</w:t>
      </w:r>
      <w:r>
        <w:rPr>
          <w:spacing w:val="-11"/>
          <w:sz w:val="23"/>
        </w:rPr>
        <w:t> </w:t>
      </w:r>
      <w:r>
        <w:rPr>
          <w:sz w:val="23"/>
        </w:rPr>
        <w:t>El</w:t>
      </w:r>
      <w:r>
        <w:rPr>
          <w:spacing w:val="-11"/>
          <w:sz w:val="23"/>
        </w:rPr>
        <w:t> </w:t>
      </w:r>
      <w:r>
        <w:rPr>
          <w:sz w:val="23"/>
        </w:rPr>
        <w:t>centralismo</w:t>
      </w:r>
      <w:r>
        <w:rPr>
          <w:spacing w:val="-11"/>
          <w:sz w:val="23"/>
        </w:rPr>
        <w:t> </w:t>
      </w:r>
      <w:r>
        <w:rPr>
          <w:sz w:val="23"/>
        </w:rPr>
        <w:t>normativo</w:t>
      </w:r>
      <w:r>
        <w:rPr>
          <w:spacing w:val="-11"/>
          <w:sz w:val="23"/>
        </w:rPr>
        <w:t> </w:t>
      </w:r>
      <w:r>
        <w:rPr>
          <w:sz w:val="23"/>
        </w:rPr>
        <w:t>y</w:t>
      </w:r>
      <w:r>
        <w:rPr>
          <w:spacing w:val="-11"/>
          <w:sz w:val="23"/>
        </w:rPr>
        <w:t> </w:t>
      </w:r>
      <w:r>
        <w:rPr>
          <w:sz w:val="23"/>
        </w:rPr>
        <w:t>financiero</w:t>
      </w:r>
      <w:r>
        <w:rPr>
          <w:spacing w:val="-11"/>
          <w:sz w:val="23"/>
        </w:rPr>
        <w:t> </w:t>
      </w:r>
      <w:r>
        <w:rPr>
          <w:sz w:val="23"/>
        </w:rPr>
        <w:t>afecta</w:t>
      </w:r>
      <w:r>
        <w:rPr>
          <w:spacing w:val="-11"/>
          <w:sz w:val="23"/>
        </w:rPr>
        <w:t> </w:t>
      </w:r>
      <w:r>
        <w:rPr>
          <w:sz w:val="23"/>
        </w:rPr>
        <w:t>principalmente a tres dependencias estatales (de un total de quince analizadas) cuya proporción entre los programas federales descentralizados y los de diseño</w:t>
      </w:r>
      <w:r>
        <w:rPr>
          <w:spacing w:val="-14"/>
          <w:sz w:val="23"/>
        </w:rPr>
        <w:t> </w:t>
      </w:r>
      <w:r>
        <w:rPr>
          <w:sz w:val="23"/>
        </w:rPr>
        <w:t>estatal</w:t>
      </w:r>
      <w:r>
        <w:rPr>
          <w:spacing w:val="-15"/>
          <w:sz w:val="23"/>
        </w:rPr>
        <w:t> </w:t>
      </w:r>
      <w:r>
        <w:rPr>
          <w:sz w:val="23"/>
        </w:rPr>
        <w:t>va</w:t>
      </w:r>
      <w:r>
        <w:rPr>
          <w:spacing w:val="-14"/>
          <w:sz w:val="23"/>
        </w:rPr>
        <w:t> </w:t>
      </w:r>
      <w:r>
        <w:rPr>
          <w:sz w:val="23"/>
        </w:rPr>
        <w:t>desde</w:t>
      </w:r>
      <w:r>
        <w:rPr>
          <w:spacing w:val="-14"/>
          <w:sz w:val="23"/>
        </w:rPr>
        <w:t> </w:t>
      </w:r>
      <w:r>
        <w:rPr>
          <w:sz w:val="23"/>
        </w:rPr>
        <w:t>la</w:t>
      </w:r>
      <w:r>
        <w:rPr>
          <w:spacing w:val="-14"/>
          <w:sz w:val="23"/>
        </w:rPr>
        <w:t> </w:t>
      </w:r>
      <w:r>
        <w:rPr>
          <w:sz w:val="23"/>
        </w:rPr>
        <w:t>superación</w:t>
      </w:r>
      <w:r>
        <w:rPr>
          <w:spacing w:val="-14"/>
          <w:sz w:val="23"/>
        </w:rPr>
        <w:t> </w:t>
      </w:r>
      <w:r>
        <w:rPr>
          <w:sz w:val="23"/>
        </w:rPr>
        <w:t>de</w:t>
      </w:r>
      <w:r>
        <w:rPr>
          <w:spacing w:val="-14"/>
          <w:sz w:val="23"/>
        </w:rPr>
        <w:t> </w:t>
      </w:r>
      <w:r>
        <w:rPr>
          <w:sz w:val="23"/>
        </w:rPr>
        <w:t>los</w:t>
      </w:r>
      <w:r>
        <w:rPr>
          <w:spacing w:val="-14"/>
          <w:sz w:val="23"/>
        </w:rPr>
        <w:t> </w:t>
      </w:r>
      <w:r>
        <w:rPr>
          <w:sz w:val="23"/>
        </w:rPr>
        <w:t>primeros</w:t>
      </w:r>
      <w:r>
        <w:rPr>
          <w:spacing w:val="-14"/>
          <w:sz w:val="23"/>
        </w:rPr>
        <w:t> </w:t>
      </w:r>
      <w:r>
        <w:rPr>
          <w:sz w:val="23"/>
        </w:rPr>
        <w:t>sobre</w:t>
      </w:r>
      <w:r>
        <w:rPr>
          <w:spacing w:val="-14"/>
          <w:sz w:val="23"/>
        </w:rPr>
        <w:t> </w:t>
      </w:r>
      <w:r>
        <w:rPr>
          <w:sz w:val="23"/>
        </w:rPr>
        <w:t>los</w:t>
      </w:r>
      <w:r>
        <w:rPr>
          <w:spacing w:val="-14"/>
          <w:sz w:val="23"/>
        </w:rPr>
        <w:t> </w:t>
      </w:r>
      <w:r>
        <w:rPr>
          <w:sz w:val="23"/>
        </w:rPr>
        <w:t>segundos hacia el equilibrio de ambos. Las dependencias y proporciones de programas federales-estatales son las siguientes: 29/0 en la Secretaría de Salud del Estado de Hidalgo, 3/2 en la Promotora de Vivienda del Estado de Hidalgo (PROVIH), y 6/6 en la Secretaría del Trabajo y Previsión Social del Estado de</w:t>
      </w:r>
      <w:r>
        <w:rPr>
          <w:spacing w:val="-22"/>
          <w:sz w:val="23"/>
        </w:rPr>
        <w:t> </w:t>
      </w:r>
      <w:r>
        <w:rPr>
          <w:sz w:val="23"/>
        </w:rPr>
        <w:t>Hidalgo.</w:t>
      </w:r>
    </w:p>
    <w:p>
      <w:pPr>
        <w:pStyle w:val="BodyText"/>
        <w:spacing w:before="7"/>
        <w:rPr>
          <w:sz w:val="22"/>
        </w:rPr>
      </w:pPr>
    </w:p>
    <w:p>
      <w:pPr>
        <w:pStyle w:val="ListParagraph"/>
        <w:numPr>
          <w:ilvl w:val="0"/>
          <w:numId w:val="15"/>
        </w:numPr>
        <w:tabs>
          <w:tab w:pos="678" w:val="left" w:leader="none"/>
        </w:tabs>
        <w:spacing w:line="260" w:lineRule="exact" w:before="0" w:after="0"/>
        <w:ind w:left="677" w:right="115" w:hanging="284"/>
        <w:jc w:val="both"/>
        <w:rPr>
          <w:sz w:val="23"/>
        </w:rPr>
      </w:pPr>
      <w:r>
        <w:rPr>
          <w:sz w:val="23"/>
        </w:rPr>
        <w:t>Con respecto a la </w:t>
      </w:r>
      <w:r>
        <w:rPr>
          <w:i/>
          <w:sz w:val="23"/>
        </w:rPr>
        <w:t>evaluación de las sociedades más simples para el </w:t>
      </w:r>
      <w:r>
        <w:rPr>
          <w:i/>
          <w:sz w:val="23"/>
        </w:rPr>
        <w:t>ejercicio</w:t>
      </w:r>
      <w:r>
        <w:rPr>
          <w:i/>
          <w:spacing w:val="-8"/>
          <w:sz w:val="23"/>
        </w:rPr>
        <w:t> </w:t>
      </w:r>
      <w:r>
        <w:rPr>
          <w:i/>
          <w:sz w:val="23"/>
        </w:rPr>
        <w:t>subsidiario</w:t>
      </w:r>
      <w:r>
        <w:rPr>
          <w:sz w:val="23"/>
        </w:rPr>
        <w:t>.</w:t>
      </w:r>
      <w:r>
        <w:rPr>
          <w:spacing w:val="-8"/>
          <w:sz w:val="23"/>
        </w:rPr>
        <w:t> </w:t>
      </w:r>
      <w:r>
        <w:rPr>
          <w:sz w:val="23"/>
        </w:rPr>
        <w:t>Se</w:t>
      </w:r>
      <w:r>
        <w:rPr>
          <w:spacing w:val="-8"/>
          <w:sz w:val="23"/>
        </w:rPr>
        <w:t> </w:t>
      </w:r>
      <w:r>
        <w:rPr>
          <w:sz w:val="23"/>
        </w:rPr>
        <w:t>confirma</w:t>
      </w:r>
      <w:r>
        <w:rPr>
          <w:spacing w:val="-8"/>
          <w:sz w:val="23"/>
        </w:rPr>
        <w:t> </w:t>
      </w:r>
      <w:r>
        <w:rPr>
          <w:sz w:val="23"/>
        </w:rPr>
        <w:t>la</w:t>
      </w:r>
      <w:r>
        <w:rPr>
          <w:spacing w:val="-8"/>
          <w:sz w:val="23"/>
        </w:rPr>
        <w:t> </w:t>
      </w:r>
      <w:r>
        <w:rPr>
          <w:sz w:val="23"/>
        </w:rPr>
        <w:t>tendencia</w:t>
      </w:r>
      <w:r>
        <w:rPr>
          <w:spacing w:val="-8"/>
          <w:sz w:val="23"/>
        </w:rPr>
        <w:t> </w:t>
      </w:r>
      <w:r>
        <w:rPr>
          <w:sz w:val="23"/>
        </w:rPr>
        <w:t>nacional</w:t>
      </w:r>
      <w:r>
        <w:rPr>
          <w:spacing w:val="-8"/>
          <w:sz w:val="23"/>
        </w:rPr>
        <w:t> </w:t>
      </w:r>
      <w:r>
        <w:rPr>
          <w:sz w:val="23"/>
        </w:rPr>
        <w:t>en</w:t>
      </w:r>
      <w:r>
        <w:rPr>
          <w:spacing w:val="-8"/>
          <w:sz w:val="23"/>
        </w:rPr>
        <w:t> </w:t>
      </w:r>
      <w:r>
        <w:rPr>
          <w:sz w:val="23"/>
        </w:rPr>
        <w:t>relación</w:t>
      </w:r>
      <w:r>
        <w:rPr>
          <w:spacing w:val="-8"/>
          <w:sz w:val="23"/>
        </w:rPr>
        <w:t> </w:t>
      </w:r>
      <w:r>
        <w:rPr>
          <w:sz w:val="23"/>
        </w:rPr>
        <w:t>a</w:t>
      </w:r>
      <w:r>
        <w:rPr>
          <w:spacing w:val="-8"/>
          <w:sz w:val="23"/>
        </w:rPr>
        <w:t> </w:t>
      </w:r>
      <w:r>
        <w:rPr>
          <w:sz w:val="23"/>
        </w:rPr>
        <w:t>la inexistencia de evaluaciones oficiales sobre las capacidades locales en materia</w:t>
      </w:r>
      <w:r>
        <w:rPr>
          <w:spacing w:val="-1"/>
          <w:sz w:val="23"/>
        </w:rPr>
        <w:t> </w:t>
      </w:r>
      <w:r>
        <w:rPr>
          <w:sz w:val="23"/>
        </w:rPr>
        <w:t>compensatoria.</w:t>
      </w:r>
    </w:p>
    <w:p>
      <w:pPr>
        <w:pStyle w:val="BodyText"/>
        <w:spacing w:before="7"/>
        <w:rPr>
          <w:sz w:val="22"/>
        </w:rPr>
      </w:pPr>
    </w:p>
    <w:p>
      <w:pPr>
        <w:pStyle w:val="ListParagraph"/>
        <w:numPr>
          <w:ilvl w:val="0"/>
          <w:numId w:val="15"/>
        </w:numPr>
        <w:tabs>
          <w:tab w:pos="678" w:val="left" w:leader="none"/>
        </w:tabs>
        <w:spacing w:line="260" w:lineRule="exact" w:before="0" w:after="0"/>
        <w:ind w:left="677" w:right="114" w:hanging="284"/>
        <w:jc w:val="both"/>
        <w:rPr>
          <w:sz w:val="23"/>
        </w:rPr>
      </w:pPr>
      <w:r>
        <w:rPr>
          <w:sz w:val="23"/>
        </w:rPr>
        <w:t>Sobre el </w:t>
      </w:r>
      <w:r>
        <w:rPr>
          <w:i/>
          <w:sz w:val="23"/>
        </w:rPr>
        <w:t>avance competencial de las sociedades más simples</w:t>
      </w:r>
      <w:r>
        <w:rPr>
          <w:sz w:val="23"/>
        </w:rPr>
        <w:t>. El ideal de que el gobierno estatal, bajo un paradigma de eficiencia, </w:t>
      </w:r>
      <w:r>
        <w:rPr>
          <w:i/>
          <w:sz w:val="23"/>
        </w:rPr>
        <w:t>diseñe e </w:t>
      </w:r>
      <w:r>
        <w:rPr>
          <w:i/>
          <w:sz w:val="23"/>
        </w:rPr>
        <w:t>implemente políticas redistributivas acordes a la realidad regional </w:t>
      </w:r>
      <w:r>
        <w:rPr>
          <w:sz w:val="23"/>
        </w:rPr>
        <w:t>presenta como problemas la duplicidad de programas entre depen- </w:t>
      </w:r>
      <w:r>
        <w:rPr>
          <w:spacing w:val="-5"/>
          <w:sz w:val="23"/>
        </w:rPr>
        <w:t>dencias estatales </w:t>
      </w:r>
      <w:r>
        <w:rPr>
          <w:sz w:val="23"/>
        </w:rPr>
        <w:t>y </w:t>
      </w:r>
      <w:r>
        <w:rPr>
          <w:spacing w:val="-3"/>
          <w:sz w:val="23"/>
        </w:rPr>
        <w:t>el </w:t>
      </w:r>
      <w:r>
        <w:rPr>
          <w:spacing w:val="-5"/>
          <w:sz w:val="23"/>
        </w:rPr>
        <w:t>desequilibrio </w:t>
      </w:r>
      <w:r>
        <w:rPr>
          <w:spacing w:val="-4"/>
          <w:sz w:val="23"/>
        </w:rPr>
        <w:t>entre </w:t>
      </w:r>
      <w:r>
        <w:rPr>
          <w:spacing w:val="-5"/>
          <w:sz w:val="23"/>
        </w:rPr>
        <w:t>acciones </w:t>
      </w:r>
      <w:r>
        <w:rPr>
          <w:spacing w:val="-3"/>
          <w:sz w:val="23"/>
        </w:rPr>
        <w:t>de </w:t>
      </w:r>
      <w:r>
        <w:rPr>
          <w:spacing w:val="-5"/>
          <w:sz w:val="23"/>
        </w:rPr>
        <w:t>capacidades, opor- </w:t>
      </w:r>
      <w:r>
        <w:rPr>
          <w:sz w:val="23"/>
        </w:rPr>
        <w:t>tunidades de  ingreso,  patrimonio  y  asistencia.  Sobre  el  primero,  se </w:t>
      </w:r>
      <w:r>
        <w:rPr>
          <w:spacing w:val="-3"/>
          <w:sz w:val="23"/>
        </w:rPr>
        <w:t>agrega </w:t>
      </w:r>
      <w:r>
        <w:rPr>
          <w:sz w:val="23"/>
        </w:rPr>
        <w:t>que las </w:t>
      </w:r>
      <w:r>
        <w:rPr>
          <w:spacing w:val="-3"/>
          <w:sz w:val="23"/>
        </w:rPr>
        <w:t>repeticiones </w:t>
      </w:r>
      <w:r>
        <w:rPr>
          <w:sz w:val="23"/>
        </w:rPr>
        <w:t>se dan en los </w:t>
      </w:r>
      <w:r>
        <w:rPr>
          <w:spacing w:val="-3"/>
          <w:sz w:val="23"/>
        </w:rPr>
        <w:t>rubros: bolsas </w:t>
      </w:r>
      <w:r>
        <w:rPr>
          <w:sz w:val="23"/>
        </w:rPr>
        <w:t>de </w:t>
      </w:r>
      <w:r>
        <w:rPr>
          <w:spacing w:val="-3"/>
          <w:sz w:val="23"/>
        </w:rPr>
        <w:t>trabajo, </w:t>
      </w:r>
      <w:r>
        <w:rPr>
          <w:sz w:val="23"/>
        </w:rPr>
        <w:t>servicios y apoyos médico asistenciales y de rehabilitación, servicios y apoyos para adultos mayores, servicios y apoyos para la mujer, becas de estudio, oportunidades de ingreso, capacitación laboral,  apoyos para escuelas, vivienda, y albergues para la población vulnerable. En cuanto al segundo aspecto problematizado, el número de programas presenta la siguiente ponderación: cuarenta y tres de asistencia, treinta y uno de capacidades, dieciocho de oportunidades de ingreso y dos de patrimonio.</w:t>
      </w:r>
      <w:r>
        <w:rPr>
          <w:spacing w:val="-14"/>
          <w:sz w:val="23"/>
        </w:rPr>
        <w:t> </w:t>
      </w:r>
      <w:r>
        <w:rPr>
          <w:sz w:val="23"/>
        </w:rPr>
        <w:t>Por</w:t>
      </w:r>
      <w:r>
        <w:rPr>
          <w:spacing w:val="-14"/>
          <w:sz w:val="23"/>
        </w:rPr>
        <w:t> </w:t>
      </w:r>
      <w:r>
        <w:rPr>
          <w:sz w:val="23"/>
        </w:rPr>
        <w:t>lo</w:t>
      </w:r>
      <w:r>
        <w:rPr>
          <w:spacing w:val="-15"/>
          <w:sz w:val="23"/>
        </w:rPr>
        <w:t> </w:t>
      </w:r>
      <w:r>
        <w:rPr>
          <w:sz w:val="23"/>
        </w:rPr>
        <w:t>anterior,</w:t>
      </w:r>
      <w:r>
        <w:rPr>
          <w:spacing w:val="-15"/>
          <w:sz w:val="23"/>
        </w:rPr>
        <w:t> </w:t>
      </w:r>
      <w:r>
        <w:rPr>
          <w:sz w:val="23"/>
        </w:rPr>
        <w:t>queda</w:t>
      </w:r>
      <w:r>
        <w:rPr>
          <w:spacing w:val="-15"/>
          <w:sz w:val="23"/>
        </w:rPr>
        <w:t> </w:t>
      </w:r>
      <w:r>
        <w:rPr>
          <w:sz w:val="23"/>
        </w:rPr>
        <w:t>claro</w:t>
      </w:r>
      <w:r>
        <w:rPr>
          <w:spacing w:val="-15"/>
          <w:sz w:val="23"/>
        </w:rPr>
        <w:t> </w:t>
      </w:r>
      <w:r>
        <w:rPr>
          <w:sz w:val="23"/>
        </w:rPr>
        <w:t>que</w:t>
      </w:r>
      <w:r>
        <w:rPr>
          <w:spacing w:val="-15"/>
          <w:sz w:val="23"/>
        </w:rPr>
        <w:t> </w:t>
      </w:r>
      <w:r>
        <w:rPr>
          <w:sz w:val="23"/>
        </w:rPr>
        <w:t>la</w:t>
      </w:r>
      <w:r>
        <w:rPr>
          <w:spacing w:val="-14"/>
          <w:sz w:val="23"/>
        </w:rPr>
        <w:t> </w:t>
      </w:r>
      <w:r>
        <w:rPr>
          <w:i/>
          <w:sz w:val="23"/>
        </w:rPr>
        <w:t>política</w:t>
      </w:r>
      <w:r>
        <w:rPr>
          <w:i/>
          <w:spacing w:val="-14"/>
          <w:sz w:val="23"/>
        </w:rPr>
        <w:t> </w:t>
      </w:r>
      <w:r>
        <w:rPr>
          <w:i/>
          <w:sz w:val="23"/>
        </w:rPr>
        <w:t>de</w:t>
      </w:r>
      <w:r>
        <w:rPr>
          <w:i/>
          <w:spacing w:val="-15"/>
          <w:sz w:val="23"/>
        </w:rPr>
        <w:t> </w:t>
      </w:r>
      <w:r>
        <w:rPr>
          <w:i/>
          <w:sz w:val="23"/>
        </w:rPr>
        <w:t>alto</w:t>
      </w:r>
      <w:r>
        <w:rPr>
          <w:i/>
          <w:spacing w:val="-15"/>
          <w:sz w:val="23"/>
        </w:rPr>
        <w:t> </w:t>
      </w:r>
      <w:r>
        <w:rPr>
          <w:i/>
          <w:sz w:val="23"/>
        </w:rPr>
        <w:t>contenido </w:t>
      </w:r>
      <w:r>
        <w:rPr>
          <w:i/>
          <w:sz w:val="23"/>
        </w:rPr>
        <w:t>político </w:t>
      </w:r>
      <w:r>
        <w:rPr>
          <w:sz w:val="23"/>
        </w:rPr>
        <w:t>que ha diseñado el gobierno estatal es un asistencialismo agravado</w:t>
      </w:r>
      <w:r>
        <w:rPr>
          <w:spacing w:val="-10"/>
          <w:sz w:val="23"/>
        </w:rPr>
        <w:t> </w:t>
      </w:r>
      <w:r>
        <w:rPr>
          <w:sz w:val="23"/>
        </w:rPr>
        <w:t>por</w:t>
      </w:r>
      <w:r>
        <w:rPr>
          <w:spacing w:val="-10"/>
          <w:sz w:val="23"/>
        </w:rPr>
        <w:t> </w:t>
      </w:r>
      <w:r>
        <w:rPr>
          <w:sz w:val="23"/>
        </w:rPr>
        <w:t>una</w:t>
      </w:r>
      <w:r>
        <w:rPr>
          <w:spacing w:val="-10"/>
          <w:sz w:val="23"/>
        </w:rPr>
        <w:t> </w:t>
      </w:r>
      <w:r>
        <w:rPr>
          <w:sz w:val="23"/>
        </w:rPr>
        <w:t>mala</w:t>
      </w:r>
      <w:r>
        <w:rPr>
          <w:spacing w:val="-10"/>
          <w:sz w:val="23"/>
        </w:rPr>
        <w:t> </w:t>
      </w:r>
      <w:r>
        <w:rPr>
          <w:sz w:val="23"/>
        </w:rPr>
        <w:t>focalización</w:t>
      </w:r>
      <w:r>
        <w:rPr>
          <w:spacing w:val="-10"/>
          <w:sz w:val="23"/>
        </w:rPr>
        <w:t> </w:t>
      </w:r>
      <w:r>
        <w:rPr>
          <w:sz w:val="23"/>
        </w:rPr>
        <w:t>e</w:t>
      </w:r>
      <w:r>
        <w:rPr>
          <w:spacing w:val="-10"/>
          <w:sz w:val="23"/>
        </w:rPr>
        <w:t> </w:t>
      </w:r>
      <w:r>
        <w:rPr>
          <w:sz w:val="23"/>
        </w:rPr>
        <w:t>incluso</w:t>
      </w:r>
      <w:r>
        <w:rPr>
          <w:spacing w:val="-10"/>
          <w:sz w:val="23"/>
        </w:rPr>
        <w:t> </w:t>
      </w:r>
      <w:r>
        <w:rPr>
          <w:sz w:val="23"/>
        </w:rPr>
        <w:t>con</w:t>
      </w:r>
      <w:r>
        <w:rPr>
          <w:spacing w:val="-10"/>
          <w:sz w:val="23"/>
        </w:rPr>
        <w:t> </w:t>
      </w:r>
      <w:r>
        <w:rPr>
          <w:sz w:val="23"/>
        </w:rPr>
        <w:t>la</w:t>
      </w:r>
      <w:r>
        <w:rPr>
          <w:spacing w:val="-10"/>
          <w:sz w:val="23"/>
        </w:rPr>
        <w:t> </w:t>
      </w:r>
      <w:r>
        <w:rPr>
          <w:sz w:val="23"/>
        </w:rPr>
        <w:t>pretensión</w:t>
      </w:r>
      <w:r>
        <w:rPr>
          <w:spacing w:val="-10"/>
          <w:sz w:val="23"/>
        </w:rPr>
        <w:t> </w:t>
      </w:r>
      <w:r>
        <w:rPr>
          <w:sz w:val="23"/>
        </w:rPr>
        <w:t>de</w:t>
      </w:r>
      <w:r>
        <w:rPr>
          <w:spacing w:val="-10"/>
          <w:sz w:val="23"/>
        </w:rPr>
        <w:t> </w:t>
      </w:r>
      <w:r>
        <w:rPr>
          <w:sz w:val="23"/>
        </w:rPr>
        <w:t>hacer</w:t>
      </w:r>
    </w:p>
    <w:p>
      <w:pPr>
        <w:spacing w:after="0" w:line="260" w:lineRule="exact"/>
        <w:jc w:val="both"/>
        <w:rPr>
          <w:sz w:val="23"/>
        </w:rPr>
        <w:sectPr>
          <w:pgSz w:w="9360" w:h="13040"/>
          <w:pgMar w:header="547" w:footer="515" w:top="720" w:bottom="700" w:left="740" w:right="1300"/>
        </w:sectPr>
      </w:pPr>
    </w:p>
    <w:p>
      <w:pPr>
        <w:pStyle w:val="BodyText"/>
        <w:spacing w:before="11"/>
        <w:rPr>
          <w:sz w:val="29"/>
        </w:rPr>
      </w:pPr>
    </w:p>
    <w:p>
      <w:pPr>
        <w:pStyle w:val="BodyText"/>
        <w:spacing w:line="260" w:lineRule="exact" w:before="77"/>
        <w:ind w:left="684" w:right="100"/>
        <w:jc w:val="both"/>
      </w:pPr>
      <w:r>
        <w:rPr/>
        <w:t>universales algunos apoyos, tales son los casos del </w:t>
      </w:r>
      <w:r>
        <w:rPr>
          <w:i/>
        </w:rPr>
        <w:t>programa integral </w:t>
      </w:r>
      <w:r>
        <w:rPr>
          <w:i/>
        </w:rPr>
        <w:t>de alimentación </w:t>
      </w:r>
      <w:r>
        <w:rPr/>
        <w:t>(PIA, distribución de despensas, sistema DIF estatal) y de la </w:t>
      </w:r>
      <w:r>
        <w:rPr>
          <w:i/>
        </w:rPr>
        <w:t>entrega de útiles escolares </w:t>
      </w:r>
      <w:r>
        <w:rPr/>
        <w:t>(distribución de paquetes de útiles para estudiantes de educación preescolar, primaria y secundaria, SEP Hidalgo).</w:t>
      </w:r>
      <w:r>
        <w:rPr>
          <w:spacing w:val="-6"/>
        </w:rPr>
        <w:t> </w:t>
      </w:r>
      <w:r>
        <w:rPr/>
        <w:t>En</w:t>
      </w:r>
      <w:r>
        <w:rPr>
          <w:spacing w:val="-6"/>
        </w:rPr>
        <w:t> </w:t>
      </w:r>
      <w:r>
        <w:rPr/>
        <w:t>contraste,</w:t>
      </w:r>
      <w:r>
        <w:rPr>
          <w:spacing w:val="-7"/>
        </w:rPr>
        <w:t> </w:t>
      </w:r>
      <w:r>
        <w:rPr/>
        <w:t>las</w:t>
      </w:r>
      <w:r>
        <w:rPr>
          <w:spacing w:val="-6"/>
        </w:rPr>
        <w:t> </w:t>
      </w:r>
      <w:r>
        <w:rPr/>
        <w:t>acciones</w:t>
      </w:r>
      <w:r>
        <w:rPr>
          <w:spacing w:val="-7"/>
        </w:rPr>
        <w:t> </w:t>
      </w:r>
      <w:r>
        <w:rPr/>
        <w:t>de</w:t>
      </w:r>
      <w:r>
        <w:rPr>
          <w:spacing w:val="-6"/>
        </w:rPr>
        <w:t> </w:t>
      </w:r>
      <w:r>
        <w:rPr/>
        <w:t>patrimonio</w:t>
      </w:r>
      <w:r>
        <w:rPr>
          <w:spacing w:val="-6"/>
        </w:rPr>
        <w:t> </w:t>
      </w:r>
      <w:r>
        <w:rPr/>
        <w:t>son</w:t>
      </w:r>
      <w:r>
        <w:rPr>
          <w:spacing w:val="-6"/>
        </w:rPr>
        <w:t> </w:t>
      </w:r>
      <w:r>
        <w:rPr/>
        <w:t>mínimas</w:t>
      </w:r>
      <w:r>
        <w:rPr>
          <w:spacing w:val="-7"/>
        </w:rPr>
        <w:t> </w:t>
      </w:r>
      <w:r>
        <w:rPr/>
        <w:t>y</w:t>
      </w:r>
      <w:r>
        <w:rPr>
          <w:spacing w:val="-6"/>
        </w:rPr>
        <w:t> </w:t>
      </w:r>
      <w:r>
        <w:rPr/>
        <w:t>están desvinculadas, de igual forma, las oportunidades de ingreso guardan una proporción del 41% respecto a las acciones asistenciales y no muestran</w:t>
      </w:r>
      <w:r>
        <w:rPr>
          <w:spacing w:val="-6"/>
        </w:rPr>
        <w:t> </w:t>
      </w:r>
      <w:r>
        <w:rPr/>
        <w:t>una</w:t>
      </w:r>
      <w:r>
        <w:rPr>
          <w:spacing w:val="-6"/>
        </w:rPr>
        <w:t> </w:t>
      </w:r>
      <w:r>
        <w:rPr/>
        <w:t>proporción</w:t>
      </w:r>
      <w:r>
        <w:rPr>
          <w:spacing w:val="-5"/>
        </w:rPr>
        <w:t> </w:t>
      </w:r>
      <w:r>
        <w:rPr/>
        <w:t>equilibrada</w:t>
      </w:r>
      <w:r>
        <w:rPr>
          <w:spacing w:val="-6"/>
        </w:rPr>
        <w:t> </w:t>
      </w:r>
      <w:r>
        <w:rPr/>
        <w:t>con</w:t>
      </w:r>
      <w:r>
        <w:rPr>
          <w:spacing w:val="-6"/>
        </w:rPr>
        <w:t> </w:t>
      </w:r>
      <w:r>
        <w:rPr/>
        <w:t>los</w:t>
      </w:r>
      <w:r>
        <w:rPr>
          <w:spacing w:val="-5"/>
        </w:rPr>
        <w:t> </w:t>
      </w:r>
      <w:r>
        <w:rPr/>
        <w:t>esquemas</w:t>
      </w:r>
      <w:r>
        <w:rPr>
          <w:spacing w:val="-6"/>
        </w:rPr>
        <w:t> </w:t>
      </w:r>
      <w:r>
        <w:rPr/>
        <w:t>de</w:t>
      </w:r>
      <w:r>
        <w:rPr>
          <w:spacing w:val="-6"/>
        </w:rPr>
        <w:t> </w:t>
      </w:r>
      <w:r>
        <w:rPr/>
        <w:t>capacidades.</w:t>
      </w:r>
    </w:p>
    <w:p>
      <w:pPr>
        <w:pStyle w:val="BodyText"/>
        <w:spacing w:before="7"/>
        <w:rPr>
          <w:sz w:val="22"/>
        </w:rPr>
      </w:pPr>
    </w:p>
    <w:p>
      <w:pPr>
        <w:pStyle w:val="BodyText"/>
        <w:spacing w:line="260" w:lineRule="exact"/>
        <w:ind w:left="117" w:right="100"/>
        <w:jc w:val="both"/>
      </w:pPr>
      <w:r>
        <w:rPr>
          <w:spacing w:val="2"/>
        </w:rPr>
        <w:t>El </w:t>
      </w:r>
      <w:r>
        <w:rPr>
          <w:spacing w:val="4"/>
        </w:rPr>
        <w:t>resultado según </w:t>
      </w:r>
      <w:r>
        <w:rPr>
          <w:spacing w:val="2"/>
        </w:rPr>
        <w:t>la </w:t>
      </w:r>
      <w:r>
        <w:rPr>
          <w:spacing w:val="4"/>
        </w:rPr>
        <w:t>escala </w:t>
      </w:r>
      <w:r>
        <w:rPr>
          <w:spacing w:val="2"/>
        </w:rPr>
        <w:t>de </w:t>
      </w:r>
      <w:r>
        <w:rPr>
          <w:spacing w:val="4"/>
        </w:rPr>
        <w:t>evaluación </w:t>
      </w:r>
      <w:r>
        <w:rPr>
          <w:spacing w:val="2"/>
        </w:rPr>
        <w:t>de la </w:t>
      </w:r>
      <w:r>
        <w:rPr>
          <w:i/>
          <w:spacing w:val="3"/>
        </w:rPr>
        <w:t>coordinación </w:t>
      </w:r>
      <w:r>
        <w:rPr>
          <w:i/>
          <w:spacing w:val="4"/>
        </w:rPr>
        <w:t>estatal </w:t>
      </w:r>
      <w:r>
        <w:rPr>
          <w:i/>
          <w:spacing w:val="5"/>
        </w:rPr>
        <w:t>de </w:t>
      </w:r>
      <w:r>
        <w:rPr>
          <w:i/>
          <w:spacing w:val="3"/>
        </w:rPr>
        <w:t>las </w:t>
      </w:r>
      <w:r>
        <w:rPr>
          <w:i/>
          <w:spacing w:val="4"/>
        </w:rPr>
        <w:t>políticas redistributivas </w:t>
      </w:r>
      <w:r>
        <w:rPr>
          <w:spacing w:val="2"/>
        </w:rPr>
        <w:t>es de </w:t>
      </w:r>
      <w:r>
        <w:rPr>
          <w:spacing w:val="4"/>
        </w:rPr>
        <w:t>4.75, </w:t>
      </w:r>
      <w:r>
        <w:rPr>
          <w:spacing w:val="2"/>
        </w:rPr>
        <w:t>lo </w:t>
      </w:r>
      <w:r>
        <w:rPr>
          <w:spacing w:val="3"/>
        </w:rPr>
        <w:t>cual </w:t>
      </w:r>
      <w:r>
        <w:rPr>
          <w:spacing w:val="4"/>
        </w:rPr>
        <w:t>coloca </w:t>
      </w:r>
      <w:r>
        <w:rPr/>
        <w:t>a </w:t>
      </w:r>
      <w:r>
        <w:rPr>
          <w:spacing w:val="2"/>
        </w:rPr>
        <w:t>la </w:t>
      </w:r>
      <w:r>
        <w:rPr>
          <w:spacing w:val="4"/>
        </w:rPr>
        <w:t>entidad </w:t>
      </w:r>
      <w:r>
        <w:rPr>
          <w:spacing w:val="5"/>
        </w:rPr>
        <w:t>por </w:t>
      </w:r>
      <w:r>
        <w:rPr>
          <w:spacing w:val="4"/>
        </w:rPr>
        <w:t>encima </w:t>
      </w:r>
      <w:r>
        <w:rPr>
          <w:spacing w:val="2"/>
        </w:rPr>
        <w:t>de la </w:t>
      </w:r>
      <w:r>
        <w:rPr>
          <w:spacing w:val="4"/>
        </w:rPr>
        <w:t>media lograda </w:t>
      </w:r>
      <w:r>
        <w:rPr>
          <w:spacing w:val="2"/>
        </w:rPr>
        <w:t>en </w:t>
      </w:r>
      <w:r>
        <w:rPr>
          <w:spacing w:val="4"/>
        </w:rPr>
        <w:t>investigaciones anteriores (2.16). </w:t>
      </w:r>
      <w:r>
        <w:rPr>
          <w:spacing w:val="2"/>
        </w:rPr>
        <w:t>En </w:t>
      </w:r>
      <w:r>
        <w:rPr>
          <w:spacing w:val="5"/>
        </w:rPr>
        <w:t>con- </w:t>
      </w:r>
      <w:r>
        <w:rPr>
          <w:spacing w:val="4"/>
        </w:rPr>
        <w:t>secuencia, </w:t>
      </w:r>
      <w:r>
        <w:rPr>
          <w:spacing w:val="2"/>
        </w:rPr>
        <w:t>el </w:t>
      </w:r>
      <w:r>
        <w:rPr>
          <w:spacing w:val="4"/>
        </w:rPr>
        <w:t>desempeño </w:t>
      </w:r>
      <w:r>
        <w:rPr>
          <w:spacing w:val="3"/>
        </w:rPr>
        <w:t>del </w:t>
      </w:r>
      <w:r>
        <w:rPr>
          <w:spacing w:val="4"/>
        </w:rPr>
        <w:t>gobierno </w:t>
      </w:r>
      <w:r>
        <w:rPr>
          <w:spacing w:val="3"/>
        </w:rPr>
        <w:t>del </w:t>
      </w:r>
      <w:r>
        <w:rPr>
          <w:spacing w:val="4"/>
        </w:rPr>
        <w:t>Estado </w:t>
      </w:r>
      <w:r>
        <w:rPr>
          <w:spacing w:val="2"/>
        </w:rPr>
        <w:t>de </w:t>
      </w:r>
      <w:r>
        <w:rPr>
          <w:spacing w:val="4"/>
        </w:rPr>
        <w:t>Hidalgo </w:t>
      </w:r>
      <w:r>
        <w:rPr>
          <w:spacing w:val="2"/>
        </w:rPr>
        <w:t>en </w:t>
      </w:r>
      <w:r>
        <w:rPr>
          <w:spacing w:val="5"/>
        </w:rPr>
        <w:t>materia </w:t>
      </w:r>
      <w:r>
        <w:rPr>
          <w:spacing w:val="4"/>
        </w:rPr>
        <w:t>compensatoria proyecta </w:t>
      </w:r>
      <w:r>
        <w:rPr>
          <w:spacing w:val="3"/>
        </w:rPr>
        <w:t>las </w:t>
      </w:r>
      <w:r>
        <w:rPr>
          <w:spacing w:val="4"/>
        </w:rPr>
        <w:t>siguientes fortalezas</w:t>
      </w:r>
      <w:r>
        <w:rPr>
          <w:spacing w:val="62"/>
        </w:rPr>
        <w:t> </w:t>
      </w:r>
      <w:r>
        <w:rPr>
          <w:spacing w:val="5"/>
        </w:rPr>
        <w:t>subsidiarias:</w:t>
      </w:r>
    </w:p>
    <w:p>
      <w:pPr>
        <w:pStyle w:val="BodyText"/>
        <w:spacing w:before="7"/>
        <w:rPr>
          <w:sz w:val="22"/>
        </w:rPr>
      </w:pPr>
    </w:p>
    <w:p>
      <w:pPr>
        <w:pStyle w:val="ListParagraph"/>
        <w:numPr>
          <w:ilvl w:val="1"/>
          <w:numId w:val="15"/>
        </w:numPr>
        <w:tabs>
          <w:tab w:pos="685" w:val="left" w:leader="none"/>
        </w:tabs>
        <w:spacing w:line="260" w:lineRule="exact" w:before="0" w:after="0"/>
        <w:ind w:left="684" w:right="104" w:hanging="284"/>
        <w:jc w:val="both"/>
        <w:rPr>
          <w:sz w:val="23"/>
        </w:rPr>
      </w:pPr>
      <w:r>
        <w:rPr>
          <w:sz w:val="23"/>
        </w:rPr>
        <w:t>Si bien la asociación estratégica basada en la política social no alcanza eficientemente una integración general de dependencias involucradas, existen otras formas particulares de coordinación que dan cuenta de  las capacidades asociativas fragmentadas de algunas  dependencias. Las variantes referidas y las principales dependencias involucradas en ellas son las siguientes: 1) algunas dependencias convocan a otras para que participen en la implementación de sus estrategias y programas, como lo hace con mayores alcances el Instituto Hidalguense de </w:t>
      </w:r>
      <w:r>
        <w:rPr>
          <w:spacing w:val="2"/>
          <w:sz w:val="23"/>
        </w:rPr>
        <w:t>las</w:t>
      </w:r>
      <w:r>
        <w:rPr>
          <w:spacing w:val="61"/>
          <w:sz w:val="23"/>
        </w:rPr>
        <w:t> </w:t>
      </w:r>
      <w:r>
        <w:rPr>
          <w:sz w:val="23"/>
        </w:rPr>
        <w:t>Mujeres; y 2) otro organismo constituye un modelo de integración funcional</w:t>
      </w:r>
      <w:r>
        <w:rPr>
          <w:spacing w:val="-8"/>
          <w:sz w:val="23"/>
        </w:rPr>
        <w:t> </w:t>
      </w:r>
      <w:r>
        <w:rPr>
          <w:sz w:val="23"/>
        </w:rPr>
        <w:t>público-privado</w:t>
      </w:r>
      <w:r>
        <w:rPr>
          <w:spacing w:val="-8"/>
          <w:sz w:val="23"/>
        </w:rPr>
        <w:t> </w:t>
      </w:r>
      <w:r>
        <w:rPr>
          <w:sz w:val="23"/>
        </w:rPr>
        <w:t>en</w:t>
      </w:r>
      <w:r>
        <w:rPr>
          <w:spacing w:val="-8"/>
          <w:sz w:val="23"/>
        </w:rPr>
        <w:t> </w:t>
      </w:r>
      <w:r>
        <w:rPr>
          <w:sz w:val="23"/>
        </w:rPr>
        <w:t>materia</w:t>
      </w:r>
      <w:r>
        <w:rPr>
          <w:spacing w:val="-8"/>
          <w:sz w:val="23"/>
        </w:rPr>
        <w:t> </w:t>
      </w:r>
      <w:r>
        <w:rPr>
          <w:sz w:val="23"/>
        </w:rPr>
        <w:t>de</w:t>
      </w:r>
      <w:r>
        <w:rPr>
          <w:spacing w:val="-8"/>
          <w:sz w:val="23"/>
        </w:rPr>
        <w:t> </w:t>
      </w:r>
      <w:r>
        <w:rPr>
          <w:sz w:val="23"/>
        </w:rPr>
        <w:t>política</w:t>
      </w:r>
      <w:r>
        <w:rPr>
          <w:spacing w:val="-8"/>
          <w:sz w:val="23"/>
        </w:rPr>
        <w:t> </w:t>
      </w:r>
      <w:r>
        <w:rPr>
          <w:sz w:val="23"/>
        </w:rPr>
        <w:t>redistributiva,</w:t>
      </w:r>
      <w:r>
        <w:rPr>
          <w:spacing w:val="-8"/>
          <w:sz w:val="23"/>
        </w:rPr>
        <w:t> </w:t>
      </w:r>
      <w:r>
        <w:rPr>
          <w:spacing w:val="2"/>
          <w:sz w:val="23"/>
        </w:rPr>
        <w:t>además </w:t>
      </w:r>
      <w:r>
        <w:rPr>
          <w:sz w:val="23"/>
        </w:rPr>
        <w:t>de que participa voluntariamente en ámbitos intergubernamentales especializados para ese modelo, rasgos propios de la Junta General de Asistencia Privada del Estado de </w:t>
      </w:r>
      <w:r>
        <w:rPr>
          <w:spacing w:val="26"/>
          <w:sz w:val="23"/>
        </w:rPr>
        <w:t> </w:t>
      </w:r>
      <w:r>
        <w:rPr>
          <w:sz w:val="23"/>
        </w:rPr>
        <w:t>Hidalgo.</w:t>
      </w:r>
    </w:p>
    <w:p>
      <w:pPr>
        <w:pStyle w:val="BodyText"/>
        <w:spacing w:before="7"/>
        <w:rPr>
          <w:sz w:val="22"/>
        </w:rPr>
      </w:pPr>
    </w:p>
    <w:p>
      <w:pPr>
        <w:pStyle w:val="ListParagraph"/>
        <w:numPr>
          <w:ilvl w:val="1"/>
          <w:numId w:val="15"/>
        </w:numPr>
        <w:tabs>
          <w:tab w:pos="685" w:val="left" w:leader="none"/>
        </w:tabs>
        <w:spacing w:line="260" w:lineRule="exact" w:before="0" w:after="0"/>
        <w:ind w:left="684" w:right="107" w:hanging="284"/>
        <w:jc w:val="both"/>
        <w:rPr>
          <w:sz w:val="23"/>
        </w:rPr>
      </w:pPr>
      <w:r>
        <w:rPr>
          <w:sz w:val="23"/>
        </w:rPr>
        <w:t>En doce de quince dependencias analizadas en el presente apartado,   la proporción entre los programas federales descentralizados y los     de diseño estatal se inclina hacia los últimos, evidenciando cierta capacidad de iniciativa en el diseño de programas sociales propios. En lo</w:t>
      </w:r>
      <w:r>
        <w:rPr>
          <w:spacing w:val="-19"/>
          <w:sz w:val="23"/>
        </w:rPr>
        <w:t> </w:t>
      </w:r>
      <w:r>
        <w:rPr>
          <w:sz w:val="23"/>
        </w:rPr>
        <w:t>general,</w:t>
      </w:r>
      <w:r>
        <w:rPr>
          <w:spacing w:val="-19"/>
          <w:sz w:val="23"/>
        </w:rPr>
        <w:t> </w:t>
      </w:r>
      <w:r>
        <w:rPr>
          <w:sz w:val="23"/>
        </w:rPr>
        <w:t>los</w:t>
      </w:r>
      <w:r>
        <w:rPr>
          <w:spacing w:val="-19"/>
          <w:sz w:val="23"/>
        </w:rPr>
        <w:t> </w:t>
      </w:r>
      <w:r>
        <w:rPr>
          <w:sz w:val="23"/>
        </w:rPr>
        <w:t>programas</w:t>
      </w:r>
      <w:r>
        <w:rPr>
          <w:spacing w:val="-19"/>
          <w:sz w:val="23"/>
        </w:rPr>
        <w:t> </w:t>
      </w:r>
      <w:r>
        <w:rPr>
          <w:sz w:val="23"/>
        </w:rPr>
        <w:t>federales</w:t>
      </w:r>
      <w:r>
        <w:rPr>
          <w:spacing w:val="-19"/>
          <w:sz w:val="23"/>
        </w:rPr>
        <w:t> </w:t>
      </w:r>
      <w:r>
        <w:rPr>
          <w:sz w:val="23"/>
        </w:rPr>
        <w:t>descentralizados</w:t>
      </w:r>
      <w:r>
        <w:rPr>
          <w:spacing w:val="-19"/>
          <w:sz w:val="23"/>
        </w:rPr>
        <w:t> </w:t>
      </w:r>
      <w:r>
        <w:rPr>
          <w:sz w:val="23"/>
        </w:rPr>
        <w:t>son</w:t>
      </w:r>
      <w:r>
        <w:rPr>
          <w:spacing w:val="-18"/>
          <w:sz w:val="23"/>
        </w:rPr>
        <w:t> </w:t>
      </w:r>
      <w:r>
        <w:rPr>
          <w:sz w:val="23"/>
        </w:rPr>
        <w:t>sesenta</w:t>
      </w:r>
      <w:r>
        <w:rPr>
          <w:spacing w:val="-18"/>
          <w:sz w:val="23"/>
        </w:rPr>
        <w:t> </w:t>
      </w:r>
      <w:r>
        <w:rPr>
          <w:sz w:val="23"/>
        </w:rPr>
        <w:t>y</w:t>
      </w:r>
      <w:r>
        <w:rPr>
          <w:spacing w:val="-19"/>
          <w:sz w:val="23"/>
        </w:rPr>
        <w:t> </w:t>
      </w:r>
      <w:r>
        <w:rPr>
          <w:sz w:val="23"/>
        </w:rPr>
        <w:t>cinco, mientras</w:t>
      </w:r>
      <w:r>
        <w:rPr>
          <w:spacing w:val="-6"/>
          <w:sz w:val="23"/>
        </w:rPr>
        <w:t> </w:t>
      </w:r>
      <w:r>
        <w:rPr>
          <w:sz w:val="23"/>
        </w:rPr>
        <w:t>que</w:t>
      </w:r>
      <w:r>
        <w:rPr>
          <w:spacing w:val="-6"/>
          <w:sz w:val="23"/>
        </w:rPr>
        <w:t> </w:t>
      </w:r>
      <w:r>
        <w:rPr>
          <w:sz w:val="23"/>
        </w:rPr>
        <w:t>los</w:t>
      </w:r>
      <w:r>
        <w:rPr>
          <w:spacing w:val="-6"/>
          <w:sz w:val="23"/>
        </w:rPr>
        <w:t> </w:t>
      </w:r>
      <w:r>
        <w:rPr>
          <w:sz w:val="23"/>
        </w:rPr>
        <w:t>de</w:t>
      </w:r>
      <w:r>
        <w:rPr>
          <w:spacing w:val="-6"/>
          <w:sz w:val="23"/>
        </w:rPr>
        <w:t> </w:t>
      </w:r>
      <w:r>
        <w:rPr>
          <w:sz w:val="23"/>
        </w:rPr>
        <w:t>diseño</w:t>
      </w:r>
      <w:r>
        <w:rPr>
          <w:spacing w:val="-6"/>
          <w:sz w:val="23"/>
        </w:rPr>
        <w:t> </w:t>
      </w:r>
      <w:r>
        <w:rPr>
          <w:sz w:val="23"/>
        </w:rPr>
        <w:t>estatal</w:t>
      </w:r>
      <w:r>
        <w:rPr>
          <w:spacing w:val="-6"/>
          <w:sz w:val="23"/>
        </w:rPr>
        <w:t> </w:t>
      </w:r>
      <w:r>
        <w:rPr>
          <w:sz w:val="23"/>
        </w:rPr>
        <w:t>llegan</w:t>
      </w:r>
      <w:r>
        <w:rPr>
          <w:spacing w:val="-6"/>
          <w:sz w:val="23"/>
        </w:rPr>
        <w:t> </w:t>
      </w:r>
      <w:r>
        <w:rPr>
          <w:sz w:val="23"/>
        </w:rPr>
        <w:t>a</w:t>
      </w:r>
      <w:r>
        <w:rPr>
          <w:spacing w:val="-6"/>
          <w:sz w:val="23"/>
        </w:rPr>
        <w:t> </w:t>
      </w:r>
      <w:r>
        <w:rPr>
          <w:sz w:val="23"/>
        </w:rPr>
        <w:t>noventa</w:t>
      </w:r>
      <w:r>
        <w:rPr>
          <w:spacing w:val="-6"/>
          <w:sz w:val="23"/>
        </w:rPr>
        <w:t> </w:t>
      </w:r>
      <w:r>
        <w:rPr>
          <w:sz w:val="23"/>
        </w:rPr>
        <w:t>y</w:t>
      </w:r>
      <w:r>
        <w:rPr>
          <w:spacing w:val="-6"/>
          <w:sz w:val="23"/>
        </w:rPr>
        <w:t> </w:t>
      </w:r>
      <w:r>
        <w:rPr>
          <w:sz w:val="23"/>
        </w:rPr>
        <w:t>cuatro.</w:t>
      </w:r>
      <w:r>
        <w:rPr>
          <w:spacing w:val="-6"/>
          <w:sz w:val="23"/>
        </w:rPr>
        <w:t> </w:t>
      </w:r>
      <w:r>
        <w:rPr>
          <w:sz w:val="23"/>
        </w:rPr>
        <w:t>En</w:t>
      </w:r>
      <w:r>
        <w:rPr>
          <w:spacing w:val="-6"/>
          <w:sz w:val="23"/>
        </w:rPr>
        <w:t> </w:t>
      </w:r>
      <w:r>
        <w:rPr>
          <w:sz w:val="23"/>
        </w:rPr>
        <w:t>función de las proporciones programáticas federal-estatal, las dependencias compensatorias</w:t>
      </w:r>
      <w:r>
        <w:rPr>
          <w:spacing w:val="-10"/>
          <w:sz w:val="23"/>
        </w:rPr>
        <w:t> </w:t>
      </w:r>
      <w:r>
        <w:rPr>
          <w:sz w:val="23"/>
        </w:rPr>
        <w:t>estatales</w:t>
      </w:r>
      <w:r>
        <w:rPr>
          <w:spacing w:val="-9"/>
          <w:sz w:val="23"/>
        </w:rPr>
        <w:t> </w:t>
      </w:r>
      <w:r>
        <w:rPr>
          <w:sz w:val="23"/>
        </w:rPr>
        <w:t>pueden</w:t>
      </w:r>
      <w:r>
        <w:rPr>
          <w:spacing w:val="-9"/>
          <w:sz w:val="23"/>
        </w:rPr>
        <w:t> </w:t>
      </w:r>
      <w:r>
        <w:rPr>
          <w:sz w:val="23"/>
        </w:rPr>
        <w:t>ponderarse</w:t>
      </w:r>
      <w:r>
        <w:rPr>
          <w:spacing w:val="-9"/>
          <w:sz w:val="23"/>
        </w:rPr>
        <w:t> </w:t>
      </w:r>
      <w:r>
        <w:rPr>
          <w:sz w:val="23"/>
        </w:rPr>
        <w:t>de</w:t>
      </w:r>
      <w:r>
        <w:rPr>
          <w:spacing w:val="-9"/>
          <w:sz w:val="23"/>
        </w:rPr>
        <w:t> </w:t>
      </w:r>
      <w:r>
        <w:rPr>
          <w:sz w:val="23"/>
        </w:rPr>
        <w:t>la</w:t>
      </w:r>
      <w:r>
        <w:rPr>
          <w:spacing w:val="-9"/>
          <w:sz w:val="23"/>
        </w:rPr>
        <w:t> </w:t>
      </w:r>
      <w:r>
        <w:rPr>
          <w:sz w:val="23"/>
        </w:rPr>
        <w:t>siguiente</w:t>
      </w:r>
      <w:r>
        <w:rPr>
          <w:spacing w:val="-8"/>
          <w:sz w:val="23"/>
        </w:rPr>
        <w:t> </w:t>
      </w:r>
      <w:r>
        <w:rPr>
          <w:sz w:val="23"/>
        </w:rPr>
        <w:t>forma:</w:t>
      </w:r>
      <w:r>
        <w:rPr>
          <w:spacing w:val="-9"/>
          <w:sz w:val="23"/>
        </w:rPr>
        <w:t> </w:t>
      </w:r>
      <w:r>
        <w:rPr>
          <w:sz w:val="23"/>
        </w:rPr>
        <w:t>1)</w:t>
      </w:r>
      <w:r>
        <w:rPr>
          <w:spacing w:val="-9"/>
          <w:sz w:val="23"/>
        </w:rPr>
        <w:t> </w:t>
      </w:r>
      <w:r>
        <w:rPr>
          <w:sz w:val="23"/>
        </w:rPr>
        <w:t>el Instituto</w:t>
      </w:r>
      <w:r>
        <w:rPr>
          <w:spacing w:val="-4"/>
          <w:sz w:val="23"/>
        </w:rPr>
        <w:t> </w:t>
      </w:r>
      <w:r>
        <w:rPr>
          <w:sz w:val="23"/>
        </w:rPr>
        <w:t>para</w:t>
      </w:r>
      <w:r>
        <w:rPr>
          <w:spacing w:val="-4"/>
          <w:sz w:val="23"/>
        </w:rPr>
        <w:t> </w:t>
      </w:r>
      <w:r>
        <w:rPr>
          <w:sz w:val="23"/>
        </w:rPr>
        <w:t>la</w:t>
      </w:r>
      <w:r>
        <w:rPr>
          <w:spacing w:val="-17"/>
          <w:sz w:val="23"/>
        </w:rPr>
        <w:t> </w:t>
      </w:r>
      <w:r>
        <w:rPr>
          <w:sz w:val="23"/>
        </w:rPr>
        <w:t>Atención</w:t>
      </w:r>
      <w:r>
        <w:rPr>
          <w:spacing w:val="-4"/>
          <w:sz w:val="23"/>
        </w:rPr>
        <w:t> </w:t>
      </w:r>
      <w:r>
        <w:rPr>
          <w:sz w:val="23"/>
        </w:rPr>
        <w:t>de</w:t>
      </w:r>
      <w:r>
        <w:rPr>
          <w:spacing w:val="-5"/>
          <w:sz w:val="23"/>
        </w:rPr>
        <w:t> </w:t>
      </w:r>
      <w:r>
        <w:rPr>
          <w:sz w:val="23"/>
        </w:rPr>
        <w:t>los</w:t>
      </w:r>
      <w:r>
        <w:rPr>
          <w:spacing w:val="-17"/>
          <w:sz w:val="23"/>
        </w:rPr>
        <w:t> </w:t>
      </w:r>
      <w:r>
        <w:rPr>
          <w:sz w:val="23"/>
        </w:rPr>
        <w:t>Adultos</w:t>
      </w:r>
      <w:r>
        <w:rPr>
          <w:spacing w:val="-4"/>
          <w:sz w:val="23"/>
        </w:rPr>
        <w:t> </w:t>
      </w:r>
      <w:r>
        <w:rPr>
          <w:sz w:val="23"/>
        </w:rPr>
        <w:t>Mayores</w:t>
      </w:r>
      <w:r>
        <w:rPr>
          <w:spacing w:val="-4"/>
          <w:sz w:val="23"/>
        </w:rPr>
        <w:t> </w:t>
      </w:r>
      <w:r>
        <w:rPr>
          <w:sz w:val="23"/>
        </w:rPr>
        <w:t>(0/23),</w:t>
      </w:r>
      <w:r>
        <w:rPr>
          <w:spacing w:val="-4"/>
          <w:sz w:val="23"/>
        </w:rPr>
        <w:t> </w:t>
      </w:r>
      <w:r>
        <w:rPr>
          <w:sz w:val="23"/>
        </w:rPr>
        <w:t>2)</w:t>
      </w:r>
      <w:r>
        <w:rPr>
          <w:spacing w:val="-5"/>
          <w:sz w:val="23"/>
        </w:rPr>
        <w:t> </w:t>
      </w:r>
      <w:r>
        <w:rPr>
          <w:sz w:val="23"/>
        </w:rPr>
        <w:t>el</w:t>
      </w:r>
      <w:r>
        <w:rPr>
          <w:spacing w:val="-5"/>
          <w:sz w:val="23"/>
        </w:rPr>
        <w:t> </w:t>
      </w:r>
      <w:r>
        <w:rPr>
          <w:sz w:val="23"/>
        </w:rPr>
        <w:t>Instituto Hidalguense</w:t>
      </w:r>
      <w:r>
        <w:rPr>
          <w:spacing w:val="-12"/>
          <w:sz w:val="23"/>
        </w:rPr>
        <w:t> </w:t>
      </w:r>
      <w:r>
        <w:rPr>
          <w:sz w:val="23"/>
        </w:rPr>
        <w:t>de</w:t>
      </w:r>
      <w:r>
        <w:rPr>
          <w:spacing w:val="-13"/>
          <w:sz w:val="23"/>
        </w:rPr>
        <w:t> </w:t>
      </w:r>
      <w:r>
        <w:rPr>
          <w:sz w:val="23"/>
        </w:rPr>
        <w:t>la</w:t>
      </w:r>
      <w:r>
        <w:rPr>
          <w:spacing w:val="-13"/>
          <w:sz w:val="23"/>
        </w:rPr>
        <w:t> </w:t>
      </w:r>
      <w:r>
        <w:rPr>
          <w:sz w:val="23"/>
        </w:rPr>
        <w:t>Juventud</w:t>
      </w:r>
      <w:r>
        <w:rPr>
          <w:spacing w:val="-13"/>
          <w:sz w:val="23"/>
        </w:rPr>
        <w:t> </w:t>
      </w:r>
      <w:r>
        <w:rPr>
          <w:sz w:val="23"/>
        </w:rPr>
        <w:t>(2/14),</w:t>
      </w:r>
      <w:r>
        <w:rPr>
          <w:spacing w:val="-13"/>
          <w:sz w:val="23"/>
        </w:rPr>
        <w:t> </w:t>
      </w:r>
      <w:r>
        <w:rPr>
          <w:sz w:val="23"/>
        </w:rPr>
        <w:t>3)</w:t>
      </w:r>
      <w:r>
        <w:rPr>
          <w:spacing w:val="-13"/>
          <w:sz w:val="23"/>
        </w:rPr>
        <w:t> </w:t>
      </w:r>
      <w:r>
        <w:rPr>
          <w:sz w:val="23"/>
        </w:rPr>
        <w:t>la</w:t>
      </w:r>
      <w:r>
        <w:rPr>
          <w:spacing w:val="-13"/>
          <w:sz w:val="23"/>
        </w:rPr>
        <w:t> </w:t>
      </w:r>
      <w:r>
        <w:rPr>
          <w:sz w:val="23"/>
        </w:rPr>
        <w:t>Secretaría</w:t>
      </w:r>
      <w:r>
        <w:rPr>
          <w:spacing w:val="-13"/>
          <w:sz w:val="23"/>
        </w:rPr>
        <w:t> </w:t>
      </w:r>
      <w:r>
        <w:rPr>
          <w:sz w:val="23"/>
        </w:rPr>
        <w:t>de</w:t>
      </w:r>
      <w:r>
        <w:rPr>
          <w:spacing w:val="-13"/>
          <w:sz w:val="23"/>
        </w:rPr>
        <w:t> </w:t>
      </w:r>
      <w:r>
        <w:rPr>
          <w:sz w:val="23"/>
        </w:rPr>
        <w:t>Desarrollo</w:t>
      </w:r>
      <w:r>
        <w:rPr>
          <w:spacing w:val="-13"/>
          <w:sz w:val="23"/>
        </w:rPr>
        <w:t> </w:t>
      </w:r>
      <w:r>
        <w:rPr>
          <w:sz w:val="23"/>
        </w:rPr>
        <w:t>Social</w:t>
      </w:r>
    </w:p>
    <w:p>
      <w:pPr>
        <w:spacing w:after="0" w:line="260" w:lineRule="exact"/>
        <w:jc w:val="both"/>
        <w:rPr>
          <w:sz w:val="23"/>
        </w:rPr>
        <w:sectPr>
          <w:pgSz w:w="9360" w:h="13040"/>
          <w:pgMar w:header="531"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677" w:right="114"/>
        <w:jc w:val="both"/>
      </w:pPr>
      <w:r>
        <w:rPr/>
        <w:t>del</w:t>
      </w:r>
      <w:r>
        <w:rPr>
          <w:spacing w:val="-11"/>
        </w:rPr>
        <w:t> </w:t>
      </w:r>
      <w:r>
        <w:rPr/>
        <w:t>Estado</w:t>
      </w:r>
      <w:r>
        <w:rPr>
          <w:spacing w:val="-12"/>
        </w:rPr>
        <w:t> </w:t>
      </w:r>
      <w:r>
        <w:rPr/>
        <w:t>de</w:t>
      </w:r>
      <w:r>
        <w:rPr>
          <w:spacing w:val="-11"/>
        </w:rPr>
        <w:t> </w:t>
      </w:r>
      <w:r>
        <w:rPr/>
        <w:t>Hidalgo</w:t>
      </w:r>
      <w:r>
        <w:rPr>
          <w:spacing w:val="-11"/>
        </w:rPr>
        <w:t> </w:t>
      </w:r>
      <w:r>
        <w:rPr/>
        <w:t>(3/16),</w:t>
      </w:r>
      <w:r>
        <w:rPr>
          <w:spacing w:val="-11"/>
        </w:rPr>
        <w:t> </w:t>
      </w:r>
      <w:r>
        <w:rPr/>
        <w:t>4)</w:t>
      </w:r>
      <w:r>
        <w:rPr>
          <w:spacing w:val="-11"/>
        </w:rPr>
        <w:t> </w:t>
      </w:r>
      <w:r>
        <w:rPr/>
        <w:t>el</w:t>
      </w:r>
      <w:r>
        <w:rPr>
          <w:spacing w:val="-11"/>
        </w:rPr>
        <w:t> </w:t>
      </w:r>
      <w:r>
        <w:rPr/>
        <w:t>Instituto</w:t>
      </w:r>
      <w:r>
        <w:rPr>
          <w:spacing w:val="-11"/>
        </w:rPr>
        <w:t> </w:t>
      </w:r>
      <w:r>
        <w:rPr/>
        <w:t>Hidalguense</w:t>
      </w:r>
      <w:r>
        <w:rPr>
          <w:spacing w:val="-11"/>
        </w:rPr>
        <w:t> </w:t>
      </w:r>
      <w:r>
        <w:rPr/>
        <w:t>de</w:t>
      </w:r>
      <w:r>
        <w:rPr>
          <w:spacing w:val="-11"/>
        </w:rPr>
        <w:t> </w:t>
      </w:r>
      <w:r>
        <w:rPr/>
        <w:t>las</w:t>
      </w:r>
      <w:r>
        <w:rPr>
          <w:spacing w:val="-12"/>
        </w:rPr>
        <w:t> </w:t>
      </w:r>
      <w:r>
        <w:rPr/>
        <w:t>Mujeres (1/4),</w:t>
      </w:r>
      <w:r>
        <w:rPr>
          <w:spacing w:val="-15"/>
        </w:rPr>
        <w:t> </w:t>
      </w:r>
      <w:r>
        <w:rPr/>
        <w:t>5)</w:t>
      </w:r>
      <w:r>
        <w:rPr>
          <w:spacing w:val="-15"/>
        </w:rPr>
        <w:t> </w:t>
      </w:r>
      <w:r>
        <w:rPr/>
        <w:t>la</w:t>
      </w:r>
      <w:r>
        <w:rPr>
          <w:spacing w:val="-15"/>
        </w:rPr>
        <w:t> </w:t>
      </w:r>
      <w:r>
        <w:rPr/>
        <w:t>Secretaría</w:t>
      </w:r>
      <w:r>
        <w:rPr>
          <w:spacing w:val="-15"/>
        </w:rPr>
        <w:t> </w:t>
      </w:r>
      <w:r>
        <w:rPr/>
        <w:t>de</w:t>
      </w:r>
      <w:r>
        <w:rPr>
          <w:spacing w:val="-15"/>
        </w:rPr>
        <w:t> </w:t>
      </w:r>
      <w:r>
        <w:rPr/>
        <w:t>Educación</w:t>
      </w:r>
      <w:r>
        <w:rPr>
          <w:spacing w:val="-16"/>
        </w:rPr>
        <w:t> </w:t>
      </w:r>
      <w:r>
        <w:rPr/>
        <w:t>Pública</w:t>
      </w:r>
      <w:r>
        <w:rPr>
          <w:spacing w:val="-15"/>
        </w:rPr>
        <w:t> </w:t>
      </w:r>
      <w:r>
        <w:rPr/>
        <w:t>del</w:t>
      </w:r>
      <w:r>
        <w:rPr>
          <w:spacing w:val="-15"/>
        </w:rPr>
        <w:t> </w:t>
      </w:r>
      <w:r>
        <w:rPr/>
        <w:t>Estado</w:t>
      </w:r>
      <w:r>
        <w:rPr>
          <w:spacing w:val="-16"/>
        </w:rPr>
        <w:t> </w:t>
      </w:r>
      <w:r>
        <w:rPr/>
        <w:t>de</w:t>
      </w:r>
      <w:r>
        <w:rPr>
          <w:spacing w:val="-15"/>
        </w:rPr>
        <w:t> </w:t>
      </w:r>
      <w:r>
        <w:rPr/>
        <w:t>Hidalgo</w:t>
      </w:r>
      <w:r>
        <w:rPr>
          <w:spacing w:val="-15"/>
        </w:rPr>
        <w:t> </w:t>
      </w:r>
      <w:r>
        <w:rPr/>
        <w:t>(3/4), y 6) el Sistema Estatal para el Desarrollo Integral de la Familia </w:t>
      </w:r>
      <w:r>
        <w:rPr>
          <w:spacing w:val="-4"/>
        </w:rPr>
        <w:t>(DIF, </w:t>
      </w:r>
      <w:r>
        <w:rPr/>
        <w:t>18/21). Destacan también seis entidades, organismos desconcentrados la mayoría de ellos, que desarrollan un solo esquema redistributivo bajo cierto grado de especialización: 7) el Centro Estatal de Lenguas y Cultura</w:t>
      </w:r>
      <w:r>
        <w:rPr>
          <w:spacing w:val="-19"/>
        </w:rPr>
        <w:t> </w:t>
      </w:r>
      <w:r>
        <w:rPr/>
        <w:t>Indígena,</w:t>
      </w:r>
      <w:r>
        <w:rPr>
          <w:spacing w:val="-19"/>
        </w:rPr>
        <w:t> </w:t>
      </w:r>
      <w:r>
        <w:rPr/>
        <w:t>8)</w:t>
      </w:r>
      <w:r>
        <w:rPr>
          <w:spacing w:val="-19"/>
        </w:rPr>
        <w:t> </w:t>
      </w:r>
      <w:r>
        <w:rPr/>
        <w:t>el</w:t>
      </w:r>
      <w:r>
        <w:rPr>
          <w:spacing w:val="-19"/>
        </w:rPr>
        <w:t> </w:t>
      </w:r>
      <w:r>
        <w:rPr/>
        <w:t>Bachillerato</w:t>
      </w:r>
      <w:r>
        <w:rPr>
          <w:spacing w:val="-19"/>
        </w:rPr>
        <w:t> </w:t>
      </w:r>
      <w:r>
        <w:rPr/>
        <w:t>del</w:t>
      </w:r>
      <w:r>
        <w:rPr>
          <w:spacing w:val="-19"/>
        </w:rPr>
        <w:t> </w:t>
      </w:r>
      <w:r>
        <w:rPr/>
        <w:t>Estado</w:t>
      </w:r>
      <w:r>
        <w:rPr>
          <w:spacing w:val="-19"/>
        </w:rPr>
        <w:t> </w:t>
      </w:r>
      <w:r>
        <w:rPr/>
        <w:t>de</w:t>
      </w:r>
      <w:r>
        <w:rPr>
          <w:spacing w:val="-19"/>
        </w:rPr>
        <w:t> </w:t>
      </w:r>
      <w:r>
        <w:rPr/>
        <w:t>Hidalgo,</w:t>
      </w:r>
      <w:r>
        <w:rPr>
          <w:spacing w:val="-18"/>
        </w:rPr>
        <w:t> </w:t>
      </w:r>
      <w:r>
        <w:rPr/>
        <w:t>9)</w:t>
      </w:r>
      <w:r>
        <w:rPr>
          <w:spacing w:val="-19"/>
        </w:rPr>
        <w:t> </w:t>
      </w:r>
      <w:r>
        <w:rPr/>
        <w:t>el</w:t>
      </w:r>
      <w:r>
        <w:rPr>
          <w:spacing w:val="-19"/>
        </w:rPr>
        <w:t> </w:t>
      </w:r>
      <w:r>
        <w:rPr/>
        <w:t>Instituto Hidalguense de Financiamiento a la Educación Superior (IHFES), 10) el Programa de Regularización de la </w:t>
      </w:r>
      <w:r>
        <w:rPr>
          <w:spacing w:val="-3"/>
        </w:rPr>
        <w:t>Tenencia </w:t>
      </w:r>
      <w:r>
        <w:rPr/>
        <w:t>de la Tierra del Estado de Hidalgo, </w:t>
      </w:r>
      <w:r>
        <w:rPr>
          <w:spacing w:val="-3"/>
        </w:rPr>
        <w:t>11) </w:t>
      </w:r>
      <w:r>
        <w:rPr/>
        <w:t>la Junta General de Asistencia Privada del Estado de Hidalgo (JGAPEH), y 12) el Instituto de Capacitación para el Trabajo del Estado de Hidalgo</w:t>
      </w:r>
      <w:r>
        <w:rPr>
          <w:spacing w:val="-6"/>
        </w:rPr>
        <w:t> </w:t>
      </w:r>
      <w:r>
        <w:rPr>
          <w:spacing w:val="-3"/>
        </w:rPr>
        <w:t>(ICATHI).</w:t>
      </w:r>
    </w:p>
    <w:p>
      <w:pPr>
        <w:pStyle w:val="BodyText"/>
        <w:spacing w:before="7"/>
        <w:rPr>
          <w:sz w:val="22"/>
        </w:rPr>
      </w:pPr>
    </w:p>
    <w:p>
      <w:pPr>
        <w:pStyle w:val="ListParagraph"/>
        <w:numPr>
          <w:ilvl w:val="1"/>
          <w:numId w:val="15"/>
        </w:numPr>
        <w:tabs>
          <w:tab w:pos="678" w:val="left" w:leader="none"/>
        </w:tabs>
        <w:spacing w:line="260" w:lineRule="exact" w:before="0" w:after="0"/>
        <w:ind w:left="677" w:right="114" w:hanging="284"/>
        <w:jc w:val="both"/>
        <w:rPr>
          <w:sz w:val="23"/>
        </w:rPr>
      </w:pPr>
      <w:r>
        <w:rPr>
          <w:sz w:val="23"/>
        </w:rPr>
        <w:t>Como</w:t>
      </w:r>
      <w:r>
        <w:rPr>
          <w:spacing w:val="-21"/>
          <w:sz w:val="23"/>
        </w:rPr>
        <w:t> </w:t>
      </w:r>
      <w:r>
        <w:rPr>
          <w:sz w:val="23"/>
        </w:rPr>
        <w:t>continuación</w:t>
      </w:r>
      <w:r>
        <w:rPr>
          <w:spacing w:val="-21"/>
          <w:sz w:val="23"/>
        </w:rPr>
        <w:t> </w:t>
      </w:r>
      <w:r>
        <w:rPr>
          <w:sz w:val="23"/>
        </w:rPr>
        <w:t>de</w:t>
      </w:r>
      <w:r>
        <w:rPr>
          <w:spacing w:val="-21"/>
          <w:sz w:val="23"/>
        </w:rPr>
        <w:t> </w:t>
      </w:r>
      <w:r>
        <w:rPr>
          <w:sz w:val="23"/>
        </w:rPr>
        <w:t>lo</w:t>
      </w:r>
      <w:r>
        <w:rPr>
          <w:spacing w:val="-21"/>
          <w:sz w:val="23"/>
        </w:rPr>
        <w:t> </w:t>
      </w:r>
      <w:r>
        <w:rPr>
          <w:sz w:val="23"/>
        </w:rPr>
        <w:t>expresado</w:t>
      </w:r>
      <w:r>
        <w:rPr>
          <w:spacing w:val="-21"/>
          <w:sz w:val="23"/>
        </w:rPr>
        <w:t> </w:t>
      </w:r>
      <w:r>
        <w:rPr>
          <w:sz w:val="23"/>
        </w:rPr>
        <w:t>en</w:t>
      </w:r>
      <w:r>
        <w:rPr>
          <w:spacing w:val="-21"/>
          <w:sz w:val="23"/>
        </w:rPr>
        <w:t> </w:t>
      </w:r>
      <w:r>
        <w:rPr>
          <w:sz w:val="23"/>
        </w:rPr>
        <w:t>el</w:t>
      </w:r>
      <w:r>
        <w:rPr>
          <w:spacing w:val="-21"/>
          <w:sz w:val="23"/>
        </w:rPr>
        <w:t> </w:t>
      </w:r>
      <w:r>
        <w:rPr>
          <w:sz w:val="23"/>
        </w:rPr>
        <w:t>inciso</w:t>
      </w:r>
      <w:r>
        <w:rPr>
          <w:spacing w:val="-21"/>
          <w:sz w:val="23"/>
        </w:rPr>
        <w:t> </w:t>
      </w:r>
      <w:r>
        <w:rPr>
          <w:sz w:val="23"/>
        </w:rPr>
        <w:t>anterior,</w:t>
      </w:r>
      <w:r>
        <w:rPr>
          <w:spacing w:val="-21"/>
          <w:sz w:val="23"/>
        </w:rPr>
        <w:t> </w:t>
      </w:r>
      <w:r>
        <w:rPr>
          <w:sz w:val="23"/>
        </w:rPr>
        <w:t>para</w:t>
      </w:r>
      <w:r>
        <w:rPr>
          <w:spacing w:val="-21"/>
          <w:sz w:val="23"/>
        </w:rPr>
        <w:t> </w:t>
      </w:r>
      <w:r>
        <w:rPr>
          <w:sz w:val="23"/>
        </w:rPr>
        <w:t>evidenciar así la capacitación como un elemento  creciente  y  más  consistente que el asistencialismo en la política social hidalguense, destacan las dependencias y las líneas de acción que a continuación se señalan: 1) el Instituto para la Atención de los Adultos Mayores ha proyectado    la especialización de la  capacitación,  desarrollando  cinco  acciones de capacidades directas para el envejecimiento activo y cuatro de capacidades indirectas para la atención al adulto mayor, asimismo, ha promovido redes formales de apoyo; 2) el Instituto Hidalguense de la Juventud ha promovido una cultura cívica mediante el servicio social, y ha impulsado las empresas juveniles; 3) la Secretaría de Desarrollo Social del Estado de Hidalgo también ha proyectado la especialización de la capacitación, cuyas categorías son comunidades indígenas, sustentabilidad,</w:t>
      </w:r>
      <w:r>
        <w:rPr>
          <w:spacing w:val="-5"/>
          <w:sz w:val="23"/>
        </w:rPr>
        <w:t> </w:t>
      </w:r>
      <w:r>
        <w:rPr>
          <w:sz w:val="23"/>
        </w:rPr>
        <w:t>artesanías</w:t>
      </w:r>
      <w:r>
        <w:rPr>
          <w:spacing w:val="-7"/>
          <w:sz w:val="23"/>
        </w:rPr>
        <w:t> </w:t>
      </w:r>
      <w:r>
        <w:rPr>
          <w:sz w:val="23"/>
        </w:rPr>
        <w:t>y</w:t>
      </w:r>
      <w:r>
        <w:rPr>
          <w:spacing w:val="-6"/>
          <w:sz w:val="23"/>
        </w:rPr>
        <w:t> </w:t>
      </w:r>
      <w:r>
        <w:rPr>
          <w:sz w:val="23"/>
        </w:rPr>
        <w:t>migrantes;</w:t>
      </w:r>
      <w:r>
        <w:rPr>
          <w:spacing w:val="-7"/>
          <w:sz w:val="23"/>
        </w:rPr>
        <w:t> </w:t>
      </w:r>
      <w:r>
        <w:rPr>
          <w:sz w:val="23"/>
        </w:rPr>
        <w:t>4)</w:t>
      </w:r>
      <w:r>
        <w:rPr>
          <w:spacing w:val="-6"/>
          <w:sz w:val="23"/>
        </w:rPr>
        <w:t> </w:t>
      </w:r>
      <w:r>
        <w:rPr>
          <w:sz w:val="23"/>
        </w:rPr>
        <w:t>el</w:t>
      </w:r>
      <w:r>
        <w:rPr>
          <w:spacing w:val="-6"/>
          <w:sz w:val="23"/>
        </w:rPr>
        <w:t> </w:t>
      </w:r>
      <w:r>
        <w:rPr>
          <w:sz w:val="23"/>
        </w:rPr>
        <w:t>Centro</w:t>
      </w:r>
      <w:r>
        <w:rPr>
          <w:spacing w:val="-6"/>
          <w:sz w:val="23"/>
        </w:rPr>
        <w:t> </w:t>
      </w:r>
      <w:r>
        <w:rPr>
          <w:sz w:val="23"/>
        </w:rPr>
        <w:t>Estatal</w:t>
      </w:r>
      <w:r>
        <w:rPr>
          <w:spacing w:val="-7"/>
          <w:sz w:val="23"/>
        </w:rPr>
        <w:t> </w:t>
      </w:r>
      <w:r>
        <w:rPr>
          <w:sz w:val="23"/>
        </w:rPr>
        <w:t>de</w:t>
      </w:r>
      <w:r>
        <w:rPr>
          <w:spacing w:val="-6"/>
          <w:sz w:val="23"/>
        </w:rPr>
        <w:t> </w:t>
      </w:r>
      <w:r>
        <w:rPr>
          <w:sz w:val="23"/>
        </w:rPr>
        <w:t>Lenguas y Cultura Indígena representa el desarrollo de una capacidad en torno al</w:t>
      </w:r>
      <w:r>
        <w:rPr>
          <w:spacing w:val="-6"/>
          <w:sz w:val="23"/>
        </w:rPr>
        <w:t> </w:t>
      </w:r>
      <w:r>
        <w:rPr>
          <w:sz w:val="23"/>
        </w:rPr>
        <w:t>contexto</w:t>
      </w:r>
      <w:r>
        <w:rPr>
          <w:spacing w:val="-7"/>
          <w:sz w:val="23"/>
        </w:rPr>
        <w:t> </w:t>
      </w:r>
      <w:r>
        <w:rPr>
          <w:sz w:val="23"/>
        </w:rPr>
        <w:t>cultural</w:t>
      </w:r>
      <w:r>
        <w:rPr>
          <w:spacing w:val="-7"/>
          <w:sz w:val="23"/>
        </w:rPr>
        <w:t> </w:t>
      </w:r>
      <w:r>
        <w:rPr>
          <w:sz w:val="23"/>
        </w:rPr>
        <w:t>del</w:t>
      </w:r>
      <w:r>
        <w:rPr>
          <w:spacing w:val="-6"/>
          <w:sz w:val="23"/>
        </w:rPr>
        <w:t> </w:t>
      </w:r>
      <w:r>
        <w:rPr>
          <w:sz w:val="23"/>
        </w:rPr>
        <w:t>estado;</w:t>
      </w:r>
      <w:r>
        <w:rPr>
          <w:spacing w:val="-7"/>
          <w:sz w:val="23"/>
        </w:rPr>
        <w:t> </w:t>
      </w:r>
      <w:r>
        <w:rPr>
          <w:sz w:val="23"/>
        </w:rPr>
        <w:t>5)</w:t>
      </w:r>
      <w:r>
        <w:rPr>
          <w:spacing w:val="-6"/>
          <w:sz w:val="23"/>
        </w:rPr>
        <w:t> </w:t>
      </w:r>
      <w:r>
        <w:rPr>
          <w:sz w:val="23"/>
        </w:rPr>
        <w:t>el</w:t>
      </w:r>
      <w:r>
        <w:rPr>
          <w:spacing w:val="-6"/>
          <w:sz w:val="23"/>
        </w:rPr>
        <w:t> </w:t>
      </w:r>
      <w:r>
        <w:rPr>
          <w:sz w:val="23"/>
        </w:rPr>
        <w:t>Bachillerato</w:t>
      </w:r>
      <w:r>
        <w:rPr>
          <w:spacing w:val="-6"/>
          <w:sz w:val="23"/>
        </w:rPr>
        <w:t> </w:t>
      </w:r>
      <w:r>
        <w:rPr>
          <w:sz w:val="23"/>
        </w:rPr>
        <w:t>del</w:t>
      </w:r>
      <w:r>
        <w:rPr>
          <w:spacing w:val="-6"/>
          <w:sz w:val="23"/>
        </w:rPr>
        <w:t> </w:t>
      </w:r>
      <w:r>
        <w:rPr>
          <w:sz w:val="23"/>
        </w:rPr>
        <w:t>Estado</w:t>
      </w:r>
      <w:r>
        <w:rPr>
          <w:spacing w:val="-7"/>
          <w:sz w:val="23"/>
        </w:rPr>
        <w:t> </w:t>
      </w:r>
      <w:r>
        <w:rPr>
          <w:sz w:val="23"/>
        </w:rPr>
        <w:t>de</w:t>
      </w:r>
      <w:r>
        <w:rPr>
          <w:spacing w:val="-6"/>
          <w:sz w:val="23"/>
        </w:rPr>
        <w:t> </w:t>
      </w:r>
      <w:r>
        <w:rPr>
          <w:sz w:val="23"/>
        </w:rPr>
        <w:t>Hidalgo pretende</w:t>
      </w:r>
      <w:r>
        <w:rPr>
          <w:spacing w:val="24"/>
          <w:sz w:val="23"/>
        </w:rPr>
        <w:t> </w:t>
      </w:r>
      <w:r>
        <w:rPr>
          <w:sz w:val="23"/>
        </w:rPr>
        <w:t>aumentar</w:t>
      </w:r>
      <w:r>
        <w:rPr>
          <w:spacing w:val="24"/>
          <w:sz w:val="23"/>
        </w:rPr>
        <w:t> </w:t>
      </w:r>
      <w:r>
        <w:rPr>
          <w:sz w:val="23"/>
        </w:rPr>
        <w:t>la</w:t>
      </w:r>
      <w:r>
        <w:rPr>
          <w:spacing w:val="25"/>
          <w:sz w:val="23"/>
        </w:rPr>
        <w:t> </w:t>
      </w:r>
      <w:r>
        <w:rPr>
          <w:sz w:val="23"/>
        </w:rPr>
        <w:t>cobertura</w:t>
      </w:r>
      <w:r>
        <w:rPr>
          <w:spacing w:val="24"/>
          <w:sz w:val="23"/>
        </w:rPr>
        <w:t> </w:t>
      </w:r>
      <w:r>
        <w:rPr>
          <w:sz w:val="23"/>
        </w:rPr>
        <w:t>de</w:t>
      </w:r>
      <w:r>
        <w:rPr>
          <w:spacing w:val="25"/>
          <w:sz w:val="23"/>
        </w:rPr>
        <w:t> </w:t>
      </w:r>
      <w:r>
        <w:rPr>
          <w:sz w:val="23"/>
        </w:rPr>
        <w:t>ese</w:t>
      </w:r>
      <w:r>
        <w:rPr>
          <w:spacing w:val="24"/>
          <w:sz w:val="23"/>
        </w:rPr>
        <w:t> </w:t>
      </w:r>
      <w:r>
        <w:rPr>
          <w:sz w:val="23"/>
        </w:rPr>
        <w:t>nivel</w:t>
      </w:r>
      <w:r>
        <w:rPr>
          <w:spacing w:val="24"/>
          <w:sz w:val="23"/>
        </w:rPr>
        <w:t> </w:t>
      </w:r>
      <w:r>
        <w:rPr>
          <w:sz w:val="23"/>
        </w:rPr>
        <w:t>en</w:t>
      </w:r>
      <w:r>
        <w:rPr>
          <w:spacing w:val="24"/>
          <w:sz w:val="23"/>
        </w:rPr>
        <w:t> </w:t>
      </w:r>
      <w:r>
        <w:rPr>
          <w:sz w:val="23"/>
        </w:rPr>
        <w:t>regiones</w:t>
      </w:r>
      <w:r>
        <w:rPr>
          <w:spacing w:val="25"/>
          <w:sz w:val="23"/>
        </w:rPr>
        <w:t> </w:t>
      </w:r>
      <w:r>
        <w:rPr>
          <w:sz w:val="23"/>
        </w:rPr>
        <w:t>marginadas;</w:t>
      </w:r>
    </w:p>
    <w:p>
      <w:pPr>
        <w:pStyle w:val="BodyText"/>
        <w:spacing w:line="260" w:lineRule="exact"/>
        <w:ind w:left="677" w:right="114"/>
        <w:jc w:val="both"/>
      </w:pPr>
      <w:r>
        <w:rPr/>
        <w:t>6) el Instituto Hidalguense de Financiamiento a la Educación Superior (IHFES)</w:t>
      </w:r>
      <w:r>
        <w:rPr>
          <w:spacing w:val="-12"/>
        </w:rPr>
        <w:t> </w:t>
      </w:r>
      <w:r>
        <w:rPr/>
        <w:t>pugna</w:t>
      </w:r>
      <w:r>
        <w:rPr>
          <w:spacing w:val="-11"/>
        </w:rPr>
        <w:t> </w:t>
      </w:r>
      <w:r>
        <w:rPr/>
        <w:t>por</w:t>
      </w:r>
      <w:r>
        <w:rPr>
          <w:spacing w:val="-12"/>
        </w:rPr>
        <w:t> </w:t>
      </w:r>
      <w:r>
        <w:rPr/>
        <w:t>facilitar</w:t>
      </w:r>
      <w:r>
        <w:rPr>
          <w:spacing w:val="-11"/>
        </w:rPr>
        <w:t> </w:t>
      </w:r>
      <w:r>
        <w:rPr/>
        <w:t>los</w:t>
      </w:r>
      <w:r>
        <w:rPr>
          <w:spacing w:val="-12"/>
        </w:rPr>
        <w:t> </w:t>
      </w:r>
      <w:r>
        <w:rPr/>
        <w:t>estudios</w:t>
      </w:r>
      <w:r>
        <w:rPr>
          <w:spacing w:val="-12"/>
        </w:rPr>
        <w:t> </w:t>
      </w:r>
      <w:r>
        <w:rPr/>
        <w:t>universitarios</w:t>
      </w:r>
      <w:r>
        <w:rPr>
          <w:spacing w:val="-12"/>
        </w:rPr>
        <w:t> </w:t>
      </w:r>
      <w:r>
        <w:rPr/>
        <w:t>en</w:t>
      </w:r>
      <w:r>
        <w:rPr>
          <w:spacing w:val="-12"/>
        </w:rPr>
        <w:t> </w:t>
      </w:r>
      <w:r>
        <w:rPr/>
        <w:t>función</w:t>
      </w:r>
      <w:r>
        <w:rPr>
          <w:spacing w:val="-11"/>
        </w:rPr>
        <w:t> </w:t>
      </w:r>
      <w:r>
        <w:rPr/>
        <w:t>de</w:t>
      </w:r>
      <w:r>
        <w:rPr>
          <w:spacing w:val="-11"/>
        </w:rPr>
        <w:t> </w:t>
      </w:r>
      <w:r>
        <w:rPr/>
        <w:t>los requerimientos</w:t>
      </w:r>
      <w:r>
        <w:rPr>
          <w:spacing w:val="-9"/>
        </w:rPr>
        <w:t> </w:t>
      </w:r>
      <w:r>
        <w:rPr/>
        <w:t>estatales;</w:t>
      </w:r>
      <w:r>
        <w:rPr>
          <w:spacing w:val="-9"/>
        </w:rPr>
        <w:t> </w:t>
      </w:r>
      <w:r>
        <w:rPr/>
        <w:t>7)</w:t>
      </w:r>
      <w:r>
        <w:rPr>
          <w:spacing w:val="-9"/>
        </w:rPr>
        <w:t> </w:t>
      </w:r>
      <w:r>
        <w:rPr/>
        <w:t>la</w:t>
      </w:r>
      <w:r>
        <w:rPr>
          <w:spacing w:val="-9"/>
        </w:rPr>
        <w:t> </w:t>
      </w:r>
      <w:r>
        <w:rPr/>
        <w:t>Secretaría</w:t>
      </w:r>
      <w:r>
        <w:rPr>
          <w:spacing w:val="-8"/>
        </w:rPr>
        <w:t> </w:t>
      </w:r>
      <w:r>
        <w:rPr/>
        <w:t>del</w:t>
      </w:r>
      <w:r>
        <w:rPr>
          <w:spacing w:val="-12"/>
        </w:rPr>
        <w:t> </w:t>
      </w:r>
      <w:r>
        <w:rPr/>
        <w:t>Trabajo</w:t>
      </w:r>
      <w:r>
        <w:rPr>
          <w:spacing w:val="-9"/>
        </w:rPr>
        <w:t> </w:t>
      </w:r>
      <w:r>
        <w:rPr/>
        <w:t>y</w:t>
      </w:r>
      <w:r>
        <w:rPr>
          <w:spacing w:val="-9"/>
        </w:rPr>
        <w:t> </w:t>
      </w:r>
      <w:r>
        <w:rPr/>
        <w:t>Previsión</w:t>
      </w:r>
      <w:r>
        <w:rPr>
          <w:spacing w:val="-8"/>
        </w:rPr>
        <w:t> </w:t>
      </w:r>
      <w:r>
        <w:rPr/>
        <w:t>Social del Estado de Hidalgo ha desarrollado bolsas laborales focalizadas;  </w:t>
      </w:r>
      <w:r>
        <w:rPr>
          <w:spacing w:val="38"/>
        </w:rPr>
        <w:t> </w:t>
      </w:r>
      <w:r>
        <w:rPr/>
        <w:t>y</w:t>
      </w:r>
    </w:p>
    <w:p>
      <w:pPr>
        <w:pStyle w:val="BodyText"/>
        <w:spacing w:line="260" w:lineRule="exact"/>
        <w:ind w:left="677" w:right="115"/>
        <w:jc w:val="both"/>
      </w:pPr>
      <w:r>
        <w:rPr/>
        <w:t>8) el Instituto de Capacitación para el Trabajo del Estado de Hidalgo (ICATHI) cubre las necesidades regionales de capacitación laboral.</w:t>
      </w:r>
    </w:p>
    <w:p>
      <w:pPr>
        <w:pStyle w:val="BodyText"/>
        <w:spacing w:before="7"/>
        <w:rPr>
          <w:sz w:val="22"/>
        </w:rPr>
      </w:pPr>
    </w:p>
    <w:p>
      <w:pPr>
        <w:pStyle w:val="BodyText"/>
        <w:spacing w:line="260" w:lineRule="exact"/>
        <w:ind w:left="110" w:right="115"/>
      </w:pPr>
      <w:r>
        <w:rPr/>
        <w:t>En la propuesta para orientar subsidiariamente al bienestar social  que  genera el gobierno del estatal, el Comité de Desarrollo Social debe  </w:t>
      </w:r>
      <w:r>
        <w:rPr>
          <w:spacing w:val="14"/>
        </w:rPr>
        <w:t> </w:t>
      </w:r>
      <w:r>
        <w:rPr/>
        <w:t>resolver</w:t>
      </w:r>
    </w:p>
    <w:p>
      <w:pPr>
        <w:spacing w:after="0" w:line="260" w:lineRule="exact"/>
        <w:sectPr>
          <w:pgSz w:w="9360" w:h="13040"/>
          <w:pgMar w:header="547" w:footer="515" w:top="720" w:bottom="700" w:left="740" w:right="1300"/>
        </w:sectPr>
      </w:pPr>
    </w:p>
    <w:p>
      <w:pPr>
        <w:pStyle w:val="BodyText"/>
        <w:spacing w:before="11"/>
        <w:rPr>
          <w:sz w:val="29"/>
        </w:rPr>
      </w:pPr>
    </w:p>
    <w:p>
      <w:pPr>
        <w:pStyle w:val="BodyText"/>
        <w:spacing w:line="260" w:lineRule="exact" w:before="77"/>
        <w:ind w:left="117" w:right="107"/>
        <w:jc w:val="both"/>
      </w:pPr>
      <w:r>
        <w:rPr/>
        <w:t>urgentemente sus ineficiencias operativas de integración, tamaño, constancia y organización. En una secuencia incremental objetiva, y utilizando como ejemplo y punto de partida aquellas fortalezas subsidiarias encontradas de manera fragmentada en las relaciones intraorganizacionales estatales, el Comité de Desarrollo Social debe ampliar y diversificar sus esquemas de colaboración. En una etapa más avanzada, el dinamismo alcanzado por el Comité</w:t>
      </w:r>
      <w:r>
        <w:rPr>
          <w:spacing w:val="-15"/>
        </w:rPr>
        <w:t> </w:t>
      </w:r>
      <w:r>
        <w:rPr/>
        <w:t>de</w:t>
      </w:r>
      <w:r>
        <w:rPr>
          <w:spacing w:val="-15"/>
        </w:rPr>
        <w:t> </w:t>
      </w:r>
      <w:r>
        <w:rPr/>
        <w:t>Desarrollo</w:t>
      </w:r>
      <w:r>
        <w:rPr>
          <w:spacing w:val="-15"/>
        </w:rPr>
        <w:t> </w:t>
      </w:r>
      <w:r>
        <w:rPr/>
        <w:t>Social</w:t>
      </w:r>
      <w:r>
        <w:rPr>
          <w:spacing w:val="-15"/>
        </w:rPr>
        <w:t> </w:t>
      </w:r>
      <w:r>
        <w:rPr/>
        <w:t>debe</w:t>
      </w:r>
      <w:r>
        <w:rPr>
          <w:spacing w:val="-15"/>
        </w:rPr>
        <w:t> </w:t>
      </w:r>
      <w:r>
        <w:rPr/>
        <w:t>ser</w:t>
      </w:r>
      <w:r>
        <w:rPr>
          <w:spacing w:val="-15"/>
        </w:rPr>
        <w:t> </w:t>
      </w:r>
      <w:r>
        <w:rPr/>
        <w:t>suficiente</w:t>
      </w:r>
      <w:r>
        <w:rPr>
          <w:spacing w:val="-15"/>
        </w:rPr>
        <w:t> </w:t>
      </w:r>
      <w:r>
        <w:rPr/>
        <w:t>para</w:t>
      </w:r>
      <w:r>
        <w:rPr>
          <w:spacing w:val="-15"/>
        </w:rPr>
        <w:t> </w:t>
      </w:r>
      <w:r>
        <w:rPr/>
        <w:t>integrar</w:t>
      </w:r>
      <w:r>
        <w:rPr>
          <w:spacing w:val="-15"/>
        </w:rPr>
        <w:t> </w:t>
      </w:r>
      <w:r>
        <w:rPr/>
        <w:t>estratégicamente las acciones federales, municipales y</w:t>
      </w:r>
      <w:r>
        <w:rPr>
          <w:spacing w:val="-3"/>
        </w:rPr>
        <w:t> </w:t>
      </w:r>
      <w:r>
        <w:rPr/>
        <w:t>privadas.</w:t>
      </w:r>
    </w:p>
    <w:p>
      <w:pPr>
        <w:pStyle w:val="BodyText"/>
        <w:spacing w:before="7"/>
        <w:rPr>
          <w:sz w:val="22"/>
        </w:rPr>
      </w:pPr>
    </w:p>
    <w:p>
      <w:pPr>
        <w:pStyle w:val="BodyText"/>
        <w:spacing w:line="260" w:lineRule="exact"/>
        <w:ind w:left="117" w:right="107"/>
        <w:jc w:val="both"/>
      </w:pPr>
      <w:r>
        <w:rPr/>
        <w:t>El proceso de evaluación, necesariamente incorporado durante la depuración asociativa, debe destinarse en un primer momento a corregir la duplicidad de programas</w:t>
      </w:r>
      <w:r>
        <w:rPr>
          <w:spacing w:val="-20"/>
        </w:rPr>
        <w:t> </w:t>
      </w:r>
      <w:r>
        <w:rPr/>
        <w:t>entre</w:t>
      </w:r>
      <w:r>
        <w:rPr>
          <w:spacing w:val="-21"/>
        </w:rPr>
        <w:t> </w:t>
      </w:r>
      <w:r>
        <w:rPr/>
        <w:t>dependencias</w:t>
      </w:r>
      <w:r>
        <w:rPr>
          <w:spacing w:val="-20"/>
        </w:rPr>
        <w:t> </w:t>
      </w:r>
      <w:r>
        <w:rPr/>
        <w:t>estatales,</w:t>
      </w:r>
      <w:r>
        <w:rPr>
          <w:spacing w:val="-21"/>
        </w:rPr>
        <w:t> </w:t>
      </w:r>
      <w:r>
        <w:rPr/>
        <w:t>y</w:t>
      </w:r>
      <w:r>
        <w:rPr>
          <w:spacing w:val="-20"/>
        </w:rPr>
        <w:t> </w:t>
      </w:r>
      <w:r>
        <w:rPr/>
        <w:t>más</w:t>
      </w:r>
      <w:r>
        <w:rPr>
          <w:spacing w:val="-21"/>
        </w:rPr>
        <w:t> </w:t>
      </w:r>
      <w:r>
        <w:rPr/>
        <w:t>adelante</w:t>
      </w:r>
      <w:r>
        <w:rPr>
          <w:spacing w:val="-21"/>
        </w:rPr>
        <w:t> </w:t>
      </w:r>
      <w:r>
        <w:rPr/>
        <w:t>al</w:t>
      </w:r>
      <w:r>
        <w:rPr>
          <w:spacing w:val="-20"/>
        </w:rPr>
        <w:t> </w:t>
      </w:r>
      <w:r>
        <w:rPr/>
        <w:t>encauce</w:t>
      </w:r>
      <w:r>
        <w:rPr>
          <w:spacing w:val="-21"/>
        </w:rPr>
        <w:t> </w:t>
      </w:r>
      <w:r>
        <w:rPr/>
        <w:t>subsidiario. Como trabajo culmínate, la mejora continua en las políticas redistributivas estatales debe multiplicar sus líneas de acción: a) propiciar la generación    de programas de diseño propio en aquellos sectores estatales que aún  ejercen mayoritariamente esquemas federales descentralizados; b) propiciar que los actuales programas de diseño estatal evolucionen hacia políticas redistributivas que rindan resultados efectivos en cuanto a la desigualdad estatal,</w:t>
      </w:r>
      <w:r>
        <w:rPr>
          <w:spacing w:val="-23"/>
        </w:rPr>
        <w:t> </w:t>
      </w:r>
      <w:r>
        <w:rPr/>
        <w:t>de</w:t>
      </w:r>
      <w:r>
        <w:rPr>
          <w:spacing w:val="-22"/>
        </w:rPr>
        <w:t> </w:t>
      </w:r>
      <w:r>
        <w:rPr/>
        <w:t>modo</w:t>
      </w:r>
      <w:r>
        <w:rPr>
          <w:spacing w:val="-22"/>
        </w:rPr>
        <w:t> </w:t>
      </w:r>
      <w:r>
        <w:rPr/>
        <w:t>tal</w:t>
      </w:r>
      <w:r>
        <w:rPr>
          <w:spacing w:val="-23"/>
        </w:rPr>
        <w:t> </w:t>
      </w:r>
      <w:r>
        <w:rPr/>
        <w:t>que</w:t>
      </w:r>
      <w:r>
        <w:rPr>
          <w:spacing w:val="-22"/>
        </w:rPr>
        <w:t> </w:t>
      </w:r>
      <w:r>
        <w:rPr/>
        <w:t>las</w:t>
      </w:r>
      <w:r>
        <w:rPr>
          <w:spacing w:val="-22"/>
        </w:rPr>
        <w:t> </w:t>
      </w:r>
      <w:r>
        <w:rPr/>
        <w:t>acciones</w:t>
      </w:r>
      <w:r>
        <w:rPr>
          <w:spacing w:val="-22"/>
        </w:rPr>
        <w:t> </w:t>
      </w:r>
      <w:r>
        <w:rPr/>
        <w:t>estatales</w:t>
      </w:r>
      <w:r>
        <w:rPr>
          <w:spacing w:val="-23"/>
        </w:rPr>
        <w:t> </w:t>
      </w:r>
      <w:r>
        <w:rPr/>
        <w:t>incidan</w:t>
      </w:r>
      <w:r>
        <w:rPr>
          <w:spacing w:val="-23"/>
        </w:rPr>
        <w:t> </w:t>
      </w:r>
      <w:r>
        <w:rPr/>
        <w:t>específicamente</w:t>
      </w:r>
      <w:r>
        <w:rPr>
          <w:spacing w:val="-23"/>
        </w:rPr>
        <w:t> </w:t>
      </w:r>
      <w:r>
        <w:rPr/>
        <w:t>mientras que  las  acciones  federales  constituyan  líneas  generales</w:t>
      </w:r>
      <w:r>
        <w:rPr>
          <w:spacing w:val="24"/>
        </w:rPr>
        <w:t> </w:t>
      </w:r>
      <w:r>
        <w:rPr/>
        <w:t>complementarias;</w:t>
      </w:r>
    </w:p>
    <w:p>
      <w:pPr>
        <w:pStyle w:val="ListParagraph"/>
        <w:numPr>
          <w:ilvl w:val="0"/>
          <w:numId w:val="16"/>
        </w:numPr>
        <w:tabs>
          <w:tab w:pos="397" w:val="left" w:leader="none"/>
        </w:tabs>
        <w:spacing w:line="260" w:lineRule="exact" w:before="0" w:after="0"/>
        <w:ind w:left="117" w:right="107" w:firstLine="0"/>
        <w:jc w:val="both"/>
        <w:rPr>
          <w:sz w:val="23"/>
        </w:rPr>
      </w:pPr>
      <w:r>
        <w:rPr>
          <w:sz w:val="23"/>
        </w:rPr>
        <w:t>equilibrar las opciones estratégicas de capacidades y oportunidades de ingreso en contraposición directa al actual asistencialismo mal focalizado y de tendencia universal; y d) para el caso de problemas sociales complejos, orientar justificadamente las acciones de las dependencias especializadas, actuales</w:t>
      </w:r>
      <w:r>
        <w:rPr>
          <w:spacing w:val="-8"/>
          <w:sz w:val="23"/>
        </w:rPr>
        <w:t> </w:t>
      </w:r>
      <w:r>
        <w:rPr>
          <w:sz w:val="23"/>
        </w:rPr>
        <w:t>o</w:t>
      </w:r>
      <w:r>
        <w:rPr>
          <w:spacing w:val="-8"/>
          <w:sz w:val="23"/>
        </w:rPr>
        <w:t> </w:t>
      </w:r>
      <w:r>
        <w:rPr>
          <w:sz w:val="23"/>
        </w:rPr>
        <w:t>nuevas,</w:t>
      </w:r>
      <w:r>
        <w:rPr>
          <w:spacing w:val="-8"/>
          <w:sz w:val="23"/>
        </w:rPr>
        <w:t> </w:t>
      </w:r>
      <w:r>
        <w:rPr>
          <w:sz w:val="23"/>
        </w:rPr>
        <w:t>en</w:t>
      </w:r>
      <w:r>
        <w:rPr>
          <w:spacing w:val="-8"/>
          <w:sz w:val="23"/>
        </w:rPr>
        <w:t> </w:t>
      </w:r>
      <w:r>
        <w:rPr>
          <w:sz w:val="23"/>
        </w:rPr>
        <w:t>coordinación</w:t>
      </w:r>
      <w:r>
        <w:rPr>
          <w:spacing w:val="-8"/>
          <w:sz w:val="23"/>
        </w:rPr>
        <w:t> </w:t>
      </w:r>
      <w:r>
        <w:rPr>
          <w:sz w:val="23"/>
        </w:rPr>
        <w:t>con</w:t>
      </w:r>
      <w:r>
        <w:rPr>
          <w:spacing w:val="-8"/>
          <w:sz w:val="23"/>
        </w:rPr>
        <w:t> </w:t>
      </w:r>
      <w:r>
        <w:rPr>
          <w:sz w:val="23"/>
        </w:rPr>
        <w:t>organizaciones</w:t>
      </w:r>
      <w:r>
        <w:rPr>
          <w:spacing w:val="-8"/>
          <w:sz w:val="23"/>
        </w:rPr>
        <w:t> </w:t>
      </w:r>
      <w:r>
        <w:rPr>
          <w:sz w:val="23"/>
        </w:rPr>
        <w:t>federales,</w:t>
      </w:r>
      <w:r>
        <w:rPr>
          <w:spacing w:val="-8"/>
          <w:sz w:val="23"/>
        </w:rPr>
        <w:t> </w:t>
      </w:r>
      <w:r>
        <w:rPr>
          <w:sz w:val="23"/>
        </w:rPr>
        <w:t>municipales y privadas.</w:t>
      </w:r>
    </w:p>
    <w:p>
      <w:pPr>
        <w:spacing w:after="0" w:line="260" w:lineRule="exact"/>
        <w:jc w:val="both"/>
        <w:rPr>
          <w:sz w:val="23"/>
        </w:rPr>
        <w:sectPr>
          <w:pgSz w:w="9360" w:h="13040"/>
          <w:pgMar w:header="531" w:footer="515" w:top="940" w:bottom="700" w:left="1300" w:right="740"/>
        </w:sectPr>
      </w:pPr>
    </w:p>
    <w:p>
      <w:pPr>
        <w:pStyle w:val="BodyText"/>
        <w:rPr>
          <w:sz w:val="20"/>
        </w:rPr>
      </w:pPr>
    </w:p>
    <w:p>
      <w:pPr>
        <w:pStyle w:val="BodyText"/>
        <w:spacing w:before="9"/>
        <w:rPr>
          <w:sz w:val="28"/>
        </w:rPr>
      </w:pPr>
    </w:p>
    <w:p>
      <w:pPr>
        <w:pStyle w:val="Heading3"/>
        <w:spacing w:before="70"/>
        <w:ind w:left="2156"/>
        <w:jc w:val="left"/>
      </w:pPr>
      <w:bookmarkStart w:name="_TOC_250014" w:id="29"/>
      <w:bookmarkEnd w:id="29"/>
      <w:r>
        <w:rPr/>
        <w:t>ANEXOS DEL CAPÍTULO V.</w:t>
      </w:r>
    </w:p>
    <w:p>
      <w:pPr>
        <w:spacing w:line="230" w:lineRule="auto" w:before="194"/>
        <w:ind w:left="110" w:right="114" w:firstLine="0"/>
        <w:jc w:val="both"/>
        <w:rPr>
          <w:b/>
          <w:sz w:val="23"/>
        </w:rPr>
      </w:pPr>
      <w:r>
        <w:rPr>
          <w:b/>
          <w:sz w:val="23"/>
        </w:rPr>
        <w:t>Comparativa por dependencias del gobierno del Estado de Hidalgo, entre el número de programas federales descentralizados y el número</w:t>
      </w:r>
      <w:r>
        <w:rPr>
          <w:b/>
          <w:spacing w:val="-40"/>
          <w:sz w:val="23"/>
        </w:rPr>
        <w:t> </w:t>
      </w:r>
      <w:r>
        <w:rPr>
          <w:b/>
          <w:sz w:val="23"/>
        </w:rPr>
        <w:t>de programas de diseño estatal clasificados en capacidades, oportunidades de ingreso, patrimonio y</w:t>
      </w:r>
      <w:r>
        <w:rPr>
          <w:b/>
          <w:spacing w:val="-16"/>
          <w:sz w:val="23"/>
        </w:rPr>
        <w:t> </w:t>
      </w:r>
      <w:r>
        <w:rPr>
          <w:b/>
          <w:sz w:val="23"/>
        </w:rPr>
        <w:t>asistencia.</w:t>
      </w:r>
    </w:p>
    <w:p>
      <w:pPr>
        <w:pStyle w:val="BodyText"/>
        <w:spacing w:before="2"/>
        <w:rPr>
          <w:b/>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4"/>
        <w:gridCol w:w="702"/>
        <w:gridCol w:w="488"/>
        <w:gridCol w:w="590"/>
        <w:gridCol w:w="471"/>
        <w:gridCol w:w="431"/>
      </w:tblGrid>
      <w:tr>
        <w:trPr>
          <w:trHeight w:val="451" w:hRule="exact"/>
        </w:trPr>
        <w:tc>
          <w:tcPr>
            <w:tcW w:w="4394" w:type="dxa"/>
            <w:vMerge w:val="restart"/>
          </w:tcPr>
          <w:p>
            <w:pPr>
              <w:pStyle w:val="TableParagraph"/>
              <w:spacing w:before="0"/>
              <w:rPr>
                <w:b/>
                <w:sz w:val="18"/>
              </w:rPr>
            </w:pPr>
          </w:p>
          <w:p>
            <w:pPr>
              <w:pStyle w:val="TableParagraph"/>
              <w:spacing w:before="0"/>
              <w:rPr>
                <w:b/>
                <w:sz w:val="18"/>
              </w:rPr>
            </w:pPr>
          </w:p>
          <w:p>
            <w:pPr>
              <w:pStyle w:val="TableParagraph"/>
              <w:spacing w:before="0"/>
              <w:rPr>
                <w:b/>
                <w:sz w:val="18"/>
              </w:rPr>
            </w:pPr>
          </w:p>
          <w:p>
            <w:pPr>
              <w:pStyle w:val="TableParagraph"/>
              <w:spacing w:before="4"/>
              <w:rPr>
                <w:b/>
                <w:sz w:val="19"/>
              </w:rPr>
            </w:pPr>
          </w:p>
          <w:p>
            <w:pPr>
              <w:pStyle w:val="TableParagraph"/>
              <w:spacing w:before="0"/>
              <w:ind w:left="51"/>
              <w:rPr>
                <w:b/>
                <w:sz w:val="18"/>
              </w:rPr>
            </w:pPr>
            <w:r>
              <w:rPr>
                <w:b/>
                <w:sz w:val="18"/>
              </w:rPr>
              <w:t>Dependencias del gobierno del Estado de Hidalgo.</w:t>
            </w:r>
          </w:p>
        </w:tc>
        <w:tc>
          <w:tcPr>
            <w:tcW w:w="702" w:type="dxa"/>
            <w:vMerge w:val="restart"/>
            <w:textDirection w:val="btLr"/>
          </w:tcPr>
          <w:p>
            <w:pPr>
              <w:pStyle w:val="TableParagraph"/>
              <w:spacing w:line="249" w:lineRule="auto" w:before="23"/>
              <w:ind w:left="165" w:right="163" w:hanging="1"/>
              <w:jc w:val="center"/>
              <w:rPr>
                <w:b/>
                <w:sz w:val="18"/>
              </w:rPr>
            </w:pPr>
            <w:r>
              <w:rPr>
                <w:b/>
                <w:spacing w:val="-1"/>
                <w:sz w:val="18"/>
              </w:rPr>
              <w:t>Núme</w:t>
            </w:r>
            <w:r>
              <w:rPr>
                <w:b/>
                <w:spacing w:val="-4"/>
                <w:sz w:val="18"/>
              </w:rPr>
              <w:t>r</w:t>
            </w:r>
            <w:r>
              <w:rPr>
                <w:b/>
                <w:sz w:val="18"/>
              </w:rPr>
              <w:t>o </w:t>
            </w:r>
            <w:r>
              <w:rPr>
                <w:b/>
                <w:spacing w:val="-1"/>
                <w:sz w:val="18"/>
              </w:rPr>
              <w:t>de p</w:t>
            </w:r>
            <w:r>
              <w:rPr>
                <w:b/>
                <w:spacing w:val="-4"/>
                <w:sz w:val="18"/>
              </w:rPr>
              <w:t>r</w:t>
            </w:r>
            <w:r>
              <w:rPr>
                <w:b/>
                <w:sz w:val="18"/>
              </w:rPr>
              <w:t>ogramas federales </w:t>
            </w:r>
            <w:r>
              <w:rPr>
                <w:b/>
                <w:spacing w:val="-1"/>
                <w:sz w:val="18"/>
              </w:rPr>
              <w:t>descentralizados.</w:t>
            </w:r>
          </w:p>
        </w:tc>
        <w:tc>
          <w:tcPr>
            <w:tcW w:w="1979" w:type="dxa"/>
            <w:gridSpan w:val="4"/>
          </w:tcPr>
          <w:p>
            <w:pPr>
              <w:pStyle w:val="TableParagraph"/>
              <w:spacing w:line="249" w:lineRule="auto" w:before="5"/>
              <w:ind w:left="332" w:hanging="215"/>
              <w:rPr>
                <w:b/>
                <w:sz w:val="18"/>
              </w:rPr>
            </w:pPr>
            <w:r>
              <w:rPr>
                <w:b/>
                <w:sz w:val="18"/>
              </w:rPr>
              <w:t>Número de programas de diseño estatal.</w:t>
            </w:r>
          </w:p>
        </w:tc>
      </w:tr>
      <w:tr>
        <w:trPr>
          <w:trHeight w:val="1461" w:hRule="exact"/>
        </w:trPr>
        <w:tc>
          <w:tcPr>
            <w:tcW w:w="4394" w:type="dxa"/>
            <w:vMerge/>
          </w:tcPr>
          <w:p>
            <w:pPr/>
          </w:p>
        </w:tc>
        <w:tc>
          <w:tcPr>
            <w:tcW w:w="702" w:type="dxa"/>
            <w:vMerge/>
            <w:textDirection w:val="btLr"/>
          </w:tcPr>
          <w:p>
            <w:pPr/>
          </w:p>
        </w:tc>
        <w:tc>
          <w:tcPr>
            <w:tcW w:w="488" w:type="dxa"/>
            <w:textDirection w:val="btLr"/>
          </w:tcPr>
          <w:p>
            <w:pPr>
              <w:pStyle w:val="TableParagraph"/>
              <w:spacing w:before="133"/>
              <w:ind w:left="248" w:right="189"/>
              <w:rPr>
                <w:sz w:val="18"/>
              </w:rPr>
            </w:pPr>
            <w:r>
              <w:rPr>
                <w:sz w:val="18"/>
              </w:rPr>
              <w:t>Capacidades.</w:t>
            </w:r>
          </w:p>
        </w:tc>
        <w:tc>
          <w:tcPr>
            <w:tcW w:w="590" w:type="dxa"/>
            <w:textDirection w:val="btLr"/>
          </w:tcPr>
          <w:p>
            <w:pPr>
              <w:pStyle w:val="TableParagraph"/>
              <w:spacing w:line="249" w:lineRule="auto" w:before="76"/>
              <w:ind w:left="330" w:right="189" w:hanging="135"/>
              <w:rPr>
                <w:sz w:val="18"/>
              </w:rPr>
            </w:pPr>
            <w:r>
              <w:rPr>
                <w:spacing w:val="-1"/>
                <w:sz w:val="18"/>
              </w:rPr>
              <w:t>Oportunidades </w:t>
            </w:r>
            <w:r>
              <w:rPr>
                <w:sz w:val="18"/>
              </w:rPr>
              <w:t>de ingreso.</w:t>
            </w:r>
          </w:p>
        </w:tc>
        <w:tc>
          <w:tcPr>
            <w:tcW w:w="471" w:type="dxa"/>
            <w:textDirection w:val="btLr"/>
          </w:tcPr>
          <w:p>
            <w:pPr>
              <w:pStyle w:val="TableParagraph"/>
              <w:spacing w:before="125"/>
              <w:ind w:left="303" w:right="189"/>
              <w:rPr>
                <w:sz w:val="18"/>
              </w:rPr>
            </w:pPr>
            <w:r>
              <w:rPr>
                <w:spacing w:val="-1"/>
                <w:sz w:val="18"/>
              </w:rPr>
              <w:t>Patrimonio.</w:t>
            </w:r>
          </w:p>
        </w:tc>
        <w:tc>
          <w:tcPr>
            <w:tcW w:w="431" w:type="dxa"/>
            <w:textDirection w:val="btLr"/>
          </w:tcPr>
          <w:p>
            <w:pPr>
              <w:pStyle w:val="TableParagraph"/>
              <w:spacing w:before="105"/>
              <w:ind w:left="328" w:right="189"/>
              <w:rPr>
                <w:sz w:val="18"/>
              </w:rPr>
            </w:pPr>
            <w:r>
              <w:rPr>
                <w:spacing w:val="-1"/>
                <w:sz w:val="18"/>
              </w:rPr>
              <w:t>Asistencia.</w:t>
            </w:r>
          </w:p>
        </w:tc>
      </w:tr>
      <w:tr>
        <w:trPr>
          <w:trHeight w:val="491" w:hRule="exact"/>
        </w:trPr>
        <w:tc>
          <w:tcPr>
            <w:tcW w:w="4394" w:type="dxa"/>
          </w:tcPr>
          <w:p>
            <w:pPr>
              <w:pStyle w:val="TableParagraph"/>
              <w:spacing w:line="249" w:lineRule="auto" w:before="19"/>
              <w:ind w:left="51"/>
              <w:rPr>
                <w:sz w:val="18"/>
              </w:rPr>
            </w:pPr>
            <w:r>
              <w:rPr>
                <w:sz w:val="18"/>
              </w:rPr>
              <w:t>El Instituto para la Atención de los Adultos Mayores (IAAM).</w:t>
            </w:r>
          </w:p>
        </w:tc>
        <w:tc>
          <w:tcPr>
            <w:tcW w:w="702" w:type="dxa"/>
          </w:tcPr>
          <w:p>
            <w:pPr>
              <w:pStyle w:val="TableParagraph"/>
              <w:spacing w:before="135"/>
              <w:jc w:val="center"/>
              <w:rPr>
                <w:sz w:val="18"/>
              </w:rPr>
            </w:pPr>
            <w:r>
              <w:rPr>
                <w:sz w:val="18"/>
              </w:rPr>
              <w:t>0</w:t>
            </w:r>
          </w:p>
        </w:tc>
        <w:tc>
          <w:tcPr>
            <w:tcW w:w="488" w:type="dxa"/>
          </w:tcPr>
          <w:p>
            <w:pPr>
              <w:pStyle w:val="TableParagraph"/>
              <w:spacing w:before="135"/>
              <w:jc w:val="center"/>
              <w:rPr>
                <w:sz w:val="18"/>
              </w:rPr>
            </w:pPr>
            <w:r>
              <w:rPr>
                <w:sz w:val="18"/>
              </w:rPr>
              <w:t>9</w:t>
            </w:r>
          </w:p>
        </w:tc>
        <w:tc>
          <w:tcPr>
            <w:tcW w:w="590" w:type="dxa"/>
          </w:tcPr>
          <w:p>
            <w:pPr>
              <w:pStyle w:val="TableParagraph"/>
              <w:spacing w:before="135"/>
              <w:jc w:val="center"/>
              <w:rPr>
                <w:sz w:val="18"/>
              </w:rPr>
            </w:pPr>
            <w:r>
              <w:rPr>
                <w:sz w:val="18"/>
              </w:rPr>
              <w:t>1</w:t>
            </w:r>
          </w:p>
        </w:tc>
        <w:tc>
          <w:tcPr>
            <w:tcW w:w="471" w:type="dxa"/>
          </w:tcPr>
          <w:p>
            <w:pPr>
              <w:pStyle w:val="TableParagraph"/>
              <w:spacing w:before="135"/>
              <w:ind w:left="185"/>
              <w:rPr>
                <w:sz w:val="18"/>
              </w:rPr>
            </w:pPr>
            <w:r>
              <w:rPr>
                <w:sz w:val="18"/>
              </w:rPr>
              <w:t>0</w:t>
            </w:r>
          </w:p>
        </w:tc>
        <w:tc>
          <w:tcPr>
            <w:tcW w:w="431" w:type="dxa"/>
          </w:tcPr>
          <w:p>
            <w:pPr>
              <w:pStyle w:val="TableParagraph"/>
              <w:spacing w:before="135"/>
              <w:ind w:left="120"/>
              <w:rPr>
                <w:sz w:val="18"/>
              </w:rPr>
            </w:pPr>
            <w:r>
              <w:rPr>
                <w:sz w:val="18"/>
              </w:rPr>
              <w:t>13</w:t>
            </w:r>
          </w:p>
        </w:tc>
      </w:tr>
      <w:tr>
        <w:trPr>
          <w:trHeight w:val="275" w:hRule="exact"/>
        </w:trPr>
        <w:tc>
          <w:tcPr>
            <w:tcW w:w="4394" w:type="dxa"/>
          </w:tcPr>
          <w:p>
            <w:pPr>
              <w:pStyle w:val="TableParagraph"/>
              <w:spacing w:before="20"/>
              <w:ind w:left="51"/>
              <w:rPr>
                <w:sz w:val="18"/>
              </w:rPr>
            </w:pPr>
            <w:r>
              <w:rPr>
                <w:sz w:val="18"/>
              </w:rPr>
              <w:t>El Instituto Hidalguense de la Juventud (IHJ).</w:t>
            </w:r>
          </w:p>
        </w:tc>
        <w:tc>
          <w:tcPr>
            <w:tcW w:w="702" w:type="dxa"/>
          </w:tcPr>
          <w:p>
            <w:pPr>
              <w:pStyle w:val="TableParagraph"/>
              <w:spacing w:before="26"/>
              <w:jc w:val="center"/>
              <w:rPr>
                <w:sz w:val="18"/>
              </w:rPr>
            </w:pPr>
            <w:r>
              <w:rPr>
                <w:sz w:val="18"/>
              </w:rPr>
              <w:t>2</w:t>
            </w:r>
          </w:p>
        </w:tc>
        <w:tc>
          <w:tcPr>
            <w:tcW w:w="488" w:type="dxa"/>
          </w:tcPr>
          <w:p>
            <w:pPr>
              <w:pStyle w:val="TableParagraph"/>
              <w:spacing w:before="26"/>
              <w:jc w:val="center"/>
              <w:rPr>
                <w:sz w:val="18"/>
              </w:rPr>
            </w:pPr>
            <w:r>
              <w:rPr>
                <w:sz w:val="18"/>
              </w:rPr>
              <w:t>8</w:t>
            </w:r>
          </w:p>
        </w:tc>
        <w:tc>
          <w:tcPr>
            <w:tcW w:w="590" w:type="dxa"/>
          </w:tcPr>
          <w:p>
            <w:pPr>
              <w:pStyle w:val="TableParagraph"/>
              <w:spacing w:before="26"/>
              <w:jc w:val="center"/>
              <w:rPr>
                <w:sz w:val="18"/>
              </w:rPr>
            </w:pPr>
            <w:r>
              <w:rPr>
                <w:sz w:val="18"/>
              </w:rPr>
              <w:t>1</w:t>
            </w:r>
          </w:p>
        </w:tc>
        <w:tc>
          <w:tcPr>
            <w:tcW w:w="471" w:type="dxa"/>
          </w:tcPr>
          <w:p>
            <w:pPr>
              <w:pStyle w:val="TableParagraph"/>
              <w:spacing w:before="26"/>
              <w:ind w:left="185"/>
              <w:rPr>
                <w:sz w:val="18"/>
              </w:rPr>
            </w:pPr>
            <w:r>
              <w:rPr>
                <w:sz w:val="18"/>
              </w:rPr>
              <w:t>0</w:t>
            </w:r>
          </w:p>
        </w:tc>
        <w:tc>
          <w:tcPr>
            <w:tcW w:w="431" w:type="dxa"/>
          </w:tcPr>
          <w:p>
            <w:pPr>
              <w:pStyle w:val="TableParagraph"/>
              <w:spacing w:before="26"/>
              <w:ind w:left="165"/>
              <w:rPr>
                <w:sz w:val="18"/>
              </w:rPr>
            </w:pPr>
            <w:r>
              <w:rPr>
                <w:sz w:val="18"/>
              </w:rPr>
              <w:t>5</w:t>
            </w:r>
          </w:p>
        </w:tc>
      </w:tr>
      <w:tr>
        <w:trPr>
          <w:trHeight w:val="269" w:hRule="exact"/>
        </w:trPr>
        <w:tc>
          <w:tcPr>
            <w:tcW w:w="4394" w:type="dxa"/>
          </w:tcPr>
          <w:p>
            <w:pPr>
              <w:pStyle w:val="TableParagraph"/>
              <w:spacing w:before="19"/>
              <w:ind w:left="51"/>
              <w:rPr>
                <w:sz w:val="18"/>
              </w:rPr>
            </w:pPr>
            <w:r>
              <w:rPr>
                <w:sz w:val="18"/>
              </w:rPr>
              <w:t>El Instituto Hidalguense de las Mujeres (IHM).</w:t>
            </w:r>
          </w:p>
        </w:tc>
        <w:tc>
          <w:tcPr>
            <w:tcW w:w="702" w:type="dxa"/>
          </w:tcPr>
          <w:p>
            <w:pPr>
              <w:pStyle w:val="TableParagraph"/>
              <w:spacing w:before="23"/>
              <w:jc w:val="center"/>
              <w:rPr>
                <w:sz w:val="18"/>
              </w:rPr>
            </w:pPr>
            <w:r>
              <w:rPr>
                <w:sz w:val="18"/>
              </w:rPr>
              <w:t>1</w:t>
            </w:r>
          </w:p>
        </w:tc>
        <w:tc>
          <w:tcPr>
            <w:tcW w:w="488" w:type="dxa"/>
          </w:tcPr>
          <w:p>
            <w:pPr>
              <w:pStyle w:val="TableParagraph"/>
              <w:spacing w:before="23"/>
              <w:jc w:val="center"/>
              <w:rPr>
                <w:sz w:val="18"/>
              </w:rPr>
            </w:pPr>
            <w:r>
              <w:rPr>
                <w:sz w:val="18"/>
              </w:rPr>
              <w:t>1</w:t>
            </w:r>
          </w:p>
        </w:tc>
        <w:tc>
          <w:tcPr>
            <w:tcW w:w="590" w:type="dxa"/>
          </w:tcPr>
          <w:p>
            <w:pPr>
              <w:pStyle w:val="TableParagraph"/>
              <w:spacing w:before="23"/>
              <w:jc w:val="center"/>
              <w:rPr>
                <w:sz w:val="18"/>
              </w:rPr>
            </w:pPr>
            <w:r>
              <w:rPr>
                <w:sz w:val="18"/>
              </w:rPr>
              <w:t>1</w:t>
            </w:r>
          </w:p>
        </w:tc>
        <w:tc>
          <w:tcPr>
            <w:tcW w:w="471" w:type="dxa"/>
          </w:tcPr>
          <w:p>
            <w:pPr>
              <w:pStyle w:val="TableParagraph"/>
              <w:spacing w:before="23"/>
              <w:ind w:left="185"/>
              <w:rPr>
                <w:sz w:val="18"/>
              </w:rPr>
            </w:pPr>
            <w:r>
              <w:rPr>
                <w:sz w:val="18"/>
              </w:rPr>
              <w:t>0</w:t>
            </w:r>
          </w:p>
        </w:tc>
        <w:tc>
          <w:tcPr>
            <w:tcW w:w="431" w:type="dxa"/>
          </w:tcPr>
          <w:p>
            <w:pPr>
              <w:pStyle w:val="TableParagraph"/>
              <w:spacing w:before="23"/>
              <w:ind w:left="165"/>
              <w:rPr>
                <w:sz w:val="18"/>
              </w:rPr>
            </w:pPr>
            <w:r>
              <w:rPr>
                <w:sz w:val="18"/>
              </w:rPr>
              <w:t>2</w:t>
            </w:r>
          </w:p>
        </w:tc>
      </w:tr>
      <w:tr>
        <w:trPr>
          <w:trHeight w:val="507" w:hRule="exact"/>
        </w:trPr>
        <w:tc>
          <w:tcPr>
            <w:tcW w:w="4394" w:type="dxa"/>
          </w:tcPr>
          <w:p>
            <w:pPr>
              <w:pStyle w:val="TableParagraph"/>
              <w:spacing w:line="249" w:lineRule="auto" w:before="19"/>
              <w:ind w:left="51"/>
              <w:rPr>
                <w:sz w:val="18"/>
              </w:rPr>
            </w:pPr>
            <w:r>
              <w:rPr>
                <w:sz w:val="18"/>
              </w:rPr>
              <w:t>La Secretaría de Desarrollo Social del Estado de Hidalgo (SEDESO).</w:t>
            </w:r>
          </w:p>
        </w:tc>
        <w:tc>
          <w:tcPr>
            <w:tcW w:w="702" w:type="dxa"/>
          </w:tcPr>
          <w:p>
            <w:pPr>
              <w:pStyle w:val="TableParagraph"/>
              <w:spacing w:before="142"/>
              <w:jc w:val="center"/>
              <w:rPr>
                <w:sz w:val="18"/>
              </w:rPr>
            </w:pPr>
            <w:r>
              <w:rPr>
                <w:sz w:val="18"/>
              </w:rPr>
              <w:t>3</w:t>
            </w:r>
          </w:p>
        </w:tc>
        <w:tc>
          <w:tcPr>
            <w:tcW w:w="488" w:type="dxa"/>
          </w:tcPr>
          <w:p>
            <w:pPr>
              <w:pStyle w:val="TableParagraph"/>
              <w:spacing w:before="142"/>
              <w:jc w:val="center"/>
              <w:rPr>
                <w:sz w:val="18"/>
              </w:rPr>
            </w:pPr>
            <w:r>
              <w:rPr>
                <w:sz w:val="18"/>
              </w:rPr>
              <w:t>1</w:t>
            </w:r>
          </w:p>
        </w:tc>
        <w:tc>
          <w:tcPr>
            <w:tcW w:w="590" w:type="dxa"/>
          </w:tcPr>
          <w:p>
            <w:pPr>
              <w:pStyle w:val="TableParagraph"/>
              <w:spacing w:before="142"/>
              <w:ind w:left="179" w:right="179"/>
              <w:jc w:val="center"/>
              <w:rPr>
                <w:sz w:val="18"/>
              </w:rPr>
            </w:pPr>
            <w:r>
              <w:rPr>
                <w:sz w:val="18"/>
              </w:rPr>
              <w:t>10</w:t>
            </w:r>
          </w:p>
        </w:tc>
        <w:tc>
          <w:tcPr>
            <w:tcW w:w="471" w:type="dxa"/>
          </w:tcPr>
          <w:p>
            <w:pPr>
              <w:pStyle w:val="TableParagraph"/>
              <w:spacing w:before="142"/>
              <w:ind w:left="185"/>
              <w:rPr>
                <w:sz w:val="18"/>
              </w:rPr>
            </w:pPr>
            <w:r>
              <w:rPr>
                <w:sz w:val="18"/>
              </w:rPr>
              <w:t>0</w:t>
            </w:r>
          </w:p>
        </w:tc>
        <w:tc>
          <w:tcPr>
            <w:tcW w:w="431" w:type="dxa"/>
          </w:tcPr>
          <w:p>
            <w:pPr>
              <w:pStyle w:val="TableParagraph"/>
              <w:spacing w:before="142"/>
              <w:ind w:left="165"/>
              <w:rPr>
                <w:sz w:val="18"/>
              </w:rPr>
            </w:pPr>
            <w:r>
              <w:rPr>
                <w:sz w:val="18"/>
              </w:rPr>
              <w:t>5</w:t>
            </w:r>
          </w:p>
        </w:tc>
      </w:tr>
      <w:tr>
        <w:trPr>
          <w:trHeight w:val="495" w:hRule="exact"/>
        </w:trPr>
        <w:tc>
          <w:tcPr>
            <w:tcW w:w="4394" w:type="dxa"/>
          </w:tcPr>
          <w:p>
            <w:pPr>
              <w:pStyle w:val="TableParagraph"/>
              <w:spacing w:line="249" w:lineRule="auto" w:before="19"/>
              <w:ind w:left="51"/>
              <w:rPr>
                <w:sz w:val="18"/>
              </w:rPr>
            </w:pPr>
            <w:r>
              <w:rPr>
                <w:sz w:val="18"/>
              </w:rPr>
              <w:t>La Secretaría de Educación Pública del Estado de Hidalgo (SEPH).</w:t>
            </w:r>
          </w:p>
        </w:tc>
        <w:tc>
          <w:tcPr>
            <w:tcW w:w="702" w:type="dxa"/>
          </w:tcPr>
          <w:p>
            <w:pPr>
              <w:pStyle w:val="TableParagraph"/>
              <w:spacing w:before="136"/>
              <w:jc w:val="center"/>
              <w:rPr>
                <w:sz w:val="18"/>
              </w:rPr>
            </w:pPr>
            <w:r>
              <w:rPr>
                <w:sz w:val="18"/>
              </w:rPr>
              <w:t>3</w:t>
            </w:r>
          </w:p>
        </w:tc>
        <w:tc>
          <w:tcPr>
            <w:tcW w:w="488" w:type="dxa"/>
          </w:tcPr>
          <w:p>
            <w:pPr>
              <w:pStyle w:val="TableParagraph"/>
              <w:spacing w:before="136"/>
              <w:jc w:val="center"/>
              <w:rPr>
                <w:sz w:val="18"/>
              </w:rPr>
            </w:pPr>
            <w:r>
              <w:rPr>
                <w:sz w:val="18"/>
              </w:rPr>
              <w:t>2</w:t>
            </w:r>
          </w:p>
        </w:tc>
        <w:tc>
          <w:tcPr>
            <w:tcW w:w="590" w:type="dxa"/>
          </w:tcPr>
          <w:p>
            <w:pPr>
              <w:pStyle w:val="TableParagraph"/>
              <w:spacing w:before="136"/>
              <w:jc w:val="center"/>
              <w:rPr>
                <w:sz w:val="18"/>
              </w:rPr>
            </w:pPr>
            <w:r>
              <w:rPr>
                <w:sz w:val="18"/>
              </w:rPr>
              <w:t>0</w:t>
            </w:r>
          </w:p>
        </w:tc>
        <w:tc>
          <w:tcPr>
            <w:tcW w:w="471" w:type="dxa"/>
          </w:tcPr>
          <w:p>
            <w:pPr>
              <w:pStyle w:val="TableParagraph"/>
              <w:spacing w:before="136"/>
              <w:ind w:left="185"/>
              <w:rPr>
                <w:sz w:val="18"/>
              </w:rPr>
            </w:pPr>
            <w:r>
              <w:rPr>
                <w:sz w:val="18"/>
              </w:rPr>
              <w:t>0</w:t>
            </w:r>
          </w:p>
        </w:tc>
        <w:tc>
          <w:tcPr>
            <w:tcW w:w="431" w:type="dxa"/>
          </w:tcPr>
          <w:p>
            <w:pPr>
              <w:pStyle w:val="TableParagraph"/>
              <w:spacing w:before="136"/>
              <w:ind w:left="165"/>
              <w:rPr>
                <w:sz w:val="18"/>
              </w:rPr>
            </w:pPr>
            <w:r>
              <w:rPr>
                <w:sz w:val="18"/>
              </w:rPr>
              <w:t>2</w:t>
            </w:r>
          </w:p>
        </w:tc>
      </w:tr>
      <w:tr>
        <w:trPr>
          <w:trHeight w:val="269" w:hRule="exact"/>
        </w:trPr>
        <w:tc>
          <w:tcPr>
            <w:tcW w:w="4394" w:type="dxa"/>
          </w:tcPr>
          <w:p>
            <w:pPr>
              <w:pStyle w:val="TableParagraph"/>
              <w:spacing w:before="19"/>
              <w:ind w:left="51"/>
              <w:rPr>
                <w:sz w:val="18"/>
              </w:rPr>
            </w:pPr>
            <w:r>
              <w:rPr>
                <w:sz w:val="18"/>
              </w:rPr>
              <w:t>El</w:t>
            </w:r>
            <w:r>
              <w:rPr>
                <w:spacing w:val="-11"/>
                <w:sz w:val="18"/>
              </w:rPr>
              <w:t> </w:t>
            </w:r>
            <w:r>
              <w:rPr>
                <w:sz w:val="18"/>
              </w:rPr>
              <w:t>Centro</w:t>
            </w:r>
            <w:r>
              <w:rPr>
                <w:spacing w:val="-11"/>
                <w:sz w:val="18"/>
              </w:rPr>
              <w:t> </w:t>
            </w:r>
            <w:r>
              <w:rPr>
                <w:sz w:val="18"/>
              </w:rPr>
              <w:t>Estatal</w:t>
            </w:r>
            <w:r>
              <w:rPr>
                <w:spacing w:val="-11"/>
                <w:sz w:val="18"/>
              </w:rPr>
              <w:t> </w:t>
            </w:r>
            <w:r>
              <w:rPr>
                <w:sz w:val="18"/>
              </w:rPr>
              <w:t>de</w:t>
            </w:r>
            <w:r>
              <w:rPr>
                <w:spacing w:val="-11"/>
                <w:sz w:val="18"/>
              </w:rPr>
              <w:t> </w:t>
            </w:r>
            <w:r>
              <w:rPr>
                <w:sz w:val="18"/>
              </w:rPr>
              <w:t>Lenguas</w:t>
            </w:r>
            <w:r>
              <w:rPr>
                <w:spacing w:val="-11"/>
                <w:sz w:val="18"/>
              </w:rPr>
              <w:t> </w:t>
            </w:r>
            <w:r>
              <w:rPr>
                <w:sz w:val="18"/>
              </w:rPr>
              <w:t>y</w:t>
            </w:r>
            <w:r>
              <w:rPr>
                <w:spacing w:val="-11"/>
                <w:sz w:val="18"/>
              </w:rPr>
              <w:t> </w:t>
            </w:r>
            <w:r>
              <w:rPr>
                <w:sz w:val="18"/>
              </w:rPr>
              <w:t>Culturas</w:t>
            </w:r>
            <w:r>
              <w:rPr>
                <w:spacing w:val="-11"/>
                <w:sz w:val="18"/>
              </w:rPr>
              <w:t> </w:t>
            </w:r>
            <w:r>
              <w:rPr>
                <w:sz w:val="18"/>
              </w:rPr>
              <w:t>Indígenas</w:t>
            </w:r>
            <w:r>
              <w:rPr>
                <w:spacing w:val="-11"/>
                <w:sz w:val="18"/>
              </w:rPr>
              <w:t> </w:t>
            </w:r>
            <w:r>
              <w:rPr>
                <w:sz w:val="18"/>
              </w:rPr>
              <w:t>(CELCI).</w:t>
            </w:r>
          </w:p>
        </w:tc>
        <w:tc>
          <w:tcPr>
            <w:tcW w:w="702" w:type="dxa"/>
          </w:tcPr>
          <w:p>
            <w:pPr>
              <w:pStyle w:val="TableParagraph"/>
              <w:spacing w:before="23"/>
              <w:jc w:val="center"/>
              <w:rPr>
                <w:sz w:val="18"/>
              </w:rPr>
            </w:pPr>
            <w:r>
              <w:rPr>
                <w:sz w:val="18"/>
              </w:rPr>
              <w:t>0</w:t>
            </w:r>
          </w:p>
        </w:tc>
        <w:tc>
          <w:tcPr>
            <w:tcW w:w="488" w:type="dxa"/>
          </w:tcPr>
          <w:p>
            <w:pPr>
              <w:pStyle w:val="TableParagraph"/>
              <w:spacing w:before="23"/>
              <w:jc w:val="center"/>
              <w:rPr>
                <w:sz w:val="18"/>
              </w:rPr>
            </w:pPr>
            <w:r>
              <w:rPr>
                <w:sz w:val="18"/>
              </w:rPr>
              <w:t>1</w:t>
            </w:r>
          </w:p>
        </w:tc>
        <w:tc>
          <w:tcPr>
            <w:tcW w:w="590" w:type="dxa"/>
          </w:tcPr>
          <w:p>
            <w:pPr>
              <w:pStyle w:val="TableParagraph"/>
              <w:spacing w:before="23"/>
              <w:jc w:val="center"/>
              <w:rPr>
                <w:sz w:val="18"/>
              </w:rPr>
            </w:pPr>
            <w:r>
              <w:rPr>
                <w:sz w:val="18"/>
              </w:rPr>
              <w:t>0</w:t>
            </w:r>
          </w:p>
        </w:tc>
        <w:tc>
          <w:tcPr>
            <w:tcW w:w="471" w:type="dxa"/>
          </w:tcPr>
          <w:p>
            <w:pPr>
              <w:pStyle w:val="TableParagraph"/>
              <w:spacing w:before="23"/>
              <w:ind w:left="185"/>
              <w:rPr>
                <w:sz w:val="18"/>
              </w:rPr>
            </w:pPr>
            <w:r>
              <w:rPr>
                <w:sz w:val="18"/>
              </w:rPr>
              <w:t>0</w:t>
            </w:r>
          </w:p>
        </w:tc>
        <w:tc>
          <w:tcPr>
            <w:tcW w:w="431" w:type="dxa"/>
          </w:tcPr>
          <w:p>
            <w:pPr>
              <w:pStyle w:val="TableParagraph"/>
              <w:spacing w:before="23"/>
              <w:ind w:left="165"/>
              <w:rPr>
                <w:sz w:val="18"/>
              </w:rPr>
            </w:pPr>
            <w:r>
              <w:rPr>
                <w:sz w:val="18"/>
              </w:rPr>
              <w:t>0</w:t>
            </w:r>
          </w:p>
        </w:tc>
      </w:tr>
      <w:tr>
        <w:trPr>
          <w:trHeight w:val="275" w:hRule="exact"/>
        </w:trPr>
        <w:tc>
          <w:tcPr>
            <w:tcW w:w="4394" w:type="dxa"/>
          </w:tcPr>
          <w:p>
            <w:pPr>
              <w:pStyle w:val="TableParagraph"/>
              <w:spacing w:before="19"/>
              <w:ind w:left="51"/>
              <w:rPr>
                <w:sz w:val="18"/>
              </w:rPr>
            </w:pPr>
            <w:r>
              <w:rPr>
                <w:sz w:val="18"/>
              </w:rPr>
              <w:t>El Bachillerato del Estado de Hidalgo (BEH).</w:t>
            </w:r>
          </w:p>
        </w:tc>
        <w:tc>
          <w:tcPr>
            <w:tcW w:w="702" w:type="dxa"/>
          </w:tcPr>
          <w:p>
            <w:pPr>
              <w:pStyle w:val="TableParagraph"/>
              <w:spacing w:before="26"/>
              <w:jc w:val="center"/>
              <w:rPr>
                <w:sz w:val="18"/>
              </w:rPr>
            </w:pPr>
            <w:r>
              <w:rPr>
                <w:sz w:val="18"/>
              </w:rPr>
              <w:t>0</w:t>
            </w:r>
          </w:p>
        </w:tc>
        <w:tc>
          <w:tcPr>
            <w:tcW w:w="488" w:type="dxa"/>
          </w:tcPr>
          <w:p>
            <w:pPr>
              <w:pStyle w:val="TableParagraph"/>
              <w:spacing w:before="26"/>
              <w:jc w:val="center"/>
              <w:rPr>
                <w:sz w:val="18"/>
              </w:rPr>
            </w:pPr>
            <w:r>
              <w:rPr>
                <w:sz w:val="18"/>
              </w:rPr>
              <w:t>1</w:t>
            </w:r>
          </w:p>
        </w:tc>
        <w:tc>
          <w:tcPr>
            <w:tcW w:w="590" w:type="dxa"/>
          </w:tcPr>
          <w:p>
            <w:pPr>
              <w:pStyle w:val="TableParagraph"/>
              <w:spacing w:before="26"/>
              <w:jc w:val="center"/>
              <w:rPr>
                <w:sz w:val="18"/>
              </w:rPr>
            </w:pPr>
            <w:r>
              <w:rPr>
                <w:sz w:val="18"/>
              </w:rPr>
              <w:t>0</w:t>
            </w:r>
          </w:p>
        </w:tc>
        <w:tc>
          <w:tcPr>
            <w:tcW w:w="471" w:type="dxa"/>
          </w:tcPr>
          <w:p>
            <w:pPr>
              <w:pStyle w:val="TableParagraph"/>
              <w:spacing w:before="26"/>
              <w:ind w:left="185"/>
              <w:rPr>
                <w:sz w:val="18"/>
              </w:rPr>
            </w:pPr>
            <w:r>
              <w:rPr>
                <w:sz w:val="18"/>
              </w:rPr>
              <w:t>0</w:t>
            </w:r>
          </w:p>
        </w:tc>
        <w:tc>
          <w:tcPr>
            <w:tcW w:w="431" w:type="dxa"/>
          </w:tcPr>
          <w:p>
            <w:pPr>
              <w:pStyle w:val="TableParagraph"/>
              <w:spacing w:before="26"/>
              <w:ind w:left="165"/>
              <w:rPr>
                <w:sz w:val="18"/>
              </w:rPr>
            </w:pPr>
            <w:r>
              <w:rPr>
                <w:sz w:val="18"/>
              </w:rPr>
              <w:t>0</w:t>
            </w:r>
          </w:p>
        </w:tc>
      </w:tr>
      <w:tr>
        <w:trPr>
          <w:trHeight w:val="496" w:hRule="exact"/>
        </w:trPr>
        <w:tc>
          <w:tcPr>
            <w:tcW w:w="4394" w:type="dxa"/>
          </w:tcPr>
          <w:p>
            <w:pPr>
              <w:pStyle w:val="TableParagraph"/>
              <w:spacing w:line="249" w:lineRule="auto" w:before="19"/>
              <w:ind w:left="51"/>
              <w:rPr>
                <w:sz w:val="18"/>
              </w:rPr>
            </w:pPr>
            <w:r>
              <w:rPr>
                <w:sz w:val="18"/>
              </w:rPr>
              <w:t>El Instituto Hidalguense de Financiamiento a la Educación Superior (IHFES).</w:t>
            </w:r>
          </w:p>
        </w:tc>
        <w:tc>
          <w:tcPr>
            <w:tcW w:w="702" w:type="dxa"/>
          </w:tcPr>
          <w:p>
            <w:pPr>
              <w:pStyle w:val="TableParagraph"/>
              <w:spacing w:before="137"/>
              <w:jc w:val="center"/>
              <w:rPr>
                <w:sz w:val="18"/>
              </w:rPr>
            </w:pPr>
            <w:r>
              <w:rPr>
                <w:sz w:val="18"/>
              </w:rPr>
              <w:t>0</w:t>
            </w:r>
          </w:p>
        </w:tc>
        <w:tc>
          <w:tcPr>
            <w:tcW w:w="488" w:type="dxa"/>
          </w:tcPr>
          <w:p>
            <w:pPr>
              <w:pStyle w:val="TableParagraph"/>
              <w:spacing w:before="137"/>
              <w:jc w:val="center"/>
              <w:rPr>
                <w:sz w:val="18"/>
              </w:rPr>
            </w:pPr>
            <w:r>
              <w:rPr>
                <w:sz w:val="18"/>
              </w:rPr>
              <w:t>1</w:t>
            </w:r>
          </w:p>
        </w:tc>
        <w:tc>
          <w:tcPr>
            <w:tcW w:w="590" w:type="dxa"/>
          </w:tcPr>
          <w:p>
            <w:pPr>
              <w:pStyle w:val="TableParagraph"/>
              <w:spacing w:before="137"/>
              <w:jc w:val="center"/>
              <w:rPr>
                <w:sz w:val="18"/>
              </w:rPr>
            </w:pPr>
            <w:r>
              <w:rPr>
                <w:sz w:val="18"/>
              </w:rPr>
              <w:t>0</w:t>
            </w:r>
          </w:p>
        </w:tc>
        <w:tc>
          <w:tcPr>
            <w:tcW w:w="471" w:type="dxa"/>
          </w:tcPr>
          <w:p>
            <w:pPr>
              <w:pStyle w:val="TableParagraph"/>
              <w:spacing w:before="137"/>
              <w:ind w:left="185"/>
              <w:rPr>
                <w:sz w:val="18"/>
              </w:rPr>
            </w:pPr>
            <w:r>
              <w:rPr>
                <w:sz w:val="18"/>
              </w:rPr>
              <w:t>0</w:t>
            </w:r>
          </w:p>
        </w:tc>
        <w:tc>
          <w:tcPr>
            <w:tcW w:w="431" w:type="dxa"/>
          </w:tcPr>
          <w:p>
            <w:pPr>
              <w:pStyle w:val="TableParagraph"/>
              <w:spacing w:before="137"/>
              <w:ind w:left="165"/>
              <w:rPr>
                <w:sz w:val="18"/>
              </w:rPr>
            </w:pPr>
            <w:r>
              <w:rPr>
                <w:sz w:val="18"/>
              </w:rPr>
              <w:t>0</w:t>
            </w:r>
          </w:p>
        </w:tc>
      </w:tr>
      <w:tr>
        <w:trPr>
          <w:trHeight w:val="268" w:hRule="exact"/>
        </w:trPr>
        <w:tc>
          <w:tcPr>
            <w:tcW w:w="4394" w:type="dxa"/>
          </w:tcPr>
          <w:p>
            <w:pPr>
              <w:pStyle w:val="TableParagraph"/>
              <w:spacing w:before="19"/>
              <w:ind w:left="51"/>
              <w:rPr>
                <w:sz w:val="18"/>
              </w:rPr>
            </w:pPr>
            <w:r>
              <w:rPr>
                <w:sz w:val="18"/>
              </w:rPr>
              <w:t>La Secretaría de Salud del Estado de Hidalgo (SSH).</w:t>
            </w:r>
          </w:p>
        </w:tc>
        <w:tc>
          <w:tcPr>
            <w:tcW w:w="702" w:type="dxa"/>
          </w:tcPr>
          <w:p>
            <w:pPr>
              <w:pStyle w:val="TableParagraph"/>
              <w:spacing w:before="23"/>
              <w:ind w:left="236" w:right="236"/>
              <w:jc w:val="center"/>
              <w:rPr>
                <w:sz w:val="18"/>
              </w:rPr>
            </w:pPr>
            <w:r>
              <w:rPr>
                <w:sz w:val="18"/>
              </w:rPr>
              <w:t>29</w:t>
            </w:r>
          </w:p>
        </w:tc>
        <w:tc>
          <w:tcPr>
            <w:tcW w:w="488" w:type="dxa"/>
          </w:tcPr>
          <w:p>
            <w:pPr>
              <w:pStyle w:val="TableParagraph"/>
              <w:spacing w:before="23"/>
              <w:jc w:val="center"/>
              <w:rPr>
                <w:sz w:val="18"/>
              </w:rPr>
            </w:pPr>
            <w:r>
              <w:rPr>
                <w:sz w:val="18"/>
              </w:rPr>
              <w:t>0</w:t>
            </w:r>
          </w:p>
        </w:tc>
        <w:tc>
          <w:tcPr>
            <w:tcW w:w="590" w:type="dxa"/>
          </w:tcPr>
          <w:p>
            <w:pPr>
              <w:pStyle w:val="TableParagraph"/>
              <w:spacing w:before="23"/>
              <w:jc w:val="center"/>
              <w:rPr>
                <w:sz w:val="18"/>
              </w:rPr>
            </w:pPr>
            <w:r>
              <w:rPr>
                <w:sz w:val="18"/>
              </w:rPr>
              <w:t>0</w:t>
            </w:r>
          </w:p>
        </w:tc>
        <w:tc>
          <w:tcPr>
            <w:tcW w:w="471" w:type="dxa"/>
          </w:tcPr>
          <w:p>
            <w:pPr>
              <w:pStyle w:val="TableParagraph"/>
              <w:spacing w:before="23"/>
              <w:ind w:left="185"/>
              <w:rPr>
                <w:sz w:val="18"/>
              </w:rPr>
            </w:pPr>
            <w:r>
              <w:rPr>
                <w:sz w:val="18"/>
              </w:rPr>
              <w:t>0</w:t>
            </w:r>
          </w:p>
        </w:tc>
        <w:tc>
          <w:tcPr>
            <w:tcW w:w="431" w:type="dxa"/>
          </w:tcPr>
          <w:p>
            <w:pPr>
              <w:pStyle w:val="TableParagraph"/>
              <w:spacing w:before="23"/>
              <w:ind w:left="165"/>
              <w:rPr>
                <w:sz w:val="18"/>
              </w:rPr>
            </w:pPr>
            <w:r>
              <w:rPr>
                <w:sz w:val="18"/>
              </w:rPr>
              <w:t>0</w:t>
            </w:r>
          </w:p>
        </w:tc>
      </w:tr>
      <w:tr>
        <w:trPr>
          <w:trHeight w:val="495" w:hRule="exact"/>
        </w:trPr>
        <w:tc>
          <w:tcPr>
            <w:tcW w:w="4394" w:type="dxa"/>
          </w:tcPr>
          <w:p>
            <w:pPr>
              <w:pStyle w:val="TableParagraph"/>
              <w:spacing w:line="249" w:lineRule="auto" w:before="19"/>
              <w:ind w:left="51"/>
              <w:rPr>
                <w:sz w:val="18"/>
              </w:rPr>
            </w:pPr>
            <w:r>
              <w:rPr>
                <w:sz w:val="18"/>
              </w:rPr>
              <w:t>El Sistema Estatal para el Desarrollo Integral de la Familia (DIFEH).</w:t>
            </w:r>
          </w:p>
        </w:tc>
        <w:tc>
          <w:tcPr>
            <w:tcW w:w="702" w:type="dxa"/>
          </w:tcPr>
          <w:p>
            <w:pPr>
              <w:pStyle w:val="TableParagraph"/>
              <w:spacing w:before="136"/>
              <w:ind w:left="236" w:right="236"/>
              <w:jc w:val="center"/>
              <w:rPr>
                <w:sz w:val="18"/>
              </w:rPr>
            </w:pPr>
            <w:r>
              <w:rPr>
                <w:sz w:val="18"/>
              </w:rPr>
              <w:t>18</w:t>
            </w:r>
          </w:p>
        </w:tc>
        <w:tc>
          <w:tcPr>
            <w:tcW w:w="488" w:type="dxa"/>
          </w:tcPr>
          <w:p>
            <w:pPr>
              <w:pStyle w:val="TableParagraph"/>
              <w:spacing w:before="136"/>
              <w:jc w:val="center"/>
              <w:rPr>
                <w:sz w:val="18"/>
              </w:rPr>
            </w:pPr>
            <w:r>
              <w:rPr>
                <w:sz w:val="18"/>
              </w:rPr>
              <w:t>6</w:t>
            </w:r>
          </w:p>
        </w:tc>
        <w:tc>
          <w:tcPr>
            <w:tcW w:w="590" w:type="dxa"/>
          </w:tcPr>
          <w:p>
            <w:pPr>
              <w:pStyle w:val="TableParagraph"/>
              <w:spacing w:before="136"/>
              <w:jc w:val="center"/>
              <w:rPr>
                <w:sz w:val="18"/>
              </w:rPr>
            </w:pPr>
            <w:r>
              <w:rPr>
                <w:sz w:val="18"/>
              </w:rPr>
              <w:t>0</w:t>
            </w:r>
          </w:p>
        </w:tc>
        <w:tc>
          <w:tcPr>
            <w:tcW w:w="471" w:type="dxa"/>
          </w:tcPr>
          <w:p>
            <w:pPr>
              <w:pStyle w:val="TableParagraph"/>
              <w:spacing w:before="136"/>
              <w:ind w:left="185"/>
              <w:rPr>
                <w:sz w:val="18"/>
              </w:rPr>
            </w:pPr>
            <w:r>
              <w:rPr>
                <w:sz w:val="18"/>
              </w:rPr>
              <w:t>1</w:t>
            </w:r>
          </w:p>
        </w:tc>
        <w:tc>
          <w:tcPr>
            <w:tcW w:w="431" w:type="dxa"/>
          </w:tcPr>
          <w:p>
            <w:pPr>
              <w:pStyle w:val="TableParagraph"/>
              <w:spacing w:before="136"/>
              <w:ind w:left="120"/>
              <w:rPr>
                <w:sz w:val="18"/>
              </w:rPr>
            </w:pPr>
            <w:r>
              <w:rPr>
                <w:sz w:val="18"/>
              </w:rPr>
              <w:t>14</w:t>
            </w:r>
          </w:p>
        </w:tc>
      </w:tr>
      <w:tr>
        <w:trPr>
          <w:trHeight w:val="499" w:hRule="exact"/>
        </w:trPr>
        <w:tc>
          <w:tcPr>
            <w:tcW w:w="4394" w:type="dxa"/>
          </w:tcPr>
          <w:p>
            <w:pPr>
              <w:pStyle w:val="TableParagraph"/>
              <w:spacing w:line="249" w:lineRule="auto" w:before="19"/>
              <w:ind w:left="51"/>
              <w:rPr>
                <w:sz w:val="18"/>
              </w:rPr>
            </w:pPr>
            <w:r>
              <w:rPr>
                <w:sz w:val="18"/>
              </w:rPr>
              <w:t>La Junta General de Asistencia Privada del Estado de Hidalgo (JGAPEH).</w:t>
            </w:r>
          </w:p>
        </w:tc>
        <w:tc>
          <w:tcPr>
            <w:tcW w:w="702" w:type="dxa"/>
          </w:tcPr>
          <w:p>
            <w:pPr/>
          </w:p>
        </w:tc>
        <w:tc>
          <w:tcPr>
            <w:tcW w:w="488" w:type="dxa"/>
          </w:tcPr>
          <w:p>
            <w:pPr/>
          </w:p>
        </w:tc>
        <w:tc>
          <w:tcPr>
            <w:tcW w:w="590" w:type="dxa"/>
          </w:tcPr>
          <w:p>
            <w:pPr/>
          </w:p>
        </w:tc>
        <w:tc>
          <w:tcPr>
            <w:tcW w:w="471" w:type="dxa"/>
          </w:tcPr>
          <w:p>
            <w:pPr/>
          </w:p>
        </w:tc>
        <w:tc>
          <w:tcPr>
            <w:tcW w:w="431" w:type="dxa"/>
          </w:tcPr>
          <w:p>
            <w:pPr/>
          </w:p>
        </w:tc>
      </w:tr>
      <w:tr>
        <w:trPr>
          <w:trHeight w:val="294" w:hRule="exact"/>
        </w:trPr>
        <w:tc>
          <w:tcPr>
            <w:tcW w:w="4394" w:type="dxa"/>
          </w:tcPr>
          <w:p>
            <w:pPr>
              <w:pStyle w:val="TableParagraph"/>
              <w:spacing w:before="19"/>
              <w:ind w:left="51"/>
              <w:rPr>
                <w:sz w:val="18"/>
              </w:rPr>
            </w:pPr>
            <w:r>
              <w:rPr>
                <w:sz w:val="18"/>
              </w:rPr>
              <w:t>La</w:t>
            </w:r>
            <w:r>
              <w:rPr>
                <w:spacing w:val="-22"/>
                <w:sz w:val="18"/>
              </w:rPr>
              <w:t> </w:t>
            </w:r>
            <w:r>
              <w:rPr>
                <w:sz w:val="18"/>
              </w:rPr>
              <w:t>Promotora</w:t>
            </w:r>
            <w:r>
              <w:rPr>
                <w:spacing w:val="-21"/>
                <w:sz w:val="18"/>
              </w:rPr>
              <w:t> </w:t>
            </w:r>
            <w:r>
              <w:rPr>
                <w:sz w:val="18"/>
              </w:rPr>
              <w:t>de</w:t>
            </w:r>
            <w:r>
              <w:rPr>
                <w:spacing w:val="-24"/>
                <w:sz w:val="18"/>
              </w:rPr>
              <w:t> </w:t>
            </w:r>
            <w:r>
              <w:rPr>
                <w:sz w:val="18"/>
              </w:rPr>
              <w:t>Vivienda</w:t>
            </w:r>
            <w:r>
              <w:rPr>
                <w:spacing w:val="-22"/>
                <w:sz w:val="18"/>
              </w:rPr>
              <w:t> </w:t>
            </w:r>
            <w:r>
              <w:rPr>
                <w:sz w:val="18"/>
              </w:rPr>
              <w:t>del</w:t>
            </w:r>
            <w:r>
              <w:rPr>
                <w:spacing w:val="-22"/>
                <w:sz w:val="18"/>
              </w:rPr>
              <w:t> </w:t>
            </w:r>
            <w:r>
              <w:rPr>
                <w:sz w:val="18"/>
              </w:rPr>
              <w:t>Estado</w:t>
            </w:r>
            <w:r>
              <w:rPr>
                <w:spacing w:val="-22"/>
                <w:sz w:val="18"/>
              </w:rPr>
              <w:t> </w:t>
            </w:r>
            <w:r>
              <w:rPr>
                <w:sz w:val="18"/>
              </w:rPr>
              <w:t>de</w:t>
            </w:r>
            <w:r>
              <w:rPr>
                <w:spacing w:val="-22"/>
                <w:sz w:val="18"/>
              </w:rPr>
              <w:t> </w:t>
            </w:r>
            <w:r>
              <w:rPr>
                <w:sz w:val="18"/>
              </w:rPr>
              <w:t>Hidalgo</w:t>
            </w:r>
            <w:r>
              <w:rPr>
                <w:spacing w:val="-22"/>
                <w:sz w:val="18"/>
              </w:rPr>
              <w:t> </w:t>
            </w:r>
            <w:r>
              <w:rPr>
                <w:sz w:val="18"/>
              </w:rPr>
              <w:t>(PROVIH).</w:t>
            </w:r>
          </w:p>
        </w:tc>
        <w:tc>
          <w:tcPr>
            <w:tcW w:w="702" w:type="dxa"/>
          </w:tcPr>
          <w:p>
            <w:pPr>
              <w:pStyle w:val="TableParagraph"/>
              <w:spacing w:before="36"/>
              <w:jc w:val="center"/>
              <w:rPr>
                <w:sz w:val="18"/>
              </w:rPr>
            </w:pPr>
            <w:r>
              <w:rPr>
                <w:sz w:val="18"/>
              </w:rPr>
              <w:t>3</w:t>
            </w:r>
          </w:p>
        </w:tc>
        <w:tc>
          <w:tcPr>
            <w:tcW w:w="488" w:type="dxa"/>
          </w:tcPr>
          <w:p>
            <w:pPr>
              <w:pStyle w:val="TableParagraph"/>
              <w:spacing w:before="36"/>
              <w:jc w:val="center"/>
              <w:rPr>
                <w:sz w:val="18"/>
              </w:rPr>
            </w:pPr>
            <w:r>
              <w:rPr>
                <w:sz w:val="18"/>
              </w:rPr>
              <w:t>0</w:t>
            </w:r>
          </w:p>
        </w:tc>
        <w:tc>
          <w:tcPr>
            <w:tcW w:w="590" w:type="dxa"/>
          </w:tcPr>
          <w:p>
            <w:pPr>
              <w:pStyle w:val="TableParagraph"/>
              <w:spacing w:before="36"/>
              <w:jc w:val="center"/>
              <w:rPr>
                <w:sz w:val="18"/>
              </w:rPr>
            </w:pPr>
            <w:r>
              <w:rPr>
                <w:sz w:val="18"/>
              </w:rPr>
              <w:t>0</w:t>
            </w:r>
          </w:p>
        </w:tc>
        <w:tc>
          <w:tcPr>
            <w:tcW w:w="471" w:type="dxa"/>
          </w:tcPr>
          <w:p>
            <w:pPr>
              <w:pStyle w:val="TableParagraph"/>
              <w:spacing w:before="36"/>
              <w:ind w:left="185"/>
              <w:rPr>
                <w:sz w:val="18"/>
              </w:rPr>
            </w:pPr>
            <w:r>
              <w:rPr>
                <w:sz w:val="18"/>
              </w:rPr>
              <w:t>1</w:t>
            </w:r>
          </w:p>
        </w:tc>
        <w:tc>
          <w:tcPr>
            <w:tcW w:w="431" w:type="dxa"/>
          </w:tcPr>
          <w:p>
            <w:pPr>
              <w:pStyle w:val="TableParagraph"/>
              <w:spacing w:before="36"/>
              <w:ind w:left="165"/>
              <w:rPr>
                <w:sz w:val="18"/>
              </w:rPr>
            </w:pPr>
            <w:r>
              <w:rPr>
                <w:sz w:val="18"/>
              </w:rPr>
              <w:t>1</w:t>
            </w:r>
          </w:p>
        </w:tc>
      </w:tr>
      <w:tr>
        <w:trPr>
          <w:trHeight w:val="487" w:hRule="exact"/>
        </w:trPr>
        <w:tc>
          <w:tcPr>
            <w:tcW w:w="4394" w:type="dxa"/>
          </w:tcPr>
          <w:p>
            <w:pPr>
              <w:pStyle w:val="TableParagraph"/>
              <w:spacing w:line="249" w:lineRule="auto" w:before="19"/>
              <w:ind w:left="51"/>
              <w:rPr>
                <w:sz w:val="18"/>
              </w:rPr>
            </w:pPr>
            <w:r>
              <w:rPr>
                <w:sz w:val="18"/>
              </w:rPr>
              <w:t>El Programa de Regularización de la Tenencia de la Tierra del Estado de Hidalgo (PRTTEH).</w:t>
            </w:r>
          </w:p>
        </w:tc>
        <w:tc>
          <w:tcPr>
            <w:tcW w:w="702" w:type="dxa"/>
          </w:tcPr>
          <w:p>
            <w:pPr>
              <w:pStyle w:val="TableParagraph"/>
              <w:spacing w:before="132"/>
              <w:jc w:val="center"/>
              <w:rPr>
                <w:sz w:val="18"/>
              </w:rPr>
            </w:pPr>
            <w:r>
              <w:rPr>
                <w:sz w:val="18"/>
              </w:rPr>
              <w:t>0</w:t>
            </w:r>
          </w:p>
        </w:tc>
        <w:tc>
          <w:tcPr>
            <w:tcW w:w="488" w:type="dxa"/>
          </w:tcPr>
          <w:p>
            <w:pPr>
              <w:pStyle w:val="TableParagraph"/>
              <w:spacing w:before="132"/>
              <w:jc w:val="center"/>
              <w:rPr>
                <w:sz w:val="18"/>
              </w:rPr>
            </w:pPr>
            <w:r>
              <w:rPr>
                <w:sz w:val="18"/>
              </w:rPr>
              <w:t>0</w:t>
            </w:r>
          </w:p>
        </w:tc>
        <w:tc>
          <w:tcPr>
            <w:tcW w:w="590" w:type="dxa"/>
          </w:tcPr>
          <w:p>
            <w:pPr>
              <w:pStyle w:val="TableParagraph"/>
              <w:spacing w:before="132"/>
              <w:jc w:val="center"/>
              <w:rPr>
                <w:sz w:val="18"/>
              </w:rPr>
            </w:pPr>
            <w:r>
              <w:rPr>
                <w:sz w:val="18"/>
              </w:rPr>
              <w:t>0</w:t>
            </w:r>
          </w:p>
        </w:tc>
        <w:tc>
          <w:tcPr>
            <w:tcW w:w="471" w:type="dxa"/>
          </w:tcPr>
          <w:p>
            <w:pPr>
              <w:pStyle w:val="TableParagraph"/>
              <w:spacing w:before="132"/>
              <w:ind w:left="185"/>
              <w:rPr>
                <w:sz w:val="18"/>
              </w:rPr>
            </w:pPr>
            <w:r>
              <w:rPr>
                <w:sz w:val="18"/>
              </w:rPr>
              <w:t>0</w:t>
            </w:r>
          </w:p>
        </w:tc>
        <w:tc>
          <w:tcPr>
            <w:tcW w:w="431" w:type="dxa"/>
          </w:tcPr>
          <w:p>
            <w:pPr>
              <w:pStyle w:val="TableParagraph"/>
              <w:spacing w:before="132"/>
              <w:ind w:left="165"/>
              <w:rPr>
                <w:sz w:val="18"/>
              </w:rPr>
            </w:pPr>
            <w:r>
              <w:rPr>
                <w:sz w:val="18"/>
              </w:rPr>
              <w:t>1</w:t>
            </w:r>
          </w:p>
        </w:tc>
      </w:tr>
      <w:tr>
        <w:trPr>
          <w:trHeight w:val="520" w:hRule="exact"/>
        </w:trPr>
        <w:tc>
          <w:tcPr>
            <w:tcW w:w="4394" w:type="dxa"/>
          </w:tcPr>
          <w:p>
            <w:pPr>
              <w:pStyle w:val="TableParagraph"/>
              <w:spacing w:line="249" w:lineRule="auto" w:before="19"/>
              <w:ind w:left="51"/>
              <w:rPr>
                <w:sz w:val="18"/>
              </w:rPr>
            </w:pPr>
            <w:r>
              <w:rPr>
                <w:sz w:val="18"/>
              </w:rPr>
              <w:t>La Secretaría del Trabajo y Previsión Social del Estado de Hidalgo (STPSEH).</w:t>
            </w:r>
          </w:p>
        </w:tc>
        <w:tc>
          <w:tcPr>
            <w:tcW w:w="702" w:type="dxa"/>
          </w:tcPr>
          <w:p>
            <w:pPr>
              <w:pStyle w:val="TableParagraph"/>
              <w:spacing w:before="149"/>
              <w:jc w:val="center"/>
              <w:rPr>
                <w:sz w:val="18"/>
              </w:rPr>
            </w:pPr>
            <w:r>
              <w:rPr>
                <w:sz w:val="18"/>
              </w:rPr>
              <w:t>6</w:t>
            </w:r>
          </w:p>
        </w:tc>
        <w:tc>
          <w:tcPr>
            <w:tcW w:w="488" w:type="dxa"/>
          </w:tcPr>
          <w:p>
            <w:pPr>
              <w:pStyle w:val="TableParagraph"/>
              <w:spacing w:before="149"/>
              <w:jc w:val="center"/>
              <w:rPr>
                <w:sz w:val="18"/>
              </w:rPr>
            </w:pPr>
            <w:r>
              <w:rPr>
                <w:sz w:val="18"/>
              </w:rPr>
              <w:t>1</w:t>
            </w:r>
          </w:p>
        </w:tc>
        <w:tc>
          <w:tcPr>
            <w:tcW w:w="590" w:type="dxa"/>
          </w:tcPr>
          <w:p>
            <w:pPr>
              <w:pStyle w:val="TableParagraph"/>
              <w:spacing w:before="149"/>
              <w:jc w:val="center"/>
              <w:rPr>
                <w:sz w:val="18"/>
              </w:rPr>
            </w:pPr>
            <w:r>
              <w:rPr>
                <w:sz w:val="18"/>
              </w:rPr>
              <w:t>5</w:t>
            </w:r>
          </w:p>
        </w:tc>
        <w:tc>
          <w:tcPr>
            <w:tcW w:w="471" w:type="dxa"/>
          </w:tcPr>
          <w:p>
            <w:pPr>
              <w:pStyle w:val="TableParagraph"/>
              <w:spacing w:before="149"/>
              <w:ind w:left="185"/>
              <w:rPr>
                <w:sz w:val="18"/>
              </w:rPr>
            </w:pPr>
            <w:r>
              <w:rPr>
                <w:sz w:val="18"/>
              </w:rPr>
              <w:t>0</w:t>
            </w:r>
          </w:p>
        </w:tc>
        <w:tc>
          <w:tcPr>
            <w:tcW w:w="431" w:type="dxa"/>
          </w:tcPr>
          <w:p>
            <w:pPr>
              <w:pStyle w:val="TableParagraph"/>
              <w:spacing w:before="149"/>
              <w:ind w:left="165"/>
              <w:rPr>
                <w:sz w:val="18"/>
              </w:rPr>
            </w:pPr>
            <w:r>
              <w:rPr>
                <w:sz w:val="18"/>
              </w:rPr>
              <w:t>0</w:t>
            </w:r>
          </w:p>
        </w:tc>
      </w:tr>
      <w:tr>
        <w:trPr>
          <w:trHeight w:val="497" w:hRule="exact"/>
        </w:trPr>
        <w:tc>
          <w:tcPr>
            <w:tcW w:w="4394" w:type="dxa"/>
          </w:tcPr>
          <w:p>
            <w:pPr>
              <w:pStyle w:val="TableParagraph"/>
              <w:spacing w:line="249" w:lineRule="auto" w:before="19"/>
              <w:ind w:left="51"/>
              <w:rPr>
                <w:sz w:val="18"/>
              </w:rPr>
            </w:pPr>
            <w:r>
              <w:rPr>
                <w:sz w:val="18"/>
              </w:rPr>
              <w:t>El Instituto de Capacitación para el Trabajo del Estado de Hidalgo (ICATHI).</w:t>
            </w:r>
          </w:p>
        </w:tc>
        <w:tc>
          <w:tcPr>
            <w:tcW w:w="702" w:type="dxa"/>
          </w:tcPr>
          <w:p>
            <w:pPr>
              <w:pStyle w:val="TableParagraph"/>
              <w:spacing w:before="137"/>
              <w:jc w:val="center"/>
              <w:rPr>
                <w:sz w:val="18"/>
              </w:rPr>
            </w:pPr>
            <w:r>
              <w:rPr>
                <w:sz w:val="18"/>
              </w:rPr>
              <w:t>0</w:t>
            </w:r>
          </w:p>
        </w:tc>
        <w:tc>
          <w:tcPr>
            <w:tcW w:w="488" w:type="dxa"/>
          </w:tcPr>
          <w:p>
            <w:pPr>
              <w:pStyle w:val="TableParagraph"/>
              <w:spacing w:before="137"/>
              <w:jc w:val="center"/>
              <w:rPr>
                <w:sz w:val="18"/>
              </w:rPr>
            </w:pPr>
            <w:r>
              <w:rPr>
                <w:sz w:val="18"/>
              </w:rPr>
              <w:t>1</w:t>
            </w:r>
          </w:p>
        </w:tc>
        <w:tc>
          <w:tcPr>
            <w:tcW w:w="590" w:type="dxa"/>
          </w:tcPr>
          <w:p>
            <w:pPr>
              <w:pStyle w:val="TableParagraph"/>
              <w:spacing w:before="137"/>
              <w:jc w:val="center"/>
              <w:rPr>
                <w:sz w:val="18"/>
              </w:rPr>
            </w:pPr>
            <w:r>
              <w:rPr>
                <w:sz w:val="18"/>
              </w:rPr>
              <w:t>0</w:t>
            </w:r>
          </w:p>
        </w:tc>
        <w:tc>
          <w:tcPr>
            <w:tcW w:w="471" w:type="dxa"/>
          </w:tcPr>
          <w:p>
            <w:pPr>
              <w:pStyle w:val="TableParagraph"/>
              <w:spacing w:before="137"/>
              <w:ind w:left="185"/>
              <w:rPr>
                <w:sz w:val="18"/>
              </w:rPr>
            </w:pPr>
            <w:r>
              <w:rPr>
                <w:sz w:val="18"/>
              </w:rPr>
              <w:t>0</w:t>
            </w:r>
          </w:p>
        </w:tc>
        <w:tc>
          <w:tcPr>
            <w:tcW w:w="431" w:type="dxa"/>
          </w:tcPr>
          <w:p>
            <w:pPr>
              <w:pStyle w:val="TableParagraph"/>
              <w:spacing w:before="137"/>
              <w:ind w:left="165"/>
              <w:rPr>
                <w:sz w:val="18"/>
              </w:rPr>
            </w:pPr>
            <w:r>
              <w:rPr>
                <w:sz w:val="18"/>
              </w:rPr>
              <w:t>0</w:t>
            </w:r>
          </w:p>
        </w:tc>
      </w:tr>
      <w:tr>
        <w:trPr>
          <w:trHeight w:val="287" w:hRule="exact"/>
        </w:trPr>
        <w:tc>
          <w:tcPr>
            <w:tcW w:w="4394" w:type="dxa"/>
          </w:tcPr>
          <w:p>
            <w:pPr>
              <w:pStyle w:val="TableParagraph"/>
              <w:spacing w:before="19"/>
              <w:ind w:left="51"/>
              <w:rPr>
                <w:sz w:val="18"/>
              </w:rPr>
            </w:pPr>
            <w:r>
              <w:rPr>
                <w:sz w:val="18"/>
              </w:rPr>
              <w:t>TOTALES.</w:t>
            </w:r>
          </w:p>
        </w:tc>
        <w:tc>
          <w:tcPr>
            <w:tcW w:w="702" w:type="dxa"/>
          </w:tcPr>
          <w:p>
            <w:pPr>
              <w:pStyle w:val="TableParagraph"/>
              <w:spacing w:before="46"/>
              <w:ind w:left="236" w:right="236"/>
              <w:jc w:val="center"/>
              <w:rPr>
                <w:sz w:val="18"/>
              </w:rPr>
            </w:pPr>
            <w:r>
              <w:rPr>
                <w:sz w:val="18"/>
              </w:rPr>
              <w:t>65</w:t>
            </w:r>
          </w:p>
        </w:tc>
        <w:tc>
          <w:tcPr>
            <w:tcW w:w="488" w:type="dxa"/>
          </w:tcPr>
          <w:p>
            <w:pPr>
              <w:pStyle w:val="TableParagraph"/>
              <w:spacing w:before="46"/>
              <w:ind w:left="128" w:right="128"/>
              <w:jc w:val="center"/>
              <w:rPr>
                <w:sz w:val="18"/>
              </w:rPr>
            </w:pPr>
            <w:r>
              <w:rPr>
                <w:sz w:val="18"/>
              </w:rPr>
              <w:t>31</w:t>
            </w:r>
          </w:p>
        </w:tc>
        <w:tc>
          <w:tcPr>
            <w:tcW w:w="590" w:type="dxa"/>
          </w:tcPr>
          <w:p>
            <w:pPr>
              <w:pStyle w:val="TableParagraph"/>
              <w:spacing w:before="46"/>
              <w:ind w:left="179" w:right="179"/>
              <w:jc w:val="center"/>
              <w:rPr>
                <w:sz w:val="18"/>
              </w:rPr>
            </w:pPr>
            <w:r>
              <w:rPr>
                <w:sz w:val="18"/>
              </w:rPr>
              <w:t>18</w:t>
            </w:r>
          </w:p>
        </w:tc>
        <w:tc>
          <w:tcPr>
            <w:tcW w:w="471" w:type="dxa"/>
          </w:tcPr>
          <w:p>
            <w:pPr>
              <w:pStyle w:val="TableParagraph"/>
              <w:spacing w:before="46"/>
              <w:ind w:left="185"/>
              <w:rPr>
                <w:sz w:val="18"/>
              </w:rPr>
            </w:pPr>
            <w:r>
              <w:rPr>
                <w:sz w:val="18"/>
              </w:rPr>
              <w:t>2</w:t>
            </w:r>
          </w:p>
        </w:tc>
        <w:tc>
          <w:tcPr>
            <w:tcW w:w="431" w:type="dxa"/>
          </w:tcPr>
          <w:p>
            <w:pPr>
              <w:pStyle w:val="TableParagraph"/>
              <w:spacing w:before="46"/>
              <w:ind w:left="120"/>
              <w:rPr>
                <w:sz w:val="18"/>
              </w:rPr>
            </w:pPr>
            <w:r>
              <w:rPr>
                <w:sz w:val="18"/>
              </w:rPr>
              <w:t>43</w:t>
            </w:r>
          </w:p>
        </w:tc>
      </w:tr>
    </w:tbl>
    <w:p>
      <w:pPr>
        <w:spacing w:before="81"/>
        <w:ind w:left="110" w:right="0" w:firstLine="0"/>
        <w:jc w:val="left"/>
        <w:rPr>
          <w:sz w:val="17"/>
        </w:rPr>
      </w:pPr>
      <w:r>
        <w:rPr>
          <w:sz w:val="17"/>
        </w:rPr>
        <w:t>Cuadro elaborado por el autor con información desarrollada en el presente capítulo.</w:t>
      </w:r>
    </w:p>
    <w:p>
      <w:pPr>
        <w:spacing w:after="0"/>
        <w:jc w:val="left"/>
        <w:rPr>
          <w:sz w:val="17"/>
        </w:rPr>
        <w:sectPr>
          <w:pgSz w:w="9360" w:h="13040"/>
          <w:pgMar w:header="547" w:footer="515" w:top="720" w:bottom="700" w:left="740" w:right="1300"/>
        </w:sectPr>
      </w:pPr>
    </w:p>
    <w:p>
      <w:pPr>
        <w:pStyle w:val="BodyText"/>
        <w:rPr>
          <w:sz w:val="20"/>
        </w:rPr>
      </w:pPr>
    </w:p>
    <w:p>
      <w:pPr>
        <w:pStyle w:val="Heading3"/>
        <w:spacing w:line="270" w:lineRule="exact" w:before="191"/>
        <w:ind w:right="127"/>
        <w:rPr>
          <w:rFonts w:ascii="Palatino Linotype" w:hAnsi="Palatino Linotype"/>
        </w:rPr>
      </w:pPr>
      <w:r>
        <w:rPr/>
        <w:pict>
          <v:group style="position:absolute;margin-left:135.472504pt;margin-top:82.913879pt;width:290.2pt;height:107.5pt;mso-position-horizontal-relative:page;mso-position-vertical-relative:paragraph;z-index:5344" coordorigin="2709,1658" coordsize="5804,2150">
            <v:shape style="position:absolute;left:2721;top:2279;width:5782;height:1198" coordorigin="2721,2279" coordsize="5782,1198" path="m2721,3477l8502,3477m2721,3178l8502,3178m2721,2878l8502,2878m2721,2579l8502,2579m2721,2279l8502,2279e" filled="false" stroked="true" strokeweight="1.099pt" strokecolor="#808184">
              <v:path arrowok="t"/>
            </v:shape>
            <v:line style="position:absolute" from="2721,1980" to="8502,1980" stroked="true" strokeweight="1.098pt" strokecolor="#808184"/>
            <v:line style="position:absolute" from="5878,2042" to="5878,3777" stroked="true" strokeweight="3.076pt" strokecolor="#6e6e71"/>
            <v:line style="position:absolute" from="6264,2699" to="6264,3777" stroked="true" strokeweight="2.903pt" strokecolor="#6e6e71"/>
            <v:line style="position:absolute" from="7035,3597" to="7035,3777" stroked="true" strokeweight="3.076pt" strokecolor="#6e6e71"/>
            <v:line style="position:absolute" from="7806,3418" to="7806,3777" stroked="true" strokeweight="2.903pt" strokecolor="#6e6e71"/>
            <v:line style="position:absolute" from="2855,3240" to="2855,3777" stroked="true" strokeweight="2.903pt" strokecolor="#808184"/>
            <v:line style="position:absolute" from="3181,3660" to="3181,3777" stroked="true" strokeweight="2.903pt" strokecolor="#6e6e71"/>
            <v:line style="position:absolute" from="3239,3298" to="3239,3777" stroked="true" strokeweight="2.903pt" strokecolor="#808184"/>
            <v:line style="position:absolute" from="3537,3747" to="3595,3747" stroked="true" strokeweight="2.922pt" strokecolor="#6e6e71"/>
            <v:line style="position:absolute" from="3595,3747" to="3656,3747" stroked="true" strokeweight="2.922pt" strokecolor="#808184"/>
            <v:line style="position:absolute" from="3952,3597" to="3952,3777" stroked="true" strokeweight="3.076pt" strokecolor="#6e6e71"/>
            <v:line style="position:absolute" from="3983,3747" to="4041,3747" stroked="true" strokeweight="2.922pt" strokecolor="#808184"/>
            <v:line style="position:absolute" from="4336,3597" to="4336,3777" stroked="true" strokeweight="3.076pt" strokecolor="#6e6e71"/>
            <v:line style="position:absolute" from="4396,3660" to="4396,3777" stroked="true" strokeweight="2.903pt" strokecolor="#808184"/>
            <v:shape style="position:absolute;left:4752;top:3747;width:831;height:2" coordorigin="4752,3747" coordsize="831,0" path="m4752,3747l4810,3747m5136,3747l5198,3747m5524,3747l5582,3747e" filled="false" stroked="true" strokeweight="2.922pt" strokecolor="#808184">
              <v:path arrowok="t"/>
            </v:shape>
            <v:line style="position:absolute" from="6322,3418" to="6322,3777" stroked="true" strokeweight="2.902pt" strokecolor="#808184"/>
            <v:shape style="position:absolute;left:7835;top:3747;width:447;height:2" coordorigin="7835,3747" coordsize="447,0" path="m7835,3747l7897,3747m8219,3747l8281,3747e" filled="false" stroked="true" strokeweight="2.922pt" strokecolor="#808184">
              <v:path arrowok="t"/>
            </v:shape>
            <v:shape style="position:absolute;left:2884;top:3747;width:831;height:2" coordorigin="2884,3747" coordsize="831,0" path="m2884,3747l2942,3747m3268,3747l3330,3747m3656,3747l3714,3747e" filled="false" stroked="true" strokeweight="2.922pt" strokecolor="#929496">
              <v:path arrowok="t"/>
            </v:shape>
            <v:line style="position:absolute" from="4070,3178" to="4070,3777" stroked="true" strokeweight="2.903pt" strokecolor="#929496"/>
            <v:line style="position:absolute" from="7926,3477" to="7926,3777" stroked="true" strokeweight="2.903pt" strokecolor="#929496"/>
            <v:shape style="position:absolute;left:6413;top:3747;width:832;height:2" coordorigin="6413,3747" coordsize="832,0" path="m6413,3747l6471,3747m7182,3747l7244,3747e" filled="false" stroked="true" strokeweight="2.922pt" strokecolor="#a8aaab">
              <v:path arrowok="t"/>
            </v:shape>
            <v:line style="position:absolute" from="3032,2998" to="3032,3777" stroked="true" strokeweight="2.902pt" strokecolor="#c6c6c9"/>
            <v:line style="position:absolute" from="3417,3477" to="3417,3777" stroked="true" strokeweight="2.903pt" strokecolor="#c6c6c9"/>
            <v:line style="position:absolute" from="3803,3660" to="3803,3777" stroked="true" strokeweight="3.076pt" strokecolor="#c6c6c9"/>
            <v:shape style="position:absolute;left:4189;top:3477;width:385;height:300" coordorigin="4189,3477" coordsize="385,300" path="m4189,3477l4189,3777m4574,3660l4574,3777e" filled="false" stroked="true" strokeweight="2.903pt" strokecolor="#c6c6c9">
              <v:path arrowok="t"/>
            </v:shape>
            <v:line style="position:absolute" from="6500,2940" to="6500,3777" stroked="true" strokeweight="2.903pt" strokecolor="#c6c6c9"/>
            <v:shape style="position:absolute;left:7244;top:3747;width:443;height:2" coordorigin="7244,3747" coordsize="443,0" path="m7244,3747l7302,3747m7628,3747l7686,3747e" filled="false" stroked="true" strokeweight="2.922pt" strokecolor="#c6c6c9">
              <v:path arrowok="t"/>
            </v:shape>
            <v:line style="position:absolute" from="2721,1680" to="8502,1680" stroked="true" strokeweight="1.099pt" strokecolor="#808184"/>
            <v:line style="position:absolute" from="2720,1669" to="2720,3787" stroked="true" strokeweight="1.077pt" strokecolor="#868787"/>
            <v:rect style="position:absolute;left:2721;top:3766;width:5781;height:22" filled="true" fillcolor="#868787" stroked="false">
              <v:fill type="solid"/>
            </v:rect>
            <w10:wrap type="none"/>
          </v:group>
        </w:pict>
      </w:r>
      <w:r>
        <w:rPr/>
        <w:pict>
          <v:shape style="position:absolute;margin-left:126.198799pt;margin-top:168.447876pt;width:3.4pt;height:5.95pt;mso-position-horizontal-relative:page;mso-position-vertical-relative:paragraph;z-index:5392" coordorigin="2524,3369" coordsize="68,119" path="m2532,3470l2529,3470,2527,3471,2526,3472,2524,3473,2524,3474,2524,3479,2525,3482,2528,3484,2532,3487,2537,3488,2551,3488,2557,3486,2564,3483,2569,3481,2571,3479,2549,3479,2545,3478,2540,3475,2538,3473,2536,3471,2535,3471,2533,3471,2532,3470xm2591,3369l2550,3369,2528,3414,2538,3415,2547,3416,2553,3419,2561,3422,2567,3427,2572,3433,2576,3439,2579,3446,2579,3460,2576,3466,2566,3476,2560,3479,2571,3479,2573,3478,2577,3474,2580,3471,2584,3466,2586,3461,2588,3456,2589,3450,2589,3433,2586,3424,2578,3416,2570,3407,2557,3401,2542,3399,2550,3384,2585,3384,2591,3369xe" filled="true" fillcolor="#221f20" stroked="false">
            <v:path arrowok="t"/>
            <v:fill type="solid"/>
            <w10:wrap type="none"/>
          </v:shape>
        </w:pict>
      </w:r>
      <w:r>
        <w:rPr/>
        <w:drawing>
          <wp:anchor distT="0" distB="0" distL="0" distR="0" allowOverlap="1" layoutInCell="1" locked="0" behindDoc="0" simplePos="0" relativeHeight="5416">
            <wp:simplePos x="0" y="0"/>
            <wp:positionH relativeFrom="page">
              <wp:posOffset>1551376</wp:posOffset>
            </wp:positionH>
            <wp:positionV relativeFrom="paragraph">
              <wp:posOffset>1947711</wp:posOffset>
            </wp:positionV>
            <wp:extent cx="94987" cy="77724"/>
            <wp:effectExtent l="0" t="0" r="0" b="0"/>
            <wp:wrapNone/>
            <wp:docPr id="99" name="image101.png" descr=""/>
            <wp:cNvGraphicFramePr>
              <a:graphicFrameLocks noChangeAspect="1"/>
            </wp:cNvGraphicFramePr>
            <a:graphic>
              <a:graphicData uri="http://schemas.openxmlformats.org/drawingml/2006/picture">
                <pic:pic>
                  <pic:nvPicPr>
                    <pic:cNvPr id="100" name="image101.png"/>
                    <pic:cNvPicPr/>
                  </pic:nvPicPr>
                  <pic:blipFill>
                    <a:blip r:embed="rId210" cstate="print"/>
                    <a:stretch>
                      <a:fillRect/>
                    </a:stretch>
                  </pic:blipFill>
                  <pic:spPr>
                    <a:xfrm>
                      <a:off x="0" y="0"/>
                      <a:ext cx="94987" cy="77724"/>
                    </a:xfrm>
                    <a:prstGeom prst="rect">
                      <a:avLst/>
                    </a:prstGeom>
                  </pic:spPr>
                </pic:pic>
              </a:graphicData>
            </a:graphic>
          </wp:anchor>
        </w:drawing>
      </w:r>
      <w:r>
        <w:rPr/>
        <w:drawing>
          <wp:anchor distT="0" distB="0" distL="0" distR="0" allowOverlap="1" layoutInCell="1" locked="0" behindDoc="0" simplePos="0" relativeHeight="5440">
            <wp:simplePos x="0" y="0"/>
            <wp:positionH relativeFrom="page">
              <wp:posOffset>1554838</wp:posOffset>
            </wp:positionH>
            <wp:positionV relativeFrom="paragraph">
              <wp:posOffset>1757714</wp:posOffset>
            </wp:positionV>
            <wp:extent cx="89968" cy="76104"/>
            <wp:effectExtent l="0" t="0" r="0" b="0"/>
            <wp:wrapNone/>
            <wp:docPr id="101" name="image102.png" descr=""/>
            <wp:cNvGraphicFramePr>
              <a:graphicFrameLocks noChangeAspect="1"/>
            </wp:cNvGraphicFramePr>
            <a:graphic>
              <a:graphicData uri="http://schemas.openxmlformats.org/drawingml/2006/picture">
                <pic:pic>
                  <pic:nvPicPr>
                    <pic:cNvPr id="102" name="image102.png"/>
                    <pic:cNvPicPr/>
                  </pic:nvPicPr>
                  <pic:blipFill>
                    <a:blip r:embed="rId211" cstate="print"/>
                    <a:stretch>
                      <a:fillRect/>
                    </a:stretch>
                  </pic:blipFill>
                  <pic:spPr>
                    <a:xfrm>
                      <a:off x="0" y="0"/>
                      <a:ext cx="89968" cy="76104"/>
                    </a:xfrm>
                    <a:prstGeom prst="rect">
                      <a:avLst/>
                    </a:prstGeom>
                  </pic:spPr>
                </pic:pic>
              </a:graphicData>
            </a:graphic>
          </wp:anchor>
        </w:drawing>
      </w:r>
      <w:r>
        <w:rPr/>
        <w:drawing>
          <wp:anchor distT="0" distB="0" distL="0" distR="0" allowOverlap="1" layoutInCell="1" locked="0" behindDoc="0" simplePos="0" relativeHeight="5464">
            <wp:simplePos x="0" y="0"/>
            <wp:positionH relativeFrom="page">
              <wp:posOffset>1540662</wp:posOffset>
            </wp:positionH>
            <wp:positionV relativeFrom="paragraph">
              <wp:posOffset>1567400</wp:posOffset>
            </wp:positionV>
            <wp:extent cx="105796" cy="77724"/>
            <wp:effectExtent l="0" t="0" r="0" b="0"/>
            <wp:wrapNone/>
            <wp:docPr id="103" name="image103.png" descr=""/>
            <wp:cNvGraphicFramePr>
              <a:graphicFrameLocks noChangeAspect="1"/>
            </wp:cNvGraphicFramePr>
            <a:graphic>
              <a:graphicData uri="http://schemas.openxmlformats.org/drawingml/2006/picture">
                <pic:pic>
                  <pic:nvPicPr>
                    <pic:cNvPr id="104" name="image103.png"/>
                    <pic:cNvPicPr/>
                  </pic:nvPicPr>
                  <pic:blipFill>
                    <a:blip r:embed="rId212" cstate="print"/>
                    <a:stretch>
                      <a:fillRect/>
                    </a:stretch>
                  </pic:blipFill>
                  <pic:spPr>
                    <a:xfrm>
                      <a:off x="0" y="0"/>
                      <a:ext cx="105796" cy="77724"/>
                    </a:xfrm>
                    <a:prstGeom prst="rect">
                      <a:avLst/>
                    </a:prstGeom>
                  </pic:spPr>
                </pic:pic>
              </a:graphicData>
            </a:graphic>
          </wp:anchor>
        </w:drawing>
      </w:r>
      <w:r>
        <w:rPr/>
        <w:drawing>
          <wp:anchor distT="0" distB="0" distL="0" distR="0" allowOverlap="1" layoutInCell="1" locked="0" behindDoc="0" simplePos="0" relativeHeight="5488">
            <wp:simplePos x="0" y="0"/>
            <wp:positionH relativeFrom="page">
              <wp:posOffset>1544130</wp:posOffset>
            </wp:positionH>
            <wp:positionV relativeFrom="paragraph">
              <wp:posOffset>1377404</wp:posOffset>
            </wp:positionV>
            <wp:extent cx="100709" cy="76200"/>
            <wp:effectExtent l="0" t="0" r="0" b="0"/>
            <wp:wrapNone/>
            <wp:docPr id="105" name="image104.png" descr=""/>
            <wp:cNvGraphicFramePr>
              <a:graphicFrameLocks noChangeAspect="1"/>
            </wp:cNvGraphicFramePr>
            <a:graphic>
              <a:graphicData uri="http://schemas.openxmlformats.org/drawingml/2006/picture">
                <pic:pic>
                  <pic:nvPicPr>
                    <pic:cNvPr id="106" name="image104.png"/>
                    <pic:cNvPicPr/>
                  </pic:nvPicPr>
                  <pic:blipFill>
                    <a:blip r:embed="rId213" cstate="print"/>
                    <a:stretch>
                      <a:fillRect/>
                    </a:stretch>
                  </pic:blipFill>
                  <pic:spPr>
                    <a:xfrm>
                      <a:off x="0" y="0"/>
                      <a:ext cx="100709" cy="76200"/>
                    </a:xfrm>
                    <a:prstGeom prst="rect">
                      <a:avLst/>
                    </a:prstGeom>
                  </pic:spPr>
                </pic:pic>
              </a:graphicData>
            </a:graphic>
          </wp:anchor>
        </w:drawing>
      </w:r>
      <w:r>
        <w:rPr/>
        <w:drawing>
          <wp:anchor distT="0" distB="0" distL="0" distR="0" allowOverlap="1" layoutInCell="1" locked="0" behindDoc="0" simplePos="0" relativeHeight="5512">
            <wp:simplePos x="0" y="0"/>
            <wp:positionH relativeFrom="page">
              <wp:posOffset>1542867</wp:posOffset>
            </wp:positionH>
            <wp:positionV relativeFrom="paragraph">
              <wp:posOffset>1187086</wp:posOffset>
            </wp:positionV>
            <wp:extent cx="103567" cy="77724"/>
            <wp:effectExtent l="0" t="0" r="0" b="0"/>
            <wp:wrapNone/>
            <wp:docPr id="107" name="image105.png" descr=""/>
            <wp:cNvGraphicFramePr>
              <a:graphicFrameLocks noChangeAspect="1"/>
            </wp:cNvGraphicFramePr>
            <a:graphic>
              <a:graphicData uri="http://schemas.openxmlformats.org/drawingml/2006/picture">
                <pic:pic>
                  <pic:nvPicPr>
                    <pic:cNvPr id="108" name="image105.png"/>
                    <pic:cNvPicPr/>
                  </pic:nvPicPr>
                  <pic:blipFill>
                    <a:blip r:embed="rId214" cstate="print"/>
                    <a:stretch>
                      <a:fillRect/>
                    </a:stretch>
                  </pic:blipFill>
                  <pic:spPr>
                    <a:xfrm>
                      <a:off x="0" y="0"/>
                      <a:ext cx="103567" cy="77724"/>
                    </a:xfrm>
                    <a:prstGeom prst="rect">
                      <a:avLst/>
                    </a:prstGeom>
                  </pic:spPr>
                </pic:pic>
              </a:graphicData>
            </a:graphic>
          </wp:anchor>
        </w:drawing>
      </w:r>
      <w:r>
        <w:rPr/>
        <w:drawing>
          <wp:anchor distT="0" distB="0" distL="0" distR="0" allowOverlap="1" layoutInCell="1" locked="0" behindDoc="0" simplePos="0" relativeHeight="5536">
            <wp:simplePos x="0" y="0"/>
            <wp:positionH relativeFrom="page">
              <wp:posOffset>1555148</wp:posOffset>
            </wp:positionH>
            <wp:positionV relativeFrom="paragraph">
              <wp:posOffset>1000899</wp:posOffset>
            </wp:positionV>
            <wp:extent cx="98527" cy="76200"/>
            <wp:effectExtent l="0" t="0" r="0" b="0"/>
            <wp:wrapNone/>
            <wp:docPr id="109" name="image106.png" descr=""/>
            <wp:cNvGraphicFramePr>
              <a:graphicFrameLocks noChangeAspect="1"/>
            </wp:cNvGraphicFramePr>
            <a:graphic>
              <a:graphicData uri="http://schemas.openxmlformats.org/drawingml/2006/picture">
                <pic:pic>
                  <pic:nvPicPr>
                    <pic:cNvPr id="110" name="image106.png"/>
                    <pic:cNvPicPr/>
                  </pic:nvPicPr>
                  <pic:blipFill>
                    <a:blip r:embed="rId215" cstate="print"/>
                    <a:stretch>
                      <a:fillRect/>
                    </a:stretch>
                  </pic:blipFill>
                  <pic:spPr>
                    <a:xfrm>
                      <a:off x="0" y="0"/>
                      <a:ext cx="98527" cy="76200"/>
                    </a:xfrm>
                    <a:prstGeom prst="rect">
                      <a:avLst/>
                    </a:prstGeom>
                  </pic:spPr>
                </pic:pic>
              </a:graphicData>
            </a:graphic>
          </wp:anchor>
        </w:drawing>
      </w:r>
      <w:r>
        <w:rPr>
          <w:rFonts w:ascii="Palatino Linotype" w:hAnsi="Palatino Linotype"/>
        </w:rPr>
        <w:t>Comparativa por dependencias del gobierno del Estado de</w:t>
      </w:r>
      <w:r>
        <w:rPr>
          <w:rFonts w:ascii="Palatino Linotype" w:hAnsi="Palatino Linotype"/>
          <w:spacing w:val="-14"/>
        </w:rPr>
        <w:t> </w:t>
      </w:r>
      <w:r>
        <w:rPr>
          <w:rFonts w:ascii="Palatino Linotype" w:hAnsi="Palatino Linotype"/>
        </w:rPr>
        <w:t>Hidalgo, </w:t>
      </w:r>
      <w:r>
        <w:rPr>
          <w:rFonts w:ascii="Palatino Linotype" w:hAnsi="Palatino Linotype"/>
          <w:w w:val="95"/>
        </w:rPr>
        <w:t>entre</w:t>
      </w:r>
      <w:r>
        <w:rPr>
          <w:rFonts w:ascii="Palatino Linotype" w:hAnsi="Palatino Linotype"/>
          <w:spacing w:val="-14"/>
          <w:w w:val="95"/>
        </w:rPr>
        <w:t> </w:t>
      </w:r>
      <w:r>
        <w:rPr>
          <w:rFonts w:ascii="Palatino Linotype" w:hAnsi="Palatino Linotype"/>
          <w:w w:val="95"/>
        </w:rPr>
        <w:t>el</w:t>
      </w:r>
      <w:r>
        <w:rPr>
          <w:rFonts w:ascii="Palatino Linotype" w:hAnsi="Palatino Linotype"/>
          <w:spacing w:val="-14"/>
          <w:w w:val="95"/>
        </w:rPr>
        <w:t> </w:t>
      </w:r>
      <w:r>
        <w:rPr>
          <w:rFonts w:ascii="Palatino Linotype" w:hAnsi="Palatino Linotype"/>
          <w:w w:val="95"/>
        </w:rPr>
        <w:t>número</w:t>
      </w:r>
      <w:r>
        <w:rPr>
          <w:rFonts w:ascii="Palatino Linotype" w:hAnsi="Palatino Linotype"/>
          <w:spacing w:val="-14"/>
          <w:w w:val="95"/>
        </w:rPr>
        <w:t> </w:t>
      </w:r>
      <w:r>
        <w:rPr>
          <w:rFonts w:ascii="Palatino Linotype" w:hAnsi="Palatino Linotype"/>
          <w:w w:val="95"/>
        </w:rPr>
        <w:t>de</w:t>
      </w:r>
      <w:r>
        <w:rPr>
          <w:rFonts w:ascii="Palatino Linotype" w:hAnsi="Palatino Linotype"/>
          <w:spacing w:val="-14"/>
          <w:w w:val="95"/>
        </w:rPr>
        <w:t> </w:t>
      </w:r>
      <w:r>
        <w:rPr>
          <w:rFonts w:ascii="Palatino Linotype" w:hAnsi="Palatino Linotype"/>
          <w:w w:val="95"/>
        </w:rPr>
        <w:t>programas</w:t>
      </w:r>
      <w:r>
        <w:rPr>
          <w:rFonts w:ascii="Palatino Linotype" w:hAnsi="Palatino Linotype"/>
          <w:spacing w:val="-14"/>
          <w:w w:val="95"/>
        </w:rPr>
        <w:t> </w:t>
      </w:r>
      <w:r>
        <w:rPr>
          <w:rFonts w:ascii="Palatino Linotype" w:hAnsi="Palatino Linotype"/>
          <w:w w:val="95"/>
        </w:rPr>
        <w:t>federales</w:t>
      </w:r>
      <w:r>
        <w:rPr>
          <w:rFonts w:ascii="Palatino Linotype" w:hAnsi="Palatino Linotype"/>
          <w:spacing w:val="-14"/>
          <w:w w:val="95"/>
        </w:rPr>
        <w:t> </w:t>
      </w:r>
      <w:r>
        <w:rPr>
          <w:rFonts w:ascii="Palatino Linotype" w:hAnsi="Palatino Linotype"/>
          <w:w w:val="95"/>
        </w:rPr>
        <w:t>descentralizados</w:t>
      </w:r>
      <w:r>
        <w:rPr>
          <w:rFonts w:ascii="Palatino Linotype" w:hAnsi="Palatino Linotype"/>
          <w:spacing w:val="-14"/>
          <w:w w:val="95"/>
        </w:rPr>
        <w:t> </w:t>
      </w:r>
      <w:r>
        <w:rPr>
          <w:rFonts w:ascii="Palatino Linotype" w:hAnsi="Palatino Linotype"/>
          <w:w w:val="95"/>
        </w:rPr>
        <w:t>y</w:t>
      </w:r>
      <w:r>
        <w:rPr>
          <w:rFonts w:ascii="Palatino Linotype" w:hAnsi="Palatino Linotype"/>
          <w:spacing w:val="-14"/>
          <w:w w:val="95"/>
        </w:rPr>
        <w:t> </w:t>
      </w:r>
      <w:r>
        <w:rPr>
          <w:rFonts w:ascii="Palatino Linotype" w:hAnsi="Palatino Linotype"/>
          <w:w w:val="95"/>
        </w:rPr>
        <w:t>el</w:t>
      </w:r>
      <w:r>
        <w:rPr>
          <w:rFonts w:ascii="Palatino Linotype" w:hAnsi="Palatino Linotype"/>
          <w:spacing w:val="-14"/>
          <w:w w:val="95"/>
        </w:rPr>
        <w:t> </w:t>
      </w:r>
      <w:r>
        <w:rPr>
          <w:rFonts w:ascii="Palatino Linotype" w:hAnsi="Palatino Linotype"/>
          <w:w w:val="95"/>
        </w:rPr>
        <w:t>número</w:t>
      </w:r>
      <w:r>
        <w:rPr>
          <w:rFonts w:ascii="Palatino Linotype" w:hAnsi="Palatino Linotype"/>
          <w:spacing w:val="-14"/>
          <w:w w:val="95"/>
        </w:rPr>
        <w:t> </w:t>
      </w:r>
      <w:r>
        <w:rPr>
          <w:rFonts w:ascii="Palatino Linotype" w:hAnsi="Palatino Linotype"/>
          <w:w w:val="95"/>
        </w:rPr>
        <w:t>de </w:t>
      </w:r>
      <w:r>
        <w:rPr>
          <w:rFonts w:ascii="Palatino Linotype" w:hAnsi="Palatino Linotype"/>
          <w:w w:val="90"/>
        </w:rPr>
        <w:t>programas de diseño estatal clasificados en capacidades, oportunidades de ingreso, patrimonio y</w:t>
      </w:r>
      <w:r>
        <w:rPr>
          <w:rFonts w:ascii="Palatino Linotype" w:hAnsi="Palatino Linotype"/>
          <w:spacing w:val="43"/>
          <w:w w:val="90"/>
        </w:rPr>
        <w:t> </w:t>
      </w:r>
      <w:r>
        <w:rPr>
          <w:rFonts w:ascii="Palatino Linotype" w:hAnsi="Palatino Linotype"/>
          <w:w w:val="90"/>
        </w:rPr>
        <w:t>asistencia</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1"/>
        <w:rPr>
          <w:rFonts w:ascii="Palatino Linotype"/>
          <w:b/>
          <w:sz w:val="13"/>
        </w:rPr>
      </w:pPr>
      <w:r>
        <w:rPr/>
        <w:pict>
          <v:shape style="position:absolute;margin-left:140.636703pt;margin-top:11.321094pt;width:10.7pt;height:4.8pt;mso-position-horizontal-relative:page;mso-position-vertical-relative:paragraph;z-index:3352;mso-wrap-distance-left:0;mso-wrap-distance-right:0" coordorigin="2813,226" coordsize="214,96" path="m2836,319l2813,319,2813,322,2836,322,2836,319xm2832,231l2816,231,2817,231,2819,232,2820,235,2821,237,2821,311,2820,314,2820,316,2819,318,2817,319,2833,319,2832,319,2830,317,2829,315,2829,313,2828,311,2828,239,2829,236,2829,234,2830,232,2832,231xm2836,228l2813,228,2813,231,2836,231,2836,228xm2868,226l2866,226,2847,304,2846,310,2844,314,2843,317,2842,318,2841,319,2839,319,2839,322,2856,322,2856,319,2853,319,2851,318,2850,317,2850,316,2850,315,2849,312,2850,309,2851,305,2854,291,2883,291,2882,286,2856,286,2865,248,2873,248,2868,226xm2896,319l2875,319,2875,322,2896,322,2896,319xm2883,291l2875,291,2879,304,2880,308,2880,312,2880,315,2879,317,2878,318,2877,319,2894,319,2892,318,2891,316,2890,314,2888,310,2887,303,2883,291xm2873,248l2865,248,2874,286,2882,286,2873,248xm2927,226l2925,226,2907,303,2904,310,2903,314,2902,317,2901,318,2900,319,2898,319,2898,322,2914,322,2914,319,2912,319,2910,318,2908,316,2908,312,2909,308,2909,305,2913,291,2943,291,2941,286,2914,286,2924,248,2932,248,2927,226xm2955,319l2933,319,2933,322,2955,322,2955,319xm2943,291l2934,291,2937,304,2938,308,2939,312,2939,315,2939,316,2938,317,2937,318,2936,319,2953,319,2951,318,2950,316,2948,314,2947,308,2946,303,2943,291xm2932,248l2924,248,2933,286,2941,286,2932,248xm2976,319l2957,319,2957,322,2976,322,2976,319xm2976,243l2968,243,2989,322,2990,322,2996,301,2992,301,2976,243xm3027,319l3003,319,3003,322,3027,322,3027,319xm2972,228l2957,228,2957,231,2959,231,2961,231,2962,232,2963,233,2964,234,2965,237,2964,315,2964,316,2963,318,2961,319,2972,319,2971,318,2970,316,2969,315,2968,311,2968,243,2976,243,2972,228xm3019,243l3011,243,3011,311,3011,314,3010,316,3009,318,3008,319,3023,319,3021,318,3020,316,3019,315,3019,311,3019,243xm3027,228l3011,228,2992,301,2996,301,3011,243,3019,243,3019,239,3019,236,3020,234,3021,232,3022,231,3027,231,3027,228xe" filled="true" fillcolor="#221f20" stroked="false">
            <v:path arrowok="t"/>
            <v:fill type="solid"/>
            <w10:wrap type="topAndBottom"/>
          </v:shape>
        </w:pict>
      </w:r>
      <w:r>
        <w:rPr/>
        <w:pict>
          <v:shape style="position:absolute;margin-left:162.368103pt;margin-top:11.371493pt;width:5.8pt;height:4.8pt;mso-position-horizontal-relative:page;mso-position-vertical-relative:paragraph;z-index:3376;mso-wrap-distance-left:0;mso-wrap-distance-right:0" coordorigin="3247,227" coordsize="116,96" path="m3270,318l3247,318,3247,321,3270,321,3270,318xm3266,230l3250,230,3251,231,3253,232,3254,232,3254,233,3254,235,3255,236,3255,314,3254,315,3253,317,3251,318,3267,318,3266,318,3265,317,3264,316,3263,315,3263,314,3263,312,3263,235,3264,233,3265,231,3266,230xm3270,227l3247,227,3247,230,3270,230,3270,227xm3297,318l3274,318,3274,321,3297,321,3297,318xm3330,318l3306,318,3306,321,3330,321,3330,318xm3294,230l3277,230,3278,231,3279,232,3280,232,3281,233,3281,235,3281,236,3282,239,3282,310,3281,314,3281,315,3280,317,3278,318,3294,318,3293,318,3291,317,3291,316,3290,315,3289,312,3289,276,3322,276,3322,271,3289,271,3289,236,3290,233,3291,232,3291,232,3293,231,3294,230xm3322,276l3314,276,3314,314,3313,315,3312,317,3310,318,3326,318,3325,318,3324,317,3323,316,3323,315,3322,312,3322,276xm3326,230l3309,230,3311,231,3312,232,3313,232,3313,233,3313,235,3314,236,3314,271,3322,271,3322,236,3322,235,3322,233,3324,232,3325,231,3326,230xm3297,227l3274,227,3274,230,3297,230,3297,227xm3330,227l3306,227,3306,230,3330,230,3330,227xm3338,305l3336,305,3335,306,3334,308,3333,309,3333,310,3333,315,3334,318,3335,320,3336,322,3338,323,3344,323,3347,322,3349,318,3343,318,3342,317,3342,314,3341,310,3340,308,3339,306,3338,305xm3358,230l3343,230,3344,231,3345,232,3346,232,3346,233,3347,235,3347,236,3347,238,3347,312,3347,314,3346,317,3345,318,3349,318,3351,315,3353,311,3353,307,3354,303,3355,297,3355,238,3355,235,3356,233,3357,231,3358,230xm3362,227l3339,227,3339,230,3362,230,3362,227xe" filled="true" fillcolor="#221f20" stroked="false">
            <v:path arrowok="t"/>
            <v:fill type="solid"/>
            <w10:wrap type="topAndBottom"/>
          </v:shape>
        </w:pict>
      </w:r>
      <w:r>
        <w:rPr/>
        <w:pict>
          <v:shape style="position:absolute;margin-left:180.626007pt;margin-top:11.446794pt;width:7.75pt;height:4.7pt;mso-position-horizontal-relative:page;mso-position-vertical-relative:paragraph;z-index:3400;mso-wrap-distance-left:0;mso-wrap-distance-right:0" coordorigin="3613,229" coordsize="155,94" path="m3635,320l3613,320,3613,322,3635,322,3635,320xm3631,231l3616,231,3617,232,3619,234,3619,235,3619,236,3620,237,3620,315,3619,316,3618,318,3617,320,3632,320,3631,319,3630,318,3629,317,3628,316,3628,315,3628,313,3628,236,3629,234,3630,232,3631,231xm3635,229l3613,229,3613,231,3635,231,3635,229xm3662,320l3639,320,3639,322,3662,322,3662,320xm3695,320l3672,320,3672,322,3695,322,3695,320xm3659,231l3642,231,3643,232,3645,234,3646,236,3646,237,3647,240,3647,311,3646,315,3646,316,3645,318,3643,320,3659,320,3658,319,3656,317,3655,316,3654,313,3654,277,3687,277,3687,272,3654,272,3654,237,3655,234,3656,233,3656,233,3658,232,3659,231xm3687,277l3680,277,3680,311,3679,315,3679,316,3677,318,3676,320,3691,320,3690,319,3688,317,3688,316,3687,313,3687,277xm3691,231l3675,231,3676,232,3678,234,3679,235,3679,236,3679,237,3680,240,3680,272,3687,272,3687,237,3688,234,3688,233,3689,233,3690,232,3691,231xm3662,229l3639,229,3639,231,3662,231,3662,229xm3695,229l3672,229,3672,231,3695,231,3695,229xm3717,320l3697,320,3697,322,3717,322,3717,320xm3717,243l3709,243,3730,322,3731,322,3737,302,3733,302,3717,243xm3767,320l3744,320,3744,322,3767,322,3767,320xm3713,229l3697,229,3697,231,3700,231,3701,232,3702,232,3704,234,3704,236,3705,238,3705,240,3705,312,3705,314,3704,316,3703,318,3702,320,3712,320,3711,319,3710,317,3709,315,3709,312,3709,243,3717,243,3713,229xm3759,243l3752,243,3752,312,3751,314,3751,316,3750,318,3748,320,3763,320,3761,319,3760,317,3760,315,3759,312,3759,243xm3767,229l3752,229,3733,302,3737,302,3752,243,3759,243,3759,240,3760,236,3760,235,3761,232,3763,231,3767,231,3767,229xe" filled="true" fillcolor="#221f20" stroked="false">
            <v:path arrowok="t"/>
            <v:fill type="solid"/>
            <w10:wrap type="topAndBottom"/>
          </v:shape>
        </w:pict>
      </w:r>
      <w:r>
        <w:rPr/>
        <w:drawing>
          <wp:anchor distT="0" distB="0" distL="0" distR="0" allowOverlap="1" layoutInCell="1" locked="0" behindDoc="0" simplePos="0" relativeHeight="3424">
            <wp:simplePos x="0" y="0"/>
            <wp:positionH relativeFrom="page">
              <wp:posOffset>2492436</wp:posOffset>
            </wp:positionH>
            <wp:positionV relativeFrom="paragraph">
              <wp:posOffset>143782</wp:posOffset>
            </wp:positionV>
            <wp:extent cx="189402" cy="61912"/>
            <wp:effectExtent l="0" t="0" r="0" b="0"/>
            <wp:wrapTopAndBottom/>
            <wp:docPr id="111" name="image107.png" descr=""/>
            <wp:cNvGraphicFramePr>
              <a:graphicFrameLocks noChangeAspect="1"/>
            </wp:cNvGraphicFramePr>
            <a:graphic>
              <a:graphicData uri="http://schemas.openxmlformats.org/drawingml/2006/picture">
                <pic:pic>
                  <pic:nvPicPr>
                    <pic:cNvPr id="112" name="image107.png"/>
                    <pic:cNvPicPr/>
                  </pic:nvPicPr>
                  <pic:blipFill>
                    <a:blip r:embed="rId216" cstate="print"/>
                    <a:stretch>
                      <a:fillRect/>
                    </a:stretch>
                  </pic:blipFill>
                  <pic:spPr>
                    <a:xfrm>
                      <a:off x="0" y="0"/>
                      <a:ext cx="189402" cy="61912"/>
                    </a:xfrm>
                    <a:prstGeom prst="rect">
                      <a:avLst/>
                    </a:prstGeom>
                  </pic:spPr>
                </pic:pic>
              </a:graphicData>
            </a:graphic>
          </wp:anchor>
        </w:drawing>
      </w:r>
      <w:r>
        <w:rPr/>
        <w:drawing>
          <wp:anchor distT="0" distB="0" distL="0" distR="0" allowOverlap="1" layoutInCell="1" locked="0" behindDoc="0" simplePos="0" relativeHeight="3448">
            <wp:simplePos x="0" y="0"/>
            <wp:positionH relativeFrom="page">
              <wp:posOffset>2770623</wp:posOffset>
            </wp:positionH>
            <wp:positionV relativeFrom="paragraph">
              <wp:posOffset>143154</wp:posOffset>
            </wp:positionV>
            <wp:extent cx="122680" cy="61912"/>
            <wp:effectExtent l="0" t="0" r="0" b="0"/>
            <wp:wrapTopAndBottom/>
            <wp:docPr id="113" name="image108.png" descr=""/>
            <wp:cNvGraphicFramePr>
              <a:graphicFrameLocks noChangeAspect="1"/>
            </wp:cNvGraphicFramePr>
            <a:graphic>
              <a:graphicData uri="http://schemas.openxmlformats.org/drawingml/2006/picture">
                <pic:pic>
                  <pic:nvPicPr>
                    <pic:cNvPr id="114" name="image108.png"/>
                    <pic:cNvPicPr/>
                  </pic:nvPicPr>
                  <pic:blipFill>
                    <a:blip r:embed="rId217" cstate="print"/>
                    <a:stretch>
                      <a:fillRect/>
                    </a:stretch>
                  </pic:blipFill>
                  <pic:spPr>
                    <a:xfrm>
                      <a:off x="0" y="0"/>
                      <a:ext cx="122680" cy="61912"/>
                    </a:xfrm>
                    <a:prstGeom prst="rect">
                      <a:avLst/>
                    </a:prstGeom>
                  </pic:spPr>
                </pic:pic>
              </a:graphicData>
            </a:graphic>
          </wp:anchor>
        </w:drawing>
      </w:r>
      <w:r>
        <w:rPr/>
        <w:pict>
          <v:shape style="position:absolute;margin-left:236.467102pt;margin-top:11.321493pt;width:11.55pt;height:4.9pt;mso-position-horizontal-relative:page;mso-position-vertical-relative:paragraph;z-index:3472;mso-wrap-distance-left:0;mso-wrap-distance-right:0" coordorigin="4729,226" coordsize="231,98" path="m4761,226l4752,226,4747,229,4739,237,4735,243,4733,251,4731,259,4729,267,4729,288,4731,298,4735,307,4740,318,4747,324,4761,324,4765,322,4769,318,4755,318,4751,316,4745,310,4743,305,4741,299,4739,293,4739,288,4739,267,4739,258,4741,251,4743,244,4745,239,4748,236,4751,233,4754,231,4769,231,4765,228,4761,226xm4777,299l4774,307,4771,312,4768,314,4765,317,4762,318,4769,318,4772,315,4775,309,4778,300,4777,299xm4769,231l4762,231,4766,233,4769,238,4772,242,4774,249,4775,258,4777,258,4776,233,4771,233,4770,232,4769,231xm4775,226l4774,226,4774,229,4774,230,4773,232,4772,233,4776,233,4775,226xm4824,229l4782,229,4782,231,4786,231,4788,232,4789,234,4790,235,4790,239,4790,310,4790,313,4790,315,4789,316,4789,317,4788,318,4787,319,4786,320,4782,320,4782,322,4824,322,4825,317,4801,317,4800,317,4799,316,4798,315,4798,314,4798,313,4798,276,4820,276,4820,271,4798,271,4798,234,4824,234,4824,229xm4829,299l4827,299,4826,304,4824,309,4822,312,4821,314,4820,315,4818,316,4817,317,4815,317,4825,317,4829,299xm4820,276l4812,276,4814,276,4815,277,4816,278,4817,279,4818,282,4818,285,4818,290,4820,290,4820,276xm4820,257l4818,257,4818,262,4817,266,4816,268,4815,270,4813,271,4820,271,4820,257xm4824,234l4817,234,4818,235,4820,236,4821,237,4821,239,4822,241,4823,244,4823,249,4825,249,4824,234xm4852,231l4837,231,4838,232,4839,234,4839,236,4840,239,4840,314,4839,316,4838,318,4837,320,4832,320,4832,322,4874,322,4875,316,4852,316,4850,316,4850,315,4849,315,4848,314,4848,313,4848,312,4848,237,4848,236,4849,233,4851,232,4852,231xm4877,296l4876,302,4875,306,4873,309,4872,312,4870,314,4867,316,4864,316,4875,316,4879,297,4877,296xm4857,229l4832,229,4832,231,4857,231,4857,229xm4915,226l4906,226,4901,229,4893,237,4890,243,4887,251,4885,259,4884,267,4884,288,4885,298,4889,307,4894,318,4901,324,4914,324,4919,322,4922,318,4908,318,4905,316,4902,313,4899,310,4897,305,4895,298,4894,293,4893,285,4893,267,4894,258,4897,244,4899,239,4902,236,4905,233,4908,231,4922,231,4918,228,4915,226xm4931,299l4927,307,4925,312,4922,314,4919,317,4916,318,4922,318,4926,315,4929,309,4932,300,4931,299xm4922,231l4916,231,4919,233,4922,238,4925,242,4928,249,4929,258,4931,258,4930,233,4924,233,4923,232,4922,231xm4929,226l4928,226,4928,229,4927,232,4926,232,4925,233,4930,233,4929,226xm4960,320l4937,320,4937,322,4960,322,4960,320xm4956,231l4940,231,4941,232,4943,234,4944,236,4944,237,4944,239,4945,311,4944,315,4944,316,4943,318,4941,320,4957,320,4956,319,4955,318,4954,317,4953,316,4953,315,4953,313,4952,311,4952,239,4953,236,4953,234,4954,232,4956,231xm4960,229l4937,229,4937,231,4960,231,4960,229xe" filled="true" fillcolor="#221f20" stroked="false">
            <v:path arrowok="t"/>
            <v:fill type="solid"/>
            <w10:wrap type="topAndBottom"/>
          </v:shape>
        </w:pict>
      </w:r>
      <w:r>
        <w:rPr/>
        <w:pict>
          <v:shape style="position:absolute;margin-left:257.478912pt;margin-top:11.372293pt;width:8.0500pt;height:4.7pt;mso-position-horizontal-relative:page;mso-position-vertical-relative:paragraph;z-index:3496;mso-wrap-distance-left:0;mso-wrap-distance-right:0" coordorigin="5150,227" coordsize="161,94" path="m5177,227l5150,227,5150,230,5154,230,5156,231,5157,233,5157,234,5158,238,5157,310,5157,313,5157,315,5156,317,5154,318,5150,318,5150,321,5181,321,5186,320,5192,316,5171,316,5168,315,5165,314,5165,276,5166,275,5191,275,5190,274,5186,273,5189,271,5190,270,5170,270,5168,270,5167,270,5166,269,5165,269,5165,233,5167,232,5169,232,5188,232,5187,231,5183,229,5181,228,5177,227xm5191,275l5176,275,5179,276,5182,278,5184,280,5186,283,5187,286,5189,289,5189,293,5189,302,5188,306,5185,310,5183,314,5179,316,5192,316,5194,313,5196,309,5197,304,5198,300,5198,289,5197,284,5194,280,5193,277,5191,275xm5188,232l5177,232,5181,234,5183,238,5186,241,5187,246,5187,255,5187,258,5185,264,5183,267,5181,268,5179,269,5176,270,5190,270,5192,268,5195,261,5196,257,5196,246,5195,242,5193,238,5190,233,5188,232xm5246,227l5204,227,5204,230,5209,230,5210,231,5212,234,5212,236,5212,312,5211,315,5210,317,5209,318,5208,318,5204,318,5204,321,5246,321,5247,316,5223,316,5222,315,5221,314,5221,314,5220,313,5220,312,5220,309,5220,274,5241,274,5241,269,5220,269,5220,232,5246,232,5246,227xm5251,297l5249,297,5247,303,5246,307,5244,310,5243,312,5241,314,5240,315,5238,315,5236,316,5247,316,5251,297xm5241,274l5234,274,5235,275,5237,276,5238,277,5238,278,5239,280,5239,281,5240,284,5240,288,5241,288,5241,274xm5241,256l5240,256,5240,261,5239,265,5238,267,5237,268,5235,269,5241,269,5241,256xm5246,232l5237,232,5240,233,5241,234,5242,236,5243,238,5244,239,5244,243,5245,248,5247,248,5246,232xm5277,318l5254,318,5254,321,5277,321,5277,318xm5310,318l5287,318,5287,321,5310,321,5310,318xm5274,230l5257,230,5258,230,5260,231,5261,234,5262,236,5262,310,5261,313,5261,315,5260,317,5258,318,5274,318,5273,318,5271,316,5270,314,5270,312,5269,310,5269,276,5302,276,5302,271,5269,271,5269,239,5270,236,5270,234,5270,233,5271,232,5273,230,5274,230xm5302,276l5294,276,5294,310,5294,313,5293,315,5292,317,5290,318,5306,318,5305,318,5303,316,5302,314,5302,312,5302,310,5302,276xm5306,230l5290,230,5291,230,5293,232,5294,234,5294,236,5294,239,5294,271,5302,271,5302,239,5302,236,5303,234,5303,233,5303,232,5305,230,5306,230xm5277,227l5254,227,5254,230,5277,230,5277,227xm5310,227l5287,227,5287,230,5310,230,5310,227xe" filled="true" fillcolor="#221f20" stroked="false">
            <v:path arrowok="t"/>
            <v:fill type="solid"/>
            <w10:wrap type="topAndBottom"/>
          </v:shape>
        </w:pict>
      </w:r>
      <w:r>
        <w:rPr/>
        <w:drawing>
          <wp:anchor distT="0" distB="0" distL="0" distR="0" allowOverlap="1" layoutInCell="1" locked="0" behindDoc="0" simplePos="0" relativeHeight="3520">
            <wp:simplePos x="0" y="0"/>
            <wp:positionH relativeFrom="page">
              <wp:posOffset>3495558</wp:posOffset>
            </wp:positionH>
            <wp:positionV relativeFrom="paragraph">
              <wp:posOffset>143147</wp:posOffset>
            </wp:positionV>
            <wp:extent cx="139674" cy="61912"/>
            <wp:effectExtent l="0" t="0" r="0" b="0"/>
            <wp:wrapTopAndBottom/>
            <wp:docPr id="115" name="image109.png" descr=""/>
            <wp:cNvGraphicFramePr>
              <a:graphicFrameLocks noChangeAspect="1"/>
            </wp:cNvGraphicFramePr>
            <a:graphic>
              <a:graphicData uri="http://schemas.openxmlformats.org/drawingml/2006/picture">
                <pic:pic>
                  <pic:nvPicPr>
                    <pic:cNvPr id="116" name="image109.png"/>
                    <pic:cNvPicPr/>
                  </pic:nvPicPr>
                  <pic:blipFill>
                    <a:blip r:embed="rId218" cstate="print"/>
                    <a:stretch>
                      <a:fillRect/>
                    </a:stretch>
                  </pic:blipFill>
                  <pic:spPr>
                    <a:xfrm>
                      <a:off x="0" y="0"/>
                      <a:ext cx="139674" cy="61912"/>
                    </a:xfrm>
                    <a:prstGeom prst="rect">
                      <a:avLst/>
                    </a:prstGeom>
                  </pic:spPr>
                </pic:pic>
              </a:graphicData>
            </a:graphic>
          </wp:anchor>
        </w:drawing>
      </w:r>
      <w:r>
        <w:rPr/>
        <w:pict>
          <v:shape style="position:absolute;margin-left:296.425598pt;margin-top:11.321493pt;width:7.15pt;height:4.9pt;mso-position-horizontal-relative:page;mso-position-vertical-relative:paragraph;z-index:3544;mso-wrap-distance-left:0;mso-wrap-distance-right:0" coordorigin="5929,226" coordsize="143,98" path="m5931,292l5929,292,5929,324,5931,324,5931,322,5931,321,5931,320,5932,319,5932,319,5943,319,5941,318,5938,316,5936,313,5934,311,5933,307,5932,304,5931,299,5931,292xm5947,226l5939,226,5936,229,5930,239,5929,244,5929,255,5929,258,5930,262,5931,265,5932,268,5934,270,5936,273,5939,277,5944,281,5953,290,5954,292,5956,297,5957,299,5957,301,5957,308,5956,311,5952,317,5950,319,5933,319,5935,320,5938,321,5940,322,5942,323,5943,324,5944,324,5946,324,5952,324,5956,322,5959,317,5963,311,5964,305,5964,294,5964,291,5963,288,5962,284,5960,281,5958,279,5957,276,5948,268,5942,262,5938,258,5936,254,5934,249,5934,243,5935,239,5937,236,5939,233,5941,232,5956,232,5955,231,5953,230,5950,228,5947,226xm5961,226l5959,226,5959,228,5959,230,5958,231,5957,232,5947,232,5949,233,5954,237,5955,240,5957,244,5958,248,5959,253,5959,259,5961,259,5961,226xm5976,292l5974,292,5974,324,5976,324,5976,322,5976,321,5977,320,5978,319,5989,319,5986,318,5984,316,5982,313,5980,311,5979,307,5977,304,5976,299,5976,292xm5993,226l5985,226,5981,229,5975,239,5974,244,5974,255,5974,258,5975,262,5976,265,5978,268,5980,270,5982,273,5998,290,5999,292,6001,297,6002,299,6002,301,6002,308,6001,311,5997,317,5995,319,5979,319,5981,320,5983,321,5986,322,5988,323,5988,324,5990,324,5991,324,5997,324,6001,322,6005,317,6008,311,6009,305,6009,294,6009,291,6008,288,6007,284,6006,281,6002,276,5994,268,5987,262,5984,258,5982,254,5981,252,5980,249,5980,243,5981,239,5983,236,5985,233,5987,232,6001,232,6000,231,5998,230,5995,228,5993,226xm6006,226l6004,226,6004,229,6003,231,6002,232,5992,232,5994,233,5996,235,5999,237,6001,240,6002,244,6003,248,6004,253,6004,259,6006,259,6006,226xm6039,320l6015,320,6015,322,6039,322,6039,320xm6071,320l6048,320,6048,322,6071,322,6071,320xm6035,231l6018,231,6020,232,6022,234,6023,236,6023,237,6023,240,6023,311,6023,315,6022,316,6021,318,6019,320,6035,320,6034,319,6032,317,6032,316,6031,313,6031,277,6063,277,6063,272,6031,272,6031,237,6032,234,6032,233,6033,233,6034,232,6035,231xm6063,277l6056,277,6056,315,6055,316,6054,318,6052,320,6068,320,6067,319,6064,316,6064,315,6063,313,6063,277xm6068,231l6051,231,6053,232,6055,234,6055,235,6055,236,6056,237,6056,272,6063,272,6063,237,6064,236,6064,234,6065,233,6067,232,6068,231xm6039,229l6015,229,6015,231,6039,231,6039,229xm6071,229l6048,229,6048,231,6071,231,6071,229xe" filled="true" fillcolor="#221f20" stroked="false">
            <v:path arrowok="t"/>
            <v:fill type="solid"/>
            <w10:wrap type="topAndBottom"/>
          </v:shape>
        </w:pict>
      </w:r>
      <w:r>
        <w:rPr/>
        <w:pict>
          <v:shape style="position:absolute;margin-left:313.319397pt;margin-top:11.297093pt;width:11.85pt;height:4.7pt;mso-position-horizontal-relative:page;mso-position-vertical-relative:paragraph;z-index:3568;mso-wrap-distance-left:0;mso-wrap-distance-right:0" coordorigin="6266,226" coordsize="237,94" path="m6296,226l6266,226,6266,228,6270,228,6272,229,6273,231,6274,233,6274,312,6273,313,6272,316,6270,317,6266,317,6266,319,6301,319,6309,315,6288,315,6285,314,6282,313,6282,233,6285,232,6287,231,6307,231,6307,231,6303,227,6296,226xm6307,231l6296,231,6301,235,6306,242,6310,250,6312,260,6312,286,6310,296,6306,303,6301,311,6296,315,6309,315,6314,305,6318,296,6320,286,6320,262,6319,254,6317,247,6314,239,6311,234,6307,231xm6349,317l6326,317,6326,319,6349,319,6349,317xm6345,228l6329,228,6330,229,6331,230,6332,231,6333,232,6333,233,6333,235,6333,312,6332,314,6331,316,6330,317,6346,317,6344,316,6342,314,6342,313,6342,312,6341,311,6341,233,6342,232,6343,230,6345,228xm6349,226l6326,226,6326,228,6349,228,6349,226xm6376,317l6352,317,6352,319,6376,319,6376,317xm6392,226l6352,226,6352,228,6355,228,6357,229,6358,230,6359,231,6359,232,6359,233,6360,235,6360,238,6360,309,6360,312,6359,314,6358,316,6356,317,6372,317,6371,316,6370,315,6368,312,6368,311,6368,273,6386,273,6386,268,6368,268,6368,231,6393,231,6392,226xm6386,273l6379,273,6381,274,6382,276,6383,277,6383,279,6384,280,6384,283,6384,287,6386,287,6386,273xm6386,255l6384,255,6384,260,6383,263,6382,265,6382,267,6380,268,6386,268,6386,255xm6393,231l6382,231,6384,231,6385,232,6387,233,6388,235,6390,239,6391,242,6391,246,6393,246,6393,231xm6440,226l6398,226,6398,228,6402,228,6404,229,6404,231,6405,233,6406,236,6406,308,6405,311,6405,312,6404,315,6403,315,6402,316,6401,317,6398,317,6398,319,6440,319,6441,314,6415,314,6414,313,6414,312,6414,311,6413,311,6413,273,6435,273,6435,268,6413,268,6413,231,6440,231,6440,226xm6444,296l6443,296,6441,302,6439,306,6436,311,6435,313,6432,314,6430,314,6441,314,6444,296xm6435,273l6429,273,6431,275,6432,277,6433,278,6433,279,6433,282,6434,287,6435,287,6435,273xm6435,254l6434,254,6434,260,6433,263,6431,266,6430,267,6428,268,6435,268,6435,254xm6440,231l6431,231,6433,231,6434,232,6435,233,6436,234,6437,236,6438,238,6438,242,6439,246,6440,246,6440,231xm6470,317l6447,317,6447,319,6470,319,6470,317xm6503,317l6480,317,6480,319,6503,319,6503,317xm6467,228l6450,228,6452,229,6453,230,6454,231,6454,232,6454,233,6455,235,6455,312,6454,314,6453,316,6451,317,6467,317,6466,316,6465,315,6464,314,6463,313,6463,312,6463,311,6463,274,6496,274,6496,269,6463,269,6463,235,6463,233,6463,232,6466,229,6467,228xm6496,274l6488,274,6488,312,6487,314,6486,316,6484,317,6500,317,6499,316,6498,315,6497,314,6496,313,6496,312,6496,311,6496,274xm6500,228l6483,228,6485,229,6486,230,6487,231,6487,232,6487,233,6488,235,6488,269,6496,269,6496,235,6496,233,6496,232,6497,231,6498,230,6499,229,6500,228xm6470,226l6447,226,6447,228,6470,228,6470,226xm6503,226l6480,226,6480,228,6503,228,6503,226xe" filled="true" fillcolor="#221f20" stroked="false">
            <v:path arrowok="t"/>
            <v:fill type="solid"/>
            <w10:wrap type="topAndBottom"/>
          </v:shape>
        </w:pict>
      </w:r>
      <w:r>
        <w:rPr/>
        <w:drawing>
          <wp:anchor distT="0" distB="0" distL="0" distR="0" allowOverlap="1" layoutInCell="1" locked="0" behindDoc="0" simplePos="0" relativeHeight="3592">
            <wp:simplePos x="0" y="0"/>
            <wp:positionH relativeFrom="page">
              <wp:posOffset>4222074</wp:posOffset>
            </wp:positionH>
            <wp:positionV relativeFrom="paragraph">
              <wp:posOffset>143147</wp:posOffset>
            </wp:positionV>
            <wp:extent cx="153554" cy="61912"/>
            <wp:effectExtent l="0" t="0" r="0" b="0"/>
            <wp:wrapTopAndBottom/>
            <wp:docPr id="117" name="image110.png" descr=""/>
            <wp:cNvGraphicFramePr>
              <a:graphicFrameLocks noChangeAspect="1"/>
            </wp:cNvGraphicFramePr>
            <a:graphic>
              <a:graphicData uri="http://schemas.openxmlformats.org/drawingml/2006/picture">
                <pic:pic>
                  <pic:nvPicPr>
                    <pic:cNvPr id="118" name="image110.png"/>
                    <pic:cNvPicPr/>
                  </pic:nvPicPr>
                  <pic:blipFill>
                    <a:blip r:embed="rId219" cstate="print"/>
                    <a:stretch>
                      <a:fillRect/>
                    </a:stretch>
                  </pic:blipFill>
                  <pic:spPr>
                    <a:xfrm>
                      <a:off x="0" y="0"/>
                      <a:ext cx="153554" cy="61912"/>
                    </a:xfrm>
                    <a:prstGeom prst="rect">
                      <a:avLst/>
                    </a:prstGeom>
                  </pic:spPr>
                </pic:pic>
              </a:graphicData>
            </a:graphic>
          </wp:anchor>
        </w:drawing>
      </w:r>
      <w:r>
        <w:rPr/>
        <w:drawing>
          <wp:anchor distT="0" distB="0" distL="0" distR="0" allowOverlap="1" layoutInCell="1" locked="0" behindDoc="0" simplePos="0" relativeHeight="3616">
            <wp:simplePos x="0" y="0"/>
            <wp:positionH relativeFrom="page">
              <wp:posOffset>4447955</wp:posOffset>
            </wp:positionH>
            <wp:positionV relativeFrom="paragraph">
              <wp:posOffset>143155</wp:posOffset>
            </wp:positionV>
            <wp:extent cx="679172" cy="63150"/>
            <wp:effectExtent l="0" t="0" r="0" b="0"/>
            <wp:wrapTopAndBottom/>
            <wp:docPr id="119" name="image111.png" descr=""/>
            <wp:cNvGraphicFramePr>
              <a:graphicFrameLocks noChangeAspect="1"/>
            </wp:cNvGraphicFramePr>
            <a:graphic>
              <a:graphicData uri="http://schemas.openxmlformats.org/drawingml/2006/picture">
                <pic:pic>
                  <pic:nvPicPr>
                    <pic:cNvPr id="120" name="image111.png"/>
                    <pic:cNvPicPr/>
                  </pic:nvPicPr>
                  <pic:blipFill>
                    <a:blip r:embed="rId220" cstate="print"/>
                    <a:stretch>
                      <a:fillRect/>
                    </a:stretch>
                  </pic:blipFill>
                  <pic:spPr>
                    <a:xfrm>
                      <a:off x="0" y="0"/>
                      <a:ext cx="679172" cy="63150"/>
                    </a:xfrm>
                    <a:prstGeom prst="rect">
                      <a:avLst/>
                    </a:prstGeom>
                  </pic:spPr>
                </pic:pic>
              </a:graphicData>
            </a:graphic>
          </wp:anchor>
        </w:drawing>
      </w:r>
      <w:r>
        <w:rPr/>
        <w:pict>
          <v:shape style="position:absolute;margin-left:408.901703pt;margin-top:11.271493pt;width:13.2pt;height:4.9pt;mso-position-horizontal-relative:page;mso-position-vertical-relative:paragraph;z-index:3640;mso-wrap-distance-left:0;mso-wrap-distance-right:0" coordorigin="8178,225" coordsize="264,98" path="m8201,318l8178,318,8178,321,8201,321,8201,318xm8197,230l8182,230,8182,230,8184,232,8185,234,8185,236,8186,238,8186,310,8185,313,8185,315,8184,317,8182,318,8198,318,8197,318,8195,316,8194,314,8194,312,8194,310,8193,238,8194,235,8194,233,8195,231,8197,230xm8201,227l8178,227,8178,230,8201,230,8201,227xm8238,225l8229,225,8224,227,8216,236,8212,242,8207,258,8206,265,8206,287,8208,297,8212,306,8217,317,8224,323,8238,323,8242,321,8246,317,8246,317,8232,317,8228,315,8222,309,8219,304,8218,297,8216,291,8215,284,8215,265,8216,257,8218,250,8220,243,8222,238,8225,235,8228,232,8231,230,8245,230,8242,227,8238,225xm8253,297l8250,305,8247,310,8245,313,8242,316,8239,317,8246,317,8249,313,8252,307,8255,299,8253,297xm8245,230l8239,230,8242,232,8246,236,8248,240,8250,247,8252,257,8253,257,8253,232,8247,232,8246,231,8245,230xm8252,225l8251,225,8250,229,8249,231,8248,232,8253,232,8252,225xm8288,225l8286,225,8267,302,8265,311,8264,313,8263,316,8262,317,8260,318,8258,318,8258,321,8275,321,8275,318,8273,318,8271,317,8270,316,8269,315,8269,314,8269,310,8269,308,8270,304,8274,290,8303,290,8302,285,8275,285,8285,247,8293,247,8288,225xm8303,290l8295,290,8299,307,8299,309,8300,315,8299,316,8298,317,8297,318,8294,318,8294,321,8315,321,8315,318,8313,318,8311,317,8311,315,8309,313,8308,307,8306,302,8303,290xm8344,318l8321,318,8321,321,8344,321,8344,318xm8336,233l8328,233,8328,314,8328,315,8327,317,8325,318,8340,318,8338,317,8337,315,8337,314,8336,311,8336,233xm8293,247l8285,247,8294,285,8302,285,8293,247xm8355,227l8311,227,8310,249,8311,249,8311,245,8312,242,8314,237,8315,235,8317,234,8318,233,8355,233,8355,227xm8355,233l8346,233,8348,234,8349,235,8351,236,8352,238,8353,241,8353,243,8353,247,8354,249,8355,249,8355,233xm8382,318l8359,318,8359,321,8382,321,8382,318xm8415,318l8391,318,8391,321,8415,321,8415,318xm8378,230l8362,230,8363,230,8365,232,8366,234,8366,236,8367,239,8367,310,8366,313,8366,315,8365,317,8363,318,8378,318,8377,318,8376,317,8375,314,8374,312,8374,276,8407,276,8407,271,8374,271,8374,236,8375,233,8376,231,8377,230,8378,230xm8407,276l8399,276,8399,310,8399,313,8398,315,8397,317,8395,318,8411,318,8410,318,8409,317,8407,314,8407,312,8407,276xm8411,230l8394,230,8396,230,8398,232,8398,233,8398,235,8399,236,8399,239,8399,271,8407,271,8407,236,8407,235,8407,233,8408,232,8409,231,8410,230,8411,230xm8382,227l8359,227,8359,230,8382,230,8382,227xm8415,227l8391,227,8391,230,8415,230,8415,227xm8441,318l8418,318,8418,321,8441,321,8441,318xm8437,230l8421,230,8423,230,8425,232,8426,234,8426,236,8426,238,8426,310,8426,313,8425,315,8424,317,8422,318,8438,318,8437,318,8436,317,8434,314,8434,312,8434,238,8434,235,8435,233,8436,231,8437,230xm8441,227l8418,227,8418,230,8441,230,8441,227xe" filled="true" fillcolor="#221f20" stroked="false">
            <v:path arrowok="t"/>
            <v:fill type="solid"/>
            <w10:wrap type="topAndBottom"/>
          </v:shape>
        </w:pict>
      </w:r>
    </w:p>
    <w:p>
      <w:pPr>
        <w:pStyle w:val="BodyText"/>
        <w:spacing w:before="8"/>
        <w:rPr>
          <w:rFonts w:ascii="Palatino Linotype"/>
          <w:b/>
          <w:sz w:val="10"/>
        </w:rPr>
      </w:pPr>
    </w:p>
    <w:tbl>
      <w:tblPr>
        <w:tblW w:w="0" w:type="auto"/>
        <w:jc w:val="left"/>
        <w:tblInd w:w="117" w:type="dxa"/>
        <w:tblBorders>
          <w:top w:val="single" w:sz="8" w:space="0" w:color="808184"/>
          <w:left w:val="single" w:sz="8" w:space="0" w:color="808184"/>
          <w:bottom w:val="single" w:sz="8" w:space="0" w:color="808184"/>
          <w:right w:val="single" w:sz="8" w:space="0" w:color="808184"/>
          <w:insideH w:val="single" w:sz="8" w:space="0" w:color="808184"/>
          <w:insideV w:val="single" w:sz="8" w:space="0" w:color="808184"/>
        </w:tblBorders>
        <w:tblLayout w:type="fixed"/>
        <w:tblCellMar>
          <w:top w:w="0" w:type="dxa"/>
          <w:left w:w="0" w:type="dxa"/>
          <w:bottom w:w="0" w:type="dxa"/>
          <w:right w:w="0" w:type="dxa"/>
        </w:tblCellMar>
        <w:tblLook w:val="01E0"/>
      </w:tblPr>
      <w:tblGrid>
        <w:gridCol w:w="1301"/>
        <w:gridCol w:w="385"/>
        <w:gridCol w:w="385"/>
        <w:gridCol w:w="385"/>
        <w:gridCol w:w="385"/>
        <w:gridCol w:w="385"/>
        <w:gridCol w:w="385"/>
        <w:gridCol w:w="385"/>
        <w:gridCol w:w="385"/>
        <w:gridCol w:w="385"/>
        <w:gridCol w:w="385"/>
        <w:gridCol w:w="384"/>
        <w:gridCol w:w="385"/>
        <w:gridCol w:w="385"/>
        <w:gridCol w:w="385"/>
        <w:gridCol w:w="385"/>
      </w:tblGrid>
      <w:tr>
        <w:trPr>
          <w:trHeight w:val="299" w:hRule="exact"/>
        </w:trPr>
        <w:tc>
          <w:tcPr>
            <w:tcW w:w="1301" w:type="dxa"/>
          </w:tcPr>
          <w:p>
            <w:pPr>
              <w:pStyle w:val="TableParagraph"/>
              <w:spacing w:before="1"/>
              <w:rPr>
                <w:rFonts w:ascii="Palatino Linotype"/>
                <w:b/>
                <w:sz w:val="4"/>
              </w:rPr>
            </w:pPr>
          </w:p>
          <w:p>
            <w:pPr>
              <w:pStyle w:val="TableParagraph"/>
              <w:spacing w:line="181" w:lineRule="exact" w:before="0"/>
              <w:ind w:left="73"/>
              <w:rPr>
                <w:rFonts w:ascii="Palatino Linotype"/>
                <w:sz w:val="18"/>
              </w:rPr>
            </w:pPr>
            <w:r>
              <w:rPr>
                <w:rFonts w:ascii="Palatino Linotype"/>
                <w:position w:val="-3"/>
                <w:sz w:val="18"/>
              </w:rPr>
              <w:pict>
                <v:group style="width:38.3pt;height:9.1pt;mso-position-horizontal-relative:char;mso-position-vertical-relative:line" coordorigin="0,0" coordsize="766,182">
                  <v:line style="position:absolute" from="46,46" to="46,136" stroked="true" strokeweight="4.515pt" strokecolor="#6e6e71"/>
                  <v:shape style="position:absolute;left:134;top:26;width:632;height:119" coordorigin="134,26" coordsize="632,119" path="m181,140l134,140,134,143,181,143,181,140xm216,32l134,32,134,35,141,35,143,35,145,37,147,38,148,39,149,42,150,45,150,130,149,134,148,136,146,138,142,140,175,140,173,139,170,138,168,137,167,136,167,134,166,132,166,130,166,88,203,88,203,81,166,81,166,38,216,38,216,32xm203,88l189,88,192,88,196,90,197,92,199,96,200,99,200,103,203,103,203,88xm203,66l200,66,199,72,198,76,194,80,190,81,203,81,203,66xm216,38l196,38,200,38,203,39,205,40,208,42,210,45,211,47,213,51,214,56,217,56,216,38xm273,65l255,65,247,69,240,76,234,83,231,93,231,118,234,127,246,141,254,145,271,145,278,142,284,136,287,131,262,131,255,128,250,122,244,116,242,107,242,96,294,96,294,91,242,91,242,85,244,80,251,73,256,71,283,71,280,68,273,65xm291,113l289,120,286,125,282,127,278,130,274,131,287,131,289,129,292,123,294,115,291,113xm283,71l263,71,266,72,269,74,271,75,273,78,276,83,276,86,276,91,294,91,294,86,291,79,285,73,283,71xm347,65l329,65,321,70,314,78,307,87,304,97,304,119,307,128,313,135,319,141,326,145,338,145,342,144,346,142,349,141,353,138,354,136,336,136,331,133,326,127,321,121,319,113,319,91,321,82,326,77,330,72,334,70,355,70,352,67,347,65xm381,133l379,134,356,134,356,145,360,145,382,136,381,133xm355,70l342,70,344,71,347,72,350,74,352,76,353,79,355,82,356,86,356,128,352,133,347,136,354,136,356,134,373,134,372,133,371,132,371,131,370,127,370,71,356,71,355,70xm370,37l352,37,355,39,355,40,356,44,356,71,370,71,370,37xm370,26l366,26,344,35,345,38,347,38,349,37,370,37,370,26xm431,65l413,65,404,69,398,76,391,83,388,93,388,118,391,127,398,134,404,141,412,145,429,145,435,142,441,136,445,131,420,131,413,128,408,122,402,116,399,107,399,96,451,96,451,91,399,91,400,85,402,80,409,73,413,71,440,71,437,68,431,65xm448,113l446,120,443,125,439,127,436,130,432,131,445,131,446,129,450,123,451,115,448,113xm440,71l421,71,424,72,426,74,429,75,431,78,432,81,433,83,434,86,434,91,451,91,451,86,448,79,440,71xm496,140l458,140,458,143,496,143,496,140xm483,76l465,76,466,77,467,77,468,78,469,79,469,81,469,84,470,88,470,130,469,132,469,134,469,136,468,137,466,138,465,139,462,140,493,140,490,139,489,138,487,137,486,136,485,135,484,132,483,130,483,89,486,84,487,82,483,82,483,76xm505,65l495,65,490,71,483,82,487,82,488,80,491,78,492,77,493,76,512,76,512,72,511,70,509,68,507,67,505,65xm512,76l495,76,496,77,499,79,501,81,503,82,507,82,509,81,512,78,512,76xm483,65l480,65,457,74,458,77,462,76,483,76,483,65xm567,70l550,70,553,72,556,74,558,77,559,82,559,93,546,97,537,101,531,105,526,108,522,112,520,115,518,118,517,121,517,131,519,135,526,142,530,144,539,144,545,142,547,141,551,138,555,135,540,135,537,133,534,131,532,128,531,125,531,118,532,115,536,110,539,107,543,105,545,103,551,101,559,98,572,98,572,82,572,79,571,76,569,73,567,70xm573,132l559,132,559,136,560,139,563,143,565,144,573,144,579,140,584,134,575,134,574,133,573,132,573,132xm572,98l559,98,559,126,552,132,547,135,555,135,559,132,573,132,573,131,573,130,573,128,572,98xm585,127l582,130,579,133,578,133,577,134,584,134,585,132,585,127xm554,65l539,65,532,67,527,71,523,75,521,79,520,87,521,88,522,90,523,91,525,92,529,92,531,91,533,89,534,87,534,82,534,79,534,77,535,75,537,73,539,71,542,70,567,70,564,69,560,67,554,65xm629,140l592,140,592,143,629,143,629,140xm617,37l599,37,602,39,602,40,603,44,603,130,603,133,602,135,601,137,599,139,598,139,596,140,625,140,622,139,621,138,620,138,619,137,618,135,617,133,617,130,617,37xm617,26l613,26,591,35,592,38,596,37,617,37,617,26xm681,65l663,65,655,69,648,76,641,83,638,93,638,118,641,127,654,141,662,145,679,145,686,142,691,136,695,131,670,131,663,128,658,122,652,116,650,107,650,96,701,96,701,91,650,91,650,85,652,80,656,76,660,73,664,71,691,71,688,68,681,65xm699,113l696,120,693,125,689,127,686,130,682,131,695,131,697,129,700,123,701,115,699,113xm691,71l671,71,674,72,677,74,679,75,681,78,684,83,684,86,685,91,701,91,701,86,698,79,693,73,691,71xm754,142l723,142,725,142,731,144,736,145,747,145,753,143,754,142xm717,117l715,117,715,144,717,144,718,142,719,142,754,142,756,140,735,140,730,138,726,134,722,130,719,124,717,117xm740,65l730,65,725,67,716,76,714,81,714,92,716,96,718,99,720,102,726,105,742,113,747,117,749,119,752,122,753,124,753,132,752,134,748,139,744,140,756,140,763,134,765,129,765,113,760,106,749,101,732,92,728,90,727,88,725,85,724,83,724,77,725,75,730,71,733,70,759,70,759,69,752,69,751,68,748,67,744,66,740,65xm759,70l742,70,746,71,749,74,752,77,755,83,757,91,759,91,759,70xm759,65l757,65,756,67,754,69,759,69,759,65xe" filled="true" fillcolor="#221f20" stroked="false">
                    <v:path arrowok="t"/>
                    <v:fill type="solid"/>
                  </v:shape>
                </v:group>
              </w:pict>
            </w:r>
            <w:r>
              <w:rPr>
                <w:rFonts w:ascii="Palatino Linotype"/>
                <w:position w:val="-3"/>
                <w:sz w:val="18"/>
              </w:rPr>
            </w:r>
          </w:p>
        </w:tc>
        <w:tc>
          <w:tcPr>
            <w:tcW w:w="385" w:type="dxa"/>
          </w:tcPr>
          <w:p>
            <w:pPr>
              <w:pStyle w:val="TableParagraph"/>
              <w:spacing w:before="0"/>
              <w:rPr>
                <w:rFonts w:ascii="Palatino Linotype"/>
                <w:b/>
                <w:sz w:val="6"/>
              </w:rPr>
            </w:pPr>
          </w:p>
          <w:p>
            <w:pPr>
              <w:pStyle w:val="TableParagraph"/>
              <w:spacing w:line="115" w:lineRule="exact" w:before="0"/>
              <w:ind w:left="144"/>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5,10,10,16,6,26,2,35,0,46,0,73,3,86,9,97,16,109,25,115,41,115,46,113,51,110,30,110,25,106,22,98,18,88,16,76,16,51,17,41,18,32,20,22,22,15,26,10,29,7,32,5,53,5,52,4,45,0xm53,5l39,5,42,6,44,8,47,10,50,15,52,22,55,30,56,40,55,65,55,76,54,85,52,93,50,99,48,103,42,109,39,110,51,110,52,109,58,105,63,99,66,90,70,81,72,70,72,57,71,44,69,32,65,22,59,13,53,5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3" w:lineRule="exact" w:before="0"/>
              <w:ind w:left="147"/>
              <w:rPr>
                <w:rFonts w:ascii="Palatino Linotype"/>
                <w:sz w:val="11"/>
              </w:rPr>
            </w:pPr>
            <w:r>
              <w:rPr>
                <w:rFonts w:ascii="Palatino Linotype"/>
                <w:position w:val="-1"/>
                <w:sz w:val="11"/>
              </w:rPr>
              <w:pict>
                <v:group style="width:3.65pt;height:5.7pt;mso-position-horizontal-relative:char;mso-position-vertical-relative:line" coordorigin="0,0" coordsize="73,114">
                  <v:shape style="position:absolute;left:0;top:0;width:73;height:114" coordorigin="0,0" coordsize="73,114" path="m61,12l36,12,42,15,46,19,50,24,52,29,52,46,48,56,41,67,34,76,25,86,13,98,0,110,0,113,65,113,70,101,18,101,21,98,29,89,43,74,52,64,58,55,62,46,65,40,66,35,66,21,63,14,61,12xm73,92l70,92,68,94,65,98,61,100,56,101,70,101,73,92xm44,0l26,0,19,2,13,8,8,13,4,21,3,31,6,31,8,25,11,20,16,17,20,14,25,12,61,12,57,8,51,3,44,0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3" w:lineRule="exact" w:before="0"/>
              <w:ind w:left="157"/>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2,14,13,14,14,15,15,18,16,20,16,25,16,100,16,105,15,106,15,107,14,108,12,109,11,110,7,110,39,110,36,110,34,109,32,108,31,107,31,105,30,104,30,100,30,13xm30,0l27,0,0,13,1,15,5,14,8,13,30,13,30,0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39"/>
              <w:rPr>
                <w:rFonts w:ascii="Palatino Linotype"/>
                <w:sz w:val="11"/>
              </w:rPr>
            </w:pPr>
            <w:r>
              <w:rPr>
                <w:rFonts w:ascii="Palatino Linotype"/>
                <w:position w:val="-1"/>
                <w:sz w:val="11"/>
              </w:rPr>
              <w:pict>
                <v:group style="width:3.15pt;height:5.8pt;mso-position-horizontal-relative:char;mso-position-vertical-relative:line" coordorigin="0,0" coordsize="63,116">
                  <v:shape style="position:absolute;left:0;top:0;width:63;height:116" coordorigin="0,0" coordsize="63,116" path="m9,101l5,101,3,101,2,102,0,104,0,105,0,109,1,111,4,113,7,114,12,115,34,115,46,111,48,108,28,108,24,107,23,107,20,106,17,104,14,102,12,101,11,101,9,101xm54,11l31,11,35,13,39,16,42,19,44,24,44,34,43,38,41,42,39,45,36,48,32,51,27,53,23,55,19,56,19,58,25,58,30,59,38,63,41,65,44,67,45,68,47,71,50,78,51,82,51,92,49,97,45,102,41,106,36,108,48,108,54,102,60,94,63,86,63,70,61,64,54,54,49,50,42,47,53,39,58,30,58,17,56,13,54,11xm41,0l24,0,18,2,14,6,9,10,5,16,1,23,4,25,10,15,17,11,54,11,52,8,47,3,41,0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15pt;height:5.8pt;mso-position-horizontal-relative:char;mso-position-vertical-relative:line" coordorigin="0,0" coordsize="63,116">
                  <v:shape style="position:absolute;left:0;top:0;width:63;height:116" coordorigin="0,0" coordsize="63,116" path="m9,101l4,101,3,101,1,102,0,104,0,105,0,109,1,111,4,113,6,114,11,115,34,115,46,111,48,108,28,108,26,108,23,107,22,107,20,106,17,104,13,102,11,101,10,101,9,101xm54,11l31,11,35,13,38,16,42,19,44,24,44,34,43,38,41,42,39,45,36,48,27,53,23,55,18,56,18,58,25,58,29,59,34,61,38,63,41,65,43,67,45,68,47,71,48,74,50,78,51,82,51,92,49,97,45,102,40,106,36,108,48,108,54,102,60,94,63,86,63,70,61,64,54,54,49,50,42,47,52,39,57,30,57,17,56,13,54,11xm40,0l24,0,18,2,8,10,4,16,1,23,4,25,10,15,17,11,54,11,52,8,47,3,40,0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1,21,5,14,10,9,16,5,26,2,35,0,46,0,73,3,86,8,97,16,109,24,115,40,115,46,113,50,110,29,110,24,106,21,98,18,88,16,76,16,51,16,41,18,32,19,22,22,15,26,10,29,7,32,5,53,5,52,4,44,0xm53,5l39,5,42,6,44,8,47,10,50,15,52,22,54,30,55,40,55,65,54,76,53,85,52,93,50,99,48,103,41,109,38,110,50,110,58,105,62,99,66,90,69,81,71,70,71,57,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3"/>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4,10,9,16,6,26,2,35,0,46,0,73,3,86,9,97,16,109,25,115,41,115,46,113,50,110,29,110,25,106,22,98,18,88,16,76,16,51,17,41,18,32,19,22,22,15,26,10,29,7,32,5,53,5,52,4,45,0xm53,5l39,5,42,6,44,8,47,10,50,15,52,22,54,30,56,40,55,57,55,65,55,76,53,85,52,93,50,99,48,103,45,106,42,109,38,110,50,110,52,109,58,105,62,99,66,90,69,81,71,70,71,57,71,44,68,32,65,22,59,13,53,5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5,10,10,16,6,26,2,35,0,46,0,73,3,86,9,97,16,109,25,115,41,115,46,113,51,110,30,110,25,106,22,98,18,88,16,76,16,51,17,41,18,32,20,22,22,15,26,10,29,7,32,5,53,5,52,4,45,0xm53,5l39,5,42,6,44,8,47,10,50,15,52,22,55,30,56,40,55,65,55,76,54,85,52,93,50,99,48,103,45,106,42,109,39,110,51,110,52,109,58,105,63,99,66,90,70,81,72,70,72,57,71,44,69,32,65,22,59,13,53,5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03"/>
              <w:rPr>
                <w:rFonts w:ascii="Palatino Linotype"/>
                <w:sz w:val="11"/>
              </w:rPr>
            </w:pPr>
            <w:r>
              <w:rPr>
                <w:rFonts w:ascii="Palatino Linotype"/>
                <w:position w:val="-1"/>
                <w:sz w:val="11"/>
              </w:rPr>
              <w:drawing>
                <wp:inline distT="0" distB="0" distL="0" distR="0">
                  <wp:extent cx="98668" cy="73151"/>
                  <wp:effectExtent l="0" t="0" r="0" b="0"/>
                  <wp:docPr id="121" name="image112.png" descr=""/>
                  <wp:cNvGraphicFramePr>
                    <a:graphicFrameLocks noChangeAspect="1"/>
                  </wp:cNvGraphicFramePr>
                  <a:graphic>
                    <a:graphicData uri="http://schemas.openxmlformats.org/drawingml/2006/picture">
                      <pic:pic>
                        <pic:nvPicPr>
                          <pic:cNvPr id="122" name="image112.png"/>
                          <pic:cNvPicPr/>
                        </pic:nvPicPr>
                        <pic:blipFill>
                          <a:blip r:embed="rId221" cstate="print"/>
                          <a:stretch>
                            <a:fillRect/>
                          </a:stretch>
                        </pic:blipFill>
                        <pic:spPr>
                          <a:xfrm>
                            <a:off x="0" y="0"/>
                            <a:ext cx="98668" cy="73151"/>
                          </a:xfrm>
                          <a:prstGeom prst="rect">
                            <a:avLst/>
                          </a:prstGeom>
                        </pic:spPr>
                      </pic:pic>
                    </a:graphicData>
                  </a:graphic>
                </wp:inline>
              </w:drawing>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14"/>
              <w:rPr>
                <w:rFonts w:ascii="Palatino Linotype"/>
                <w:sz w:val="11"/>
              </w:rPr>
            </w:pPr>
            <w:r>
              <w:rPr>
                <w:rFonts w:ascii="Palatino Linotype"/>
                <w:position w:val="-1"/>
                <w:sz w:val="11"/>
              </w:rPr>
              <w:drawing>
                <wp:inline distT="0" distB="0" distL="0" distR="0">
                  <wp:extent cx="87442" cy="73151"/>
                  <wp:effectExtent l="0" t="0" r="0" b="0"/>
                  <wp:docPr id="123" name="image113.png" descr=""/>
                  <wp:cNvGraphicFramePr>
                    <a:graphicFrameLocks noChangeAspect="1"/>
                  </wp:cNvGraphicFramePr>
                  <a:graphic>
                    <a:graphicData uri="http://schemas.openxmlformats.org/drawingml/2006/picture">
                      <pic:pic>
                        <pic:nvPicPr>
                          <pic:cNvPr id="124" name="image113.png"/>
                          <pic:cNvPicPr/>
                        </pic:nvPicPr>
                        <pic:blipFill>
                          <a:blip r:embed="rId222" cstate="print"/>
                          <a:stretch>
                            <a:fillRect/>
                          </a:stretch>
                        </pic:blipFill>
                        <pic:spPr>
                          <a:xfrm>
                            <a:off x="0" y="0"/>
                            <a:ext cx="87442" cy="73151"/>
                          </a:xfrm>
                          <a:prstGeom prst="rect">
                            <a:avLst/>
                          </a:prstGeom>
                        </pic:spPr>
                      </pic:pic>
                    </a:graphicData>
                  </a:graphic>
                </wp:inline>
              </w:drawing>
            </w:r>
            <w:r>
              <w:rPr>
                <w:rFonts w:ascii="Palatino Linotype"/>
                <w:position w:val="-1"/>
                <w:sz w:val="11"/>
              </w:rPr>
            </w:r>
          </w:p>
        </w:tc>
        <w:tc>
          <w:tcPr>
            <w:tcW w:w="384" w:type="dxa"/>
          </w:tcPr>
          <w:p>
            <w:pPr/>
          </w:p>
        </w:tc>
        <w:tc>
          <w:tcPr>
            <w:tcW w:w="385" w:type="dxa"/>
          </w:tcPr>
          <w:p>
            <w:pPr>
              <w:pStyle w:val="TableParagraph"/>
              <w:spacing w:before="0"/>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15pt;height:5.8pt;mso-position-horizontal-relative:char;mso-position-vertical-relative:line" coordorigin="0,0" coordsize="63,116">
                  <v:shape style="position:absolute;left:0;top:0;width:63;height:116" coordorigin="0,0" coordsize="63,116" path="m9,101l5,101,3,101,2,102,1,104,0,105,0,109,1,111,4,113,7,114,12,115,35,115,46,111,48,108,28,108,26,108,24,107,23,107,20,106,17,104,14,102,12,101,11,101,9,101xm54,11l31,11,35,13,39,16,42,19,44,24,44,34,43,38,41,42,39,45,36,48,27,53,23,55,19,56,19,58,26,58,30,59,34,61,38,63,41,65,44,67,45,68,47,71,48,74,50,78,51,82,51,92,49,97,45,102,41,106,36,108,48,108,54,102,60,94,63,86,63,70,62,64,55,54,49,50,43,47,53,39,58,30,58,17,56,13,54,11xm41,0l25,0,19,2,9,10,5,16,2,23,4,25,10,15,17,11,54,11,52,8,48,3,41,0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1,21,5,14,10,9,16,5,26,2,35,0,46,0,73,2,86,8,97,16,109,24,115,40,115,46,113,50,110,29,110,24,106,21,98,18,88,16,76,16,51,16,41,18,32,19,22,22,15,26,10,29,7,32,5,53,5,52,4,44,0xm53,5l39,5,42,6,44,8,47,10,50,15,51,21,54,30,55,40,55,65,54,76,53,85,52,93,50,99,48,103,41,109,38,110,50,110,58,105,62,99,65,90,69,81,71,70,71,57,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5pt;height:5.8pt;mso-position-horizontal-relative:char;mso-position-vertical-relative:line" coordorigin="0,0" coordsize="70,116">
                  <v:shape style="position:absolute;left:0;top:0;width:70;height:116" coordorigin="0,0" coordsize="70,116" path="m68,0l57,0,51,1,44,3,38,6,30,10,23,17,16,24,10,32,2,50,0,60,0,71,1,81,4,91,9,100,16,108,21,113,27,115,46,115,55,111,33,111,30,109,27,107,23,103,20,98,18,92,17,86,16,81,16,70,16,65,17,57,22,54,25,52,28,51,18,51,20,44,23,37,29,26,32,21,37,17,41,13,46,10,55,5,61,4,68,3,68,0xm60,50l41,50,46,54,50,60,54,67,56,75,55,94,54,100,50,104,46,109,42,111,55,111,62,101,67,94,70,85,70,66,67,58,60,50xm50,43l34,43,26,46,18,51,28,51,30,51,32,50,60,50,56,46,50,43xe" filled="true" fillcolor="#221f20" stroked="false">
                    <v:path arrowok="t"/>
                    <v:fill type="solid"/>
                  </v:shape>
                </v:group>
              </w:pict>
            </w:r>
            <w:r>
              <w:rPr>
                <w:rFonts w:ascii="Palatino Linotype"/>
                <w:position w:val="-1"/>
                <w:sz w:val="11"/>
              </w:rPr>
            </w:r>
          </w:p>
        </w:tc>
        <w:tc>
          <w:tcPr>
            <w:tcW w:w="385" w:type="dxa"/>
          </w:tcPr>
          <w:p>
            <w:pPr>
              <w:pStyle w:val="TableParagraph"/>
              <w:spacing w:before="0"/>
              <w:rPr>
                <w:rFonts w:ascii="Palatino Linotype"/>
                <w:b/>
                <w:sz w:val="6"/>
              </w:rPr>
            </w:pPr>
          </w:p>
          <w:p>
            <w:pPr>
              <w:pStyle w:val="TableParagraph"/>
              <w:spacing w:line="115" w:lineRule="exact" w:before="0"/>
              <w:ind w:left="147"/>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5,10,10,16,6,26,2,35,0,46,0,73,3,86,9,97,16,109,25,115,41,115,46,113,51,110,30,110,25,106,22,98,18,88,16,76,16,51,17,41,18,32,20,22,22,15,26,10,29,7,32,5,53,5,52,4,45,0xm53,5l39,5,42,6,44,8,47,10,50,15,52,22,55,30,56,40,55,65,55,76,54,85,52,93,50,99,48,103,42,109,39,110,51,110,52,109,58,105,63,99,66,90,70,81,71,70,71,57,71,44,68,32,65,22,59,13,53,5xe" filled="true" fillcolor="#221f20" stroked="false">
                    <v:path arrowok="t"/>
                    <v:fill type="solid"/>
                  </v:shape>
                </v:group>
              </w:pict>
            </w:r>
            <w:r>
              <w:rPr>
                <w:rFonts w:ascii="Palatino Linotype"/>
                <w:position w:val="-1"/>
                <w:sz w:val="11"/>
              </w:rPr>
            </w:r>
          </w:p>
        </w:tc>
      </w:tr>
      <w:tr>
        <w:trPr>
          <w:trHeight w:val="299" w:hRule="exact"/>
        </w:trPr>
        <w:tc>
          <w:tcPr>
            <w:tcW w:w="1301" w:type="dxa"/>
          </w:tcPr>
          <w:p>
            <w:pPr>
              <w:pStyle w:val="TableParagraph"/>
              <w:spacing w:before="2"/>
              <w:rPr>
                <w:rFonts w:ascii="Palatino Linotype"/>
                <w:b/>
                <w:sz w:val="4"/>
              </w:rPr>
            </w:pPr>
          </w:p>
          <w:p>
            <w:pPr>
              <w:pStyle w:val="TableParagraph"/>
              <w:spacing w:line="181" w:lineRule="exact" w:before="0"/>
              <w:ind w:left="73"/>
              <w:rPr>
                <w:rFonts w:ascii="Palatino Linotype"/>
                <w:sz w:val="18"/>
              </w:rPr>
            </w:pPr>
            <w:r>
              <w:rPr>
                <w:rFonts w:ascii="Palatino Linotype"/>
                <w:position w:val="-3"/>
                <w:sz w:val="18"/>
              </w:rPr>
              <w:pict>
                <v:group style="width:48.5pt;height:9.1pt;mso-position-horizontal-relative:char;mso-position-vertical-relative:line" coordorigin="0,0" coordsize="970,182">
                  <v:line style="position:absolute" from="46,46" to="46,136" stroked="true" strokeweight="4.515pt" strokecolor="#808184"/>
                  <v:shape style="position:absolute;left:137;top:26;width:832;height:153" coordorigin="137,26" coordsize="832,153" path="m201,29l183,29,174,31,165,37,157,42,150,49,140,67,137,77,137,102,141,114,149,125,157,134,167,140,178,144,191,145,201,145,210,143,218,138,218,138,189,138,182,136,169,128,164,122,161,115,158,107,156,99,156,76,158,66,161,58,165,50,169,44,175,40,181,37,188,35,217,35,209,31,201,29xm234,115l228,124,222,130,211,136,204,138,218,138,225,134,231,126,237,116,234,115xm217,35l204,35,211,37,217,42,224,47,229,55,232,66,235,66,232,37,221,37,219,36,217,35xm232,29l229,29,228,32,227,34,225,36,224,37,232,37,232,29xm356,176l316,176,316,179,356,179,356,176xm343,76l325,76,326,77,327,78,328,79,328,80,329,81,329,83,329,166,329,170,328,171,328,172,327,173,326,174,324,175,321,176,351,176,349,175,347,174,345,173,344,172,344,171,343,170,343,166,343,138,352,138,346,134,344,131,343,128,343,126,343,88,347,83,343,83,343,76xm352,138l343,138,345,141,348,142,350,143,353,144,357,145,369,145,377,141,379,140,356,140,352,139,352,138xm298,70l281,70,284,71,289,77,290,81,290,93,277,97,268,101,262,105,257,108,253,111,249,118,249,120,249,131,250,135,253,139,257,142,261,144,270,144,273,143,276,142,278,141,283,138,287,134,271,134,268,133,266,131,263,128,262,125,262,118,263,115,267,110,270,107,274,105,277,103,282,101,290,98,303,98,303,82,303,79,302,76,301,73,298,70xm305,132l290,132,290,136,291,139,293,141,294,143,296,144,304,144,310,140,315,133,306,133,305,132,305,132xm388,77l365,77,369,79,372,83,377,89,380,98,380,120,378,128,373,133,370,138,366,140,379,140,383,134,391,126,395,115,395,90,391,81,388,77xm303,98l290,98,290,126,283,132,278,134,287,134,290,132,305,132,304,131,304,129,304,126,304,125,303,98xm316,127l313,130,311,132,309,133,315,133,316,132,316,127xm285,65l270,65,263,67,258,71,254,75,252,79,252,87,252,88,253,90,254,91,256,92,260,92,262,91,265,88,265,87,265,82,265,80,265,77,266,75,270,71,273,70,298,70,295,68,291,66,285,65xm374,65l363,65,358,66,354,69,351,72,347,76,343,83,347,83,351,80,353,79,355,77,358,77,388,77,385,74,380,68,374,65xm343,65l340,65,316,75,317,77,319,76,343,76,343,65xm456,70l438,70,442,71,444,74,446,77,448,82,448,93,435,97,426,101,420,105,415,108,411,111,409,115,407,118,406,121,406,131,408,135,415,142,419,144,427,144,431,143,433,142,435,141,440,138,445,134,428,134,426,133,423,131,421,128,420,125,420,118,421,115,423,112,424,110,428,107,431,105,434,103,439,101,448,98,461,98,461,82,461,79,460,76,458,73,456,70xm462,132l448,132,448,136,448,139,452,143,454,144,462,144,468,140,473,133,464,133,463,133,462,132,462,132xm461,98l448,98,448,126,441,132,435,134,445,134,448,132,462,132,462,131,462,129,461,128,461,98xm474,127l469,132,467,133,473,133,474,132,474,127xm443,65l428,65,421,67,411,75,409,79,409,87,410,88,411,90,412,91,414,92,418,92,420,91,421,90,423,87,423,82,423,79,423,77,424,75,428,71,431,70,456,70,453,68,448,66,443,65xm523,65l506,65,497,69,491,76,484,83,480,93,480,117,484,127,496,141,503,145,519,145,525,142,537,132,510,132,504,129,495,115,494,107,494,88,495,82,500,76,503,72,508,70,533,70,529,67,523,65xm541,113l538,119,535,124,532,127,528,130,523,132,537,132,537,131,541,124,543,114,541,113xm533,70l516,70,519,71,521,73,523,75,524,77,524,80,525,84,525,86,526,87,528,89,530,90,536,90,538,89,539,88,541,85,541,79,539,75,534,71,533,70xm575,26l570,26,568,27,567,28,565,30,564,32,564,37,565,39,567,40,568,42,570,43,575,43,577,42,579,40,580,39,581,37,581,32,580,30,579,28,577,27,575,26xm591,140l555,140,555,143,591,143,591,140xm579,76l562,76,563,77,564,78,565,79,565,81,566,83,566,130,565,133,565,135,564,137,563,138,562,138,561,139,559,140,587,140,585,139,584,138,582,138,581,136,581,135,580,133,579,130,579,76xm579,65l576,65,554,74,555,77,557,76,579,76,579,65xm643,65l626,65,618,69,604,87,601,97,601,119,604,128,610,134,616,141,623,145,635,145,639,144,646,141,649,138,651,136,632,136,627,133,618,121,615,112,615,90,618,82,623,76,626,72,631,70,652,70,649,67,643,65xm678,132l676,133,674,134,653,134,653,145,657,145,679,135,678,132xm652,70l638,70,641,71,643,72,646,74,648,76,650,79,652,82,653,86,653,128,648,133,643,136,651,136,653,134,671,134,670,133,668,132,668,131,667,127,666,121,666,71,653,71,652,70xm666,37l649,37,650,38,651,39,652,40,653,44,653,71,666,71,666,37xm666,26l663,26,640,35,641,38,644,38,646,37,666,37,666,26xm734,70l716,70,720,71,725,77,726,82,726,93,713,97,704,101,698,105,693,108,689,111,687,115,685,118,684,121,684,131,686,135,689,139,692,142,697,144,705,144,708,143,711,142,713,141,718,138,723,134,706,134,704,133,701,131,699,128,698,125,698,118,699,115,700,112,702,110,705,107,710,105,712,103,718,101,726,98,740,98,739,82,739,79,738,76,736,73,734,70xm740,132l726,132,726,136,727,139,728,141,730,143,732,144,740,144,746,140,751,133,742,133,741,132,740,132xm740,98l726,98,726,126,719,132,714,134,723,134,726,132,740,132,740,131,740,129,740,98xm752,127l749,130,747,132,746,133,745,133,751,133,752,132,752,127xm721,65l706,65,699,67,694,71,689,75,687,79,687,87,688,88,690,91,692,92,696,92,698,91,699,90,700,88,701,87,701,77,702,75,706,71,709,70,734,70,731,68,727,66,721,65xm801,65l784,65,775,69,768,78,761,87,758,97,758,119,761,128,767,134,773,141,780,145,793,145,796,144,803,141,807,138,809,136,790,136,785,133,780,127,775,121,773,112,773,90,775,82,780,76,784,72,788,70,809,70,806,67,801,65xm836,132l833,133,831,134,811,134,811,145,814,145,836,135,836,132xm809,70l796,70,798,71,801,72,804,74,806,76,809,82,810,86,811,90,811,128,806,133,801,136,809,136,811,134,828,134,826,133,826,132,825,131,824,129,824,127,824,121,824,71,811,71,809,70xm824,37l807,37,808,38,809,39,810,40,811,44,811,71,824,71,824,37xm824,26l820,26,798,35,799,38,802,38,803,37,824,37,824,26xm885,65l867,65,859,69,852,76,845,83,842,93,842,118,845,127,858,141,866,145,883,145,890,142,895,136,899,131,874,131,867,128,856,115,854,107,854,96,905,96,905,91,854,91,854,85,856,80,860,76,864,73,868,71,895,71,892,68,885,65xm903,113l900,120,897,125,894,127,890,130,886,131,899,131,901,129,904,123,905,115,903,113xm895,71l875,71,878,72,881,73,883,75,885,78,886,81,887,83,888,86,888,91,905,91,905,86,903,79,895,71xm958,142l927,142,929,142,935,144,940,145,950,145,956,143,958,142xm921,117l919,117,919,144,921,144,922,142,923,142,958,142,960,140,939,140,935,138,930,134,926,130,923,124,921,117xm944,65l934,65,929,67,921,75,918,81,918,92,920,96,925,102,930,105,946,113,950,116,956,122,957,125,957,132,956,134,954,137,951,139,948,140,960,140,961,138,967,134,969,129,969,113,964,106,953,100,936,92,932,90,931,87,929,85,928,83,928,77,929,75,934,71,937,70,964,70,964,68,956,68,954,68,951,67,947,66,944,65xm964,70l946,70,950,71,953,74,956,77,959,83,961,91,964,91,964,70xm964,65l961,65,960,66,960,67,959,68,959,68,958,68,964,68,964,65xe" filled="true" fillcolor="#221f20" stroked="false">
                    <v:path arrowok="t"/>
                    <v:fill type="solid"/>
                  </v:shape>
                </v:group>
              </w:pict>
            </w:r>
            <w:r>
              <w:rPr>
                <w:rFonts w:ascii="Palatino Linotype"/>
                <w:position w:val="-3"/>
                <w:sz w:val="18"/>
              </w:rPr>
            </w:r>
          </w:p>
        </w:tc>
        <w:tc>
          <w:tcPr>
            <w:tcW w:w="385" w:type="dxa"/>
          </w:tcPr>
          <w:p>
            <w:pPr>
              <w:pStyle w:val="TableParagraph"/>
              <w:spacing w:before="1"/>
              <w:rPr>
                <w:rFonts w:ascii="Palatino Linotype"/>
                <w:b/>
                <w:sz w:val="6"/>
              </w:rPr>
            </w:pPr>
          </w:p>
          <w:p>
            <w:pPr>
              <w:pStyle w:val="TableParagraph"/>
              <w:spacing w:line="115" w:lineRule="exact" w:before="0"/>
              <w:ind w:left="145"/>
              <w:rPr>
                <w:rFonts w:ascii="Palatino Linotype"/>
                <w:sz w:val="11"/>
              </w:rPr>
            </w:pPr>
            <w:r>
              <w:rPr>
                <w:rFonts w:ascii="Palatino Linotype"/>
                <w:position w:val="-1"/>
                <w:sz w:val="11"/>
              </w:rPr>
              <w:pict>
                <v:group style="width:3.5pt;height:5.8pt;mso-position-horizontal-relative:char;mso-position-vertical-relative:line" coordorigin="0,0" coordsize="70,116">
                  <v:shape style="position:absolute;left:0;top:0;width:70;height:116" coordorigin="0,0" coordsize="70,116" path="m68,64l51,64,49,74,45,83,39,91,34,99,28,104,22,108,16,111,9,113,2,113,2,116,17,116,27,113,35,107,46,100,55,91,61,80,66,70,68,64xm44,0l24,0,15,5,8,14,2,21,0,30,0,49,2,57,14,70,20,73,35,73,43,70,50,65,30,65,25,63,17,52,14,43,14,23,16,16,20,12,23,8,28,5,52,5,51,4,44,0xm52,5l37,5,41,7,47,14,50,18,51,25,53,30,54,36,54,46,54,51,53,58,50,60,47,62,44,63,40,65,37,65,50,65,51,64,68,64,69,58,69,32,65,20,58,11,52,5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53"/>
              <w:rPr>
                <w:rFonts w:ascii="Palatino Linotype"/>
                <w:sz w:val="11"/>
              </w:rPr>
            </w:pPr>
            <w:r>
              <w:rPr>
                <w:rFonts w:ascii="Palatino Linotype"/>
                <w:position w:val="-1"/>
                <w:sz w:val="11"/>
              </w:rPr>
              <w:pict>
                <v:group style="width:3.2pt;height:5.8pt;mso-position-horizontal-relative:char;mso-position-vertical-relative:line" coordorigin="0,0" coordsize="64,116">
                  <v:shape style="position:absolute;left:0;top:0;width:64;height:116" coordorigin="0,0" coordsize="64,116" path="m41,0l22,0,15,2,9,7,4,13,1,19,1,31,2,35,7,44,13,50,22,57,14,63,8,68,2,78,0,82,0,94,2,100,7,105,13,112,21,115,41,115,49,112,51,111,27,111,22,109,18,104,14,100,13,95,12,82,13,77,16,73,18,68,21,64,26,60,49,60,48,59,39,52,44,48,35,48,21,37,19,35,17,32,15,29,14,26,13,23,13,16,15,12,18,9,22,6,26,4,50,4,48,2,41,0xm49,60l26,60,38,70,46,77,49,83,52,86,53,90,53,98,51,102,47,106,44,109,39,111,51,111,61,101,64,95,64,81,62,75,58,69,55,65,49,60xm50,4l37,4,42,6,48,12,50,17,50,27,49,31,47,34,46,38,41,42,35,48,44,48,48,46,54,41,60,32,62,28,62,17,59,12,53,7,50,4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57"/>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3,14,14,15,15,18,16,20,16,25,16,100,16,104,15,107,14,108,12,109,11,110,7,110,39,110,36,110,34,109,32,108,31,107,30,104,30,100,30,13xm30,0l27,0,0,13,1,15,5,14,8,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52"/>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3,14,14,15,15,18,16,20,16,104,15,106,14,107,13,108,12,109,10,110,7,110,39,110,35,110,34,109,32,108,31,107,30,104,30,13xm30,0l27,0,0,13,1,15,4,14,7,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46"/>
              <w:rPr>
                <w:rFonts w:ascii="Palatino Linotype"/>
                <w:sz w:val="11"/>
              </w:rPr>
            </w:pPr>
            <w:r>
              <w:rPr>
                <w:rFonts w:ascii="Palatino Linotype"/>
                <w:position w:val="-1"/>
                <w:sz w:val="11"/>
              </w:rPr>
              <w:pict>
                <v:group style="width:3.65pt;height:5.7pt;mso-position-horizontal-relative:char;mso-position-vertical-relative:line" coordorigin="0,0" coordsize="73,114">
                  <v:shape style="position:absolute;left:0;top:0;width:73;height:114" coordorigin="0,0" coordsize="73,114" path="m62,12l37,12,42,14,46,19,50,24,52,29,52,46,49,56,41,67,34,76,25,86,13,98,0,110,0,113,65,113,70,101,18,101,21,98,29,89,43,74,52,64,59,55,63,46,65,40,66,34,66,21,63,14,62,12xm73,92l70,92,68,94,67,96,65,97,63,99,61,100,59,100,56,100,52,101,70,101,73,92xm44,0l26,0,19,2,14,8,8,13,4,21,3,31,6,31,8,25,11,20,16,17,20,14,25,12,62,12,58,8,51,2,44,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62"/>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29,13l11,13,13,14,14,15,15,16,15,18,16,20,16,104,15,106,14,107,13,108,12,109,10,110,7,110,39,110,35,110,34,109,32,108,31,107,30,104,29,100,29,13xm29,0l27,0,0,13,1,15,4,14,7,13,29,13,29,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57"/>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2,13,13,14,14,15,15,18,16,20,16,25,16,100,16,104,15,107,13,108,12,109,10,110,7,110,39,110,35,110,34,109,32,108,30,105,30,104,30,13xm30,0l27,0,0,13,1,15,7,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5pt;height:5.7pt;mso-position-horizontal-relative:char;mso-position-vertical-relative:line" coordorigin="0,0" coordsize="45,114">
                  <v:shape style="position:absolute;left:0;top:0;width:45;height:114" coordorigin="0,0" coordsize="45,114" path="m44,110l2,110,2,113,44,113,44,110xm30,13l11,13,13,14,14,15,15,16,15,18,16,20,16,25,16,100,16,104,15,107,14,108,12,109,11,110,7,110,39,110,36,110,34,109,32,108,31,107,30,104,30,100,30,13xm30,0l27,0,0,13,2,15,5,14,8,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5,14,10,9,16,5,25,2,35,0,45,0,73,3,86,9,96,16,109,25,115,41,115,46,113,51,110,29,110,25,106,21,98,18,88,16,76,16,51,17,40,18,31,19,22,22,15,26,10,29,7,32,5,53,5,52,4,45,0xm53,5l39,5,42,6,44,8,47,10,50,15,52,22,54,30,56,40,55,56,55,65,54,76,53,85,52,93,50,99,48,103,45,106,41,109,38,110,51,110,58,105,62,98,66,89,69,80,71,69,71,56,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4"/>
              <w:rPr>
                <w:rFonts w:ascii="Palatino Linotype"/>
                <w:sz w:val="11"/>
              </w:rPr>
            </w:pPr>
            <w:r>
              <w:rPr>
                <w:rFonts w:ascii="Palatino Linotype"/>
                <w:position w:val="-1"/>
                <w:sz w:val="11"/>
              </w:rPr>
              <w:pict>
                <v:group style="width:3.5pt;height:5.8pt;mso-position-horizontal-relative:char;mso-position-vertical-relative:line" coordorigin="0,0" coordsize="70,116">
                  <v:shape style="position:absolute;left:0;top:0;width:70;height:116" coordorigin="0,0" coordsize="70,116" path="m67,0l57,0,51,1,44,4,37,6,30,10,15,24,10,32,2,50,0,60,0,70,1,81,4,91,9,100,15,108,20,113,27,115,46,115,55,111,33,111,30,109,27,107,23,103,20,98,18,92,16,86,15,81,15,70,16,64,17,57,21,54,25,52,27,51,18,51,20,44,23,37,25,32,28,26,32,21,37,17,41,12,45,10,50,8,55,5,61,4,67,3,67,0xm60,50l41,50,46,53,50,60,53,67,55,75,55,94,53,99,50,104,46,108,42,111,55,111,61,101,67,94,69,86,69,66,67,58,62,52,60,50xm49,43l34,43,26,46,18,51,27,51,30,51,32,50,60,50,56,46,49,43xe" filled="true" fillcolor="#221f20" stroked="false">
                    <v:path arrowok="t"/>
                    <v:fill type="solid"/>
                  </v:shape>
                </v:group>
              </w:pict>
            </w:r>
            <w:r>
              <w:rPr>
                <w:rFonts w:ascii="Palatino Linotype"/>
                <w:position w:val="-1"/>
                <w:sz w:val="11"/>
              </w:rPr>
            </w:r>
          </w:p>
        </w:tc>
        <w:tc>
          <w:tcPr>
            <w:tcW w:w="384" w:type="dxa"/>
          </w:tcPr>
          <w:p>
            <w:pP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14,10,9,16,6,25,2,35,0,45,0,73,3,86,9,96,16,109,25,115,41,115,46,113,51,110,29,110,25,106,22,98,18,88,16,76,16,51,17,41,18,31,20,22,22,15,26,10,29,7,32,5,53,5,52,4,45,0xm53,5l39,5,42,6,44,8,47,10,50,15,52,22,54,30,56,40,55,56,55,65,54,76,53,85,52,93,50,99,48,103,45,106,42,109,38,110,51,110,52,109,58,105,63,98,69,80,71,69,71,56,71,44,68,32,65,22,59,13,53,5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2,21,5,14,10,9,16,5,25,2,35,0,45,0,73,2,86,8,96,16,109,24,115,40,115,46,113,51,110,29,110,24,106,21,98,18,88,16,76,16,51,16,41,18,31,19,22,22,15,26,10,29,7,32,5,53,5,52,4,44,0xm53,5l39,5,42,6,44,8,47,10,50,15,51,21,54,30,55,40,55,65,54,76,53,85,52,93,50,99,48,103,44,106,41,109,38,110,51,110,52,109,58,105,62,98,65,89,69,80,71,69,71,56,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2,13,13,14,14,15,15,18,16,20,16,25,16,100,16,104,15,107,13,108,12,109,10,110,7,110,39,110,35,110,34,109,32,108,31,107,30,104,30,13xm30,0l27,0,0,13,1,15,7,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5pt;height:5.7pt;mso-position-horizontal-relative:char;mso-position-vertical-relative:line" coordorigin="0,0" coordsize="45,114">
                  <v:shape style="position:absolute;left:0;top:0;width:45;height:114" coordorigin="0,0" coordsize="45,114" path="m44,110l2,110,2,113,44,113,44,110xm30,13l11,13,13,14,14,15,15,16,15,18,16,20,16,25,16,100,16,104,15,107,14,108,12,109,11,110,7,110,39,110,36,110,34,109,32,108,31,107,30,104,30,100,30,13xm30,0l27,0,0,13,2,15,5,14,8,13,30,13,30,0xe" filled="true" fillcolor="#221f20" stroked="false">
                    <v:path arrowok="t"/>
                    <v:fill type="solid"/>
                  </v:shape>
                </v:group>
              </w:pict>
            </w:r>
            <w:r>
              <w:rPr>
                <w:rFonts w:ascii="Palatino Linotype"/>
                <w:position w:val="-1"/>
                <w:sz w:val="11"/>
              </w:rPr>
            </w:r>
          </w:p>
        </w:tc>
      </w:tr>
      <w:tr>
        <w:trPr>
          <w:trHeight w:val="299" w:hRule="exact"/>
        </w:trPr>
        <w:tc>
          <w:tcPr>
            <w:tcW w:w="1301" w:type="dxa"/>
          </w:tcPr>
          <w:p>
            <w:pPr>
              <w:pStyle w:val="TableParagraph"/>
              <w:spacing w:before="2"/>
              <w:rPr>
                <w:rFonts w:ascii="Palatino Linotype"/>
                <w:b/>
                <w:sz w:val="4"/>
              </w:rPr>
            </w:pPr>
          </w:p>
          <w:p>
            <w:pPr>
              <w:pStyle w:val="TableParagraph"/>
              <w:spacing w:line="181" w:lineRule="exact" w:before="0"/>
              <w:ind w:left="73"/>
              <w:rPr>
                <w:rFonts w:ascii="Palatino Linotype"/>
                <w:sz w:val="18"/>
              </w:rPr>
            </w:pPr>
            <w:r>
              <w:rPr>
                <w:rFonts w:ascii="Palatino Linotype"/>
                <w:position w:val="-3"/>
                <w:sz w:val="18"/>
              </w:rPr>
              <w:pict>
                <v:group style="width:55.45pt;height:9.1pt;mso-position-horizontal-relative:char;mso-position-vertical-relative:line" coordorigin="0,0" coordsize="1109,182">
                  <v:line style="position:absolute" from="46,46" to="46,136" stroked="true" strokeweight="4.515pt" strokecolor="#929496"/>
                  <v:shape style="position:absolute;left:137;top:26;width:972;height:153" coordorigin="137,26" coordsize="972,153" path="m192,29l178,29,166,34,155,44,147,53,142,63,138,74,138,76,137,86,137,89,138,99,141,111,146,121,153,129,161,136,170,141,180,144,191,145,202,144,212,141,214,140,181,140,173,136,168,128,162,120,159,111,156,99,156,86,156,74,159,63,162,54,167,46,173,39,181,35,216,35,212,33,203,30,192,29xm216,35l201,35,210,39,216,46,220,54,221,54,224,64,226,76,226,86,227,106,223,119,217,127,210,135,201,140,214,140,221,136,230,129,236,120,241,110,244,99,245,86,244,76,244,74,241,64,236,54,230,46,221,38,216,35xm291,176l251,176,251,179,291,179,291,176xm278,76l259,76,261,77,263,79,264,80,264,82,264,84,264,167,264,170,263,173,262,174,259,175,256,176,286,176,284,175,282,175,281,174,279,173,278,170,278,167,278,138,286,138,281,134,279,131,279,128,278,126,278,122,278,88,282,83,278,83,278,76xm286,138l278,138,281,141,283,143,285,143,288,145,292,145,305,145,312,142,314,140,291,140,287,139,286,138xm323,77l300,77,304,79,307,84,312,90,315,99,315,120,313,128,308,134,305,138,301,140,314,140,318,135,326,126,330,115,330,91,327,81,323,77xm309,65l298,65,293,67,290,69,286,72,282,77,278,83,282,83,286,80,288,79,290,78,293,77,323,77,320,74,315,68,309,65xm278,66l275,66,252,75,253,78,255,77,256,76,278,76,278,66xm389,65l371,65,366,67,360,70,354,73,350,79,346,85,343,92,341,99,341,115,344,124,350,132,356,141,365,145,383,145,390,143,396,139,373,139,367,135,363,127,359,119,357,110,357,92,357,87,359,82,361,78,363,75,366,73,369,72,372,71,399,71,398,70,389,65xm399,71l381,71,386,73,395,86,398,97,398,121,396,128,393,133,390,137,385,139,396,139,401,136,405,131,409,124,412,117,413,111,413,94,411,86,405,78,399,71xm459,140l421,140,421,143,459,143,459,140xm446,76l428,76,429,77,430,78,431,78,432,82,432,133,432,134,431,136,430,137,430,138,428,139,425,140,456,140,453,139,449,137,448,136,448,135,446,133,446,129,446,89,449,84,450,82,446,82,446,76xm468,65l459,65,452,71,446,82,450,82,451,80,454,78,456,76,476,76,476,72,475,70,473,68,471,66,468,65xm476,76l458,76,460,77,462,79,464,81,467,82,470,82,472,81,473,80,475,78,476,77,476,76xm446,65l443,65,420,75,421,78,423,77,425,76,446,76,446,65xm547,68l521,68,521,71,528,71,529,72,531,72,532,73,533,75,533,76,534,79,534,124,534,128,536,132,537,136,539,139,542,141,545,144,549,145,557,145,560,144,563,142,567,141,572,136,573,135,556,135,554,134,551,132,549,130,547,125,547,68xm592,129l578,129,578,145,582,145,604,136,604,134,596,134,594,133,593,132,592,129xm501,73l488,73,488,130,489,133,490,136,491,139,493,141,495,142,500,144,506,144,510,143,513,140,517,137,518,135,507,135,505,134,503,132,502,130,502,127,501,73xm592,68l566,68,566,71,571,71,574,71,576,73,577,75,578,77,578,124,574,129,570,131,564,134,562,135,573,135,578,129,592,129,592,128,592,68xm521,128l518,128,517,130,516,132,514,133,512,134,511,135,518,135,519,133,521,128xm603,133l601,134,599,134,604,134,603,133xm501,43l499,43,497,49,494,55,492,58,489,62,486,64,482,67,479,69,476,70,476,73,519,73,519,68,501,68,501,43xm644,140l607,140,607,143,644,143,644,140xm687,140l650,140,650,143,687,143,687,140xm631,76l614,76,616,77,616,78,617,80,617,82,618,83,618,87,618,131,617,135,616,137,615,139,612,140,637,140,635,139,634,138,633,137,632,135,632,134,631,131,631,86,636,81,631,81,631,76xm673,75l655,75,658,77,660,80,661,83,662,88,662,133,662,134,661,136,660,137,659,138,658,139,655,140,681,140,680,139,677,136,676,134,676,131,675,86,675,82,674,79,673,75xm660,65l648,65,640,71,631,81,636,81,638,79,644,75,673,75,672,74,670,70,667,68,664,66,660,65xm631,65l628,65,605,75,607,78,609,77,611,76,631,76,631,65xm714,26l710,26,708,27,705,30,704,32,704,37,705,39,708,42,710,43,714,43,716,42,718,41,720,39,720,37,720,32,720,30,718,29,716,27,714,26xm730,140l694,140,694,143,730,143,730,140xm719,76l701,76,703,77,704,78,704,79,705,83,705,131,705,134,704,135,702,138,701,139,700,140,724,140,723,139,722,138,721,137,720,135,719,134,719,131,719,76xm719,65l715,65,693,75,694,78,696,77,698,76,719,76,719,65xm782,65l765,65,756,70,750,79,743,88,740,98,740,119,743,128,749,135,755,142,762,145,774,145,778,144,782,143,785,141,789,138,790,136,772,136,766,133,762,127,757,121,754,113,754,91,757,83,762,77,766,73,770,70,791,70,788,67,782,65xm817,133l815,134,813,134,792,134,792,145,796,145,818,136,817,133xm791,70l777,70,780,71,783,73,786,74,788,77,791,83,792,86,792,90,792,128,788,134,783,136,790,136,792,134,810,134,809,134,808,132,807,131,807,129,806,127,806,122,806,72,792,72,791,70xm806,37l788,37,790,38,791,39,791,41,792,43,792,44,792,72,806,72,806,37xm806,26l802,26,780,36,781,39,783,38,785,37,806,37,806,26xm874,70l856,70,859,72,862,75,864,77,865,83,865,93,852,98,843,102,838,105,832,108,828,112,826,115,824,118,823,121,824,131,825,136,828,139,832,143,836,144,845,144,848,144,853,141,858,138,861,135,846,135,843,134,841,131,838,128,837,125,837,118,838,115,840,113,842,110,845,107,849,105,852,104,857,101,865,98,879,98,878,83,878,79,877,77,876,73,874,70xm880,132l865,132,865,136,866,140,868,141,869,143,872,144,880,144,885,140,890,134,881,134,880,133,880,132xm879,98l865,98,865,127,858,132,853,135,861,135,865,132,880,132,880,131,879,130,879,127,879,125,879,98xm891,127l888,131,886,133,885,133,884,134,890,134,891,132,891,127xm861,65l845,65,838,67,834,71,829,75,826,80,826,87,827,89,828,90,830,92,831,92,835,92,837,92,838,90,840,89,840,87,840,77,841,75,845,71,848,70,874,70,870,69,866,66,861,65xm940,65l923,65,914,70,907,79,901,88,897,98,897,119,900,128,906,135,913,142,920,145,932,145,936,144,939,143,943,141,946,138,948,136,930,136,924,133,920,127,915,121,912,113,912,91,915,83,920,77,924,73,928,70,948,70,945,67,940,65xm975,133l973,134,971,134,950,134,950,145,953,145,976,136,975,133xm948,70l935,70,938,71,941,73,943,74,945,77,948,83,949,86,950,90,950,128,945,134,941,136,948,136,950,134,968,134,966,133,965,132,964,129,963,128,963,72,950,72,948,70xm963,37l945,37,947,38,948,39,949,41,949,43,949,44,950,50,950,72,963,72,963,37xm963,26l960,26,938,36,939,39,941,38,943,37,963,37,963,26xm1024,65l1006,65,998,69,992,76,985,83,982,93,982,118,985,128,998,142,1005,145,1022,145,1029,142,1035,136,1038,132,1013,132,1007,128,1001,122,996,116,993,107,993,96,1045,96,1045,91,993,91,994,85,996,80,1000,77,1003,73,1007,71,1034,71,1031,68,1024,65xm1042,114l1040,120,1037,125,1033,128,1029,130,1025,132,1038,132,1040,130,1044,123,1045,115,1042,114xm1034,71l1014,71,1017,72,1020,74,1022,76,1024,78,1027,83,1027,86,1028,91,1045,91,1045,86,1042,79,1034,71xm1097,142l1065,142,1066,142,1074,144,1079,145,1090,145,1096,143,1097,142xm1061,117l1058,117,1058,144,1061,144,1063,142,1097,142,1099,140,1078,140,1073,138,1070,134,1065,131,1062,125,1061,117xm1083,65l1073,65,1068,67,1064,72,1060,76,1058,81,1058,92,1059,96,1062,99,1064,102,1069,106,1085,114,1090,117,1093,119,1095,122,1097,125,1097,132,1095,135,1093,137,1091,139,1087,140,1099,140,1101,139,1106,135,1109,129,1109,113,1103,106,1092,101,1080,95,1075,92,1072,90,1070,88,1068,86,1068,83,1068,77,1069,75,1071,73,1073,71,1076,70,1103,70,1103,69,1096,69,1094,68,1091,67,1087,66,1083,65xm1103,70l1085,70,1089,72,1092,75,1096,77,1098,83,1100,91,1103,91,1103,70xm1103,65l1100,65,1100,67,1099,68,1099,68,1098,68,1097,69,1103,69,1103,65xe" filled="true" fillcolor="#221f20" stroked="false">
                    <v:path arrowok="t"/>
                    <v:fill type="solid"/>
                  </v:shape>
                </v:group>
              </w:pict>
            </w:r>
            <w:r>
              <w:rPr>
                <w:rFonts w:ascii="Palatino Linotype"/>
                <w:position w:val="-3"/>
                <w:sz w:val="18"/>
              </w:rPr>
            </w:r>
          </w:p>
        </w:tc>
        <w:tc>
          <w:tcPr>
            <w:tcW w:w="385" w:type="dxa"/>
          </w:tcPr>
          <w:p>
            <w:pPr>
              <w:pStyle w:val="TableParagraph"/>
              <w:spacing w:before="1"/>
              <w:rPr>
                <w:rFonts w:ascii="Palatino Linotype"/>
                <w:b/>
                <w:sz w:val="6"/>
              </w:rPr>
            </w:pPr>
          </w:p>
          <w:p>
            <w:pPr>
              <w:pStyle w:val="TableParagraph"/>
              <w:spacing w:line="113" w:lineRule="exact" w:before="0"/>
              <w:ind w:left="157"/>
              <w:rPr>
                <w:rFonts w:ascii="Palatino Linotype"/>
                <w:sz w:val="11"/>
              </w:rPr>
            </w:pPr>
            <w:r>
              <w:rPr>
                <w:rFonts w:ascii="Palatino Linotype"/>
                <w:position w:val="-1"/>
                <w:sz w:val="11"/>
              </w:rPr>
              <w:pict>
                <v:group style="width:2.25pt;height:5.7pt;mso-position-horizontal-relative:char;mso-position-vertical-relative:line" coordorigin="0,0" coordsize="45,114">
                  <v:shape style="position:absolute;left:0;top:0;width:45;height:114" coordorigin="0,0" coordsize="45,114" path="m44,111l2,111,2,114,44,114,44,111xm30,13l12,13,15,16,15,18,16,20,16,26,16,101,16,105,15,106,15,107,14,109,12,109,11,110,7,111,39,111,36,110,34,109,32,108,31,107,30,104,30,101,30,13xm30,0l27,0,0,13,1,16,5,14,8,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62"/>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1l2,111,2,114,44,114,44,111xm30,13l12,13,14,15,15,16,16,20,16,105,15,106,14,107,13,109,12,109,10,110,7,111,39,111,35,110,31,107,30,105,30,13xm30,0l27,0,0,13,1,16,5,14,7,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3" w:lineRule="exact" w:before="0"/>
              <w:ind w:left="157"/>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1l2,111,2,114,44,114,44,111xm30,13l12,13,14,15,15,16,16,20,16,26,16,101,16,105,15,106,15,107,14,109,12,109,11,110,7,111,39,111,36,110,34,109,32,108,31,107,30,104,30,101,30,13xm30,0l27,0,0,13,1,16,5,14,8,13,30,13,30,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10"/>
              <w:rPr>
                <w:rFonts w:ascii="Palatino Linotype"/>
                <w:sz w:val="11"/>
              </w:rPr>
            </w:pPr>
            <w:r>
              <w:rPr>
                <w:rFonts w:ascii="Palatino Linotype"/>
                <w:position w:val="-1"/>
                <w:sz w:val="11"/>
              </w:rPr>
              <w:drawing>
                <wp:inline distT="0" distB="0" distL="0" distR="0">
                  <wp:extent cx="89262" cy="73151"/>
                  <wp:effectExtent l="0" t="0" r="0" b="0"/>
                  <wp:docPr id="125" name="image114.png" descr=""/>
                  <wp:cNvGraphicFramePr>
                    <a:graphicFrameLocks noChangeAspect="1"/>
                  </wp:cNvGraphicFramePr>
                  <a:graphic>
                    <a:graphicData uri="http://schemas.openxmlformats.org/drawingml/2006/picture">
                      <pic:pic>
                        <pic:nvPicPr>
                          <pic:cNvPr id="126" name="image114.png"/>
                          <pic:cNvPicPr/>
                        </pic:nvPicPr>
                        <pic:blipFill>
                          <a:blip r:embed="rId223" cstate="print"/>
                          <a:stretch>
                            <a:fillRect/>
                          </a:stretch>
                        </pic:blipFill>
                        <pic:spPr>
                          <a:xfrm>
                            <a:off x="0" y="0"/>
                            <a:ext cx="89262" cy="73151"/>
                          </a:xfrm>
                          <a:prstGeom prst="rect">
                            <a:avLst/>
                          </a:prstGeom>
                        </pic:spPr>
                      </pic:pic>
                    </a:graphicData>
                  </a:graphic>
                </wp:inline>
              </w:drawing>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9,17,6,26,2,35,0,46,0,73,3,86,9,97,16,109,25,116,41,116,46,114,51,110,29,110,25,106,22,98,18,88,16,76,16,51,17,42,18,32,20,22,22,15,26,10,29,8,32,6,53,6,52,5,45,0xm53,6l39,6,42,7,44,8,47,11,50,15,52,22,54,30,56,40,55,57,55,66,55,76,53,86,52,93,50,99,48,104,45,106,42,109,39,110,51,110,52,109,58,105,63,99,66,90,70,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2,21,6,14,10,9,17,2,35,0,46,0,73,3,86,8,97,16,109,24,116,40,116,46,114,50,110,29,110,24,106,21,98,18,88,16,76,16,51,16,42,18,32,19,22,22,15,26,10,29,8,32,6,53,6,52,5,44,0xm53,6l39,6,42,7,44,8,47,11,50,15,52,22,54,30,55,40,55,66,54,76,53,86,52,93,50,99,48,104,44,106,41,109,38,110,50,110,52,109,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3"/>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6,26,2,35,0,46,0,73,3,86,9,97,16,109,25,116,41,116,46,114,50,110,29,110,25,106,22,98,18,88,16,76,16,51,17,42,18,32,19,22,22,15,26,10,29,8,32,6,53,6,52,5,45,0xm53,6l39,6,42,7,44,8,47,11,50,15,52,22,54,30,56,40,56,57,55,66,55,76,53,86,52,93,50,99,48,104,45,106,42,109,38,110,50,110,52,109,58,105,62,99,66,90,69,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2,35,0,46,0,73,3,86,9,97,16,109,25,116,41,116,46,114,51,110,30,110,25,106,22,98,18,88,16,76,16,51,17,42,18,32,20,22,22,15,26,10,29,8,32,6,53,6,52,5,45,0xm53,6l39,6,42,7,44,8,47,11,50,15,52,22,55,30,56,40,55,66,55,76,54,86,52,93,50,99,48,104,45,106,42,109,39,110,51,110,52,109,58,105,63,99,66,90,70,81,72,70,72,57,71,44,69,32,65,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5,26,2,35,0,46,0,73,3,86,9,97,16,109,25,116,41,116,46,114,50,110,29,110,25,106,21,98,18,88,16,76,16,51,17,40,18,32,19,22,22,15,26,10,29,8,32,6,53,6,52,5,45,0xm53,6l39,6,42,7,44,8,47,11,50,15,52,22,54,30,56,40,55,57,55,66,55,76,53,86,52,93,50,99,48,104,45,106,41,109,38,110,50,110,52,109,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3"/>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9,17,6,26,2,35,0,46,0,73,3,86,9,97,16,109,25,116,41,116,46,114,51,110,29,110,25,106,22,98,18,88,16,76,16,51,17,42,18,32,20,22,22,15,26,10,29,8,32,6,53,6,52,5,45,0xm53,6l39,6,42,7,44,8,47,11,50,15,52,22,54,30,56,40,55,66,55,76,54,86,52,93,50,99,48,104,45,106,42,109,39,110,51,110,52,109,58,105,63,99,66,90,70,81,71,70,71,57,71,44,68,32,65,22,59,13,53,6xe" filled="true" fillcolor="#221f20" stroked="false">
                    <v:path arrowok="t"/>
                    <v:fill type="solid"/>
                  </v:shape>
                </v:group>
              </w:pict>
            </w:r>
            <w:r>
              <w:rPr>
                <w:rFonts w:ascii="Palatino Linotype"/>
                <w:position w:val="-1"/>
                <w:sz w:val="11"/>
              </w:rPr>
            </w:r>
          </w:p>
        </w:tc>
        <w:tc>
          <w:tcPr>
            <w:tcW w:w="384" w:type="dxa"/>
          </w:tcPr>
          <w:p>
            <w:pP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6,26,2,35,0,46,0,73,3,86,9,97,16,109,25,116,41,116,46,114,51,110,29,110,25,106,22,98,18,88,16,76,16,51,17,42,18,32,20,22,22,15,26,10,29,8,32,6,53,6,52,5,45,0xm53,6l39,6,42,7,44,8,47,11,50,15,52,22,54,30,56,40,55,57,55,66,55,76,53,86,52,93,50,99,48,104,45,106,42,109,38,110,51,110,52,109,58,105,63,99,69,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2,21,6,14,10,9,17,2,35,0,46,0,73,2,86,8,97,16,109,24,116,40,116,46,114,50,110,29,110,24,106,21,98,18,88,16,76,16,51,16,42,18,32,19,22,22,15,26,10,29,8,32,6,53,6,52,5,44,0xm53,6l39,6,42,7,44,8,47,11,50,15,51,21,54,30,55,40,55,66,54,76,53,86,52,93,50,99,48,104,44,106,41,109,38,110,50,110,52,109,58,105,62,99,65,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3" w:lineRule="exact" w:before="0"/>
              <w:ind w:left="150"/>
              <w:rPr>
                <w:rFonts w:ascii="Palatino Linotype"/>
                <w:sz w:val="11"/>
              </w:rPr>
            </w:pPr>
            <w:r>
              <w:rPr>
                <w:rFonts w:ascii="Palatino Linotype"/>
                <w:position w:val="-1"/>
                <w:sz w:val="11"/>
              </w:rPr>
              <w:pict>
                <v:group style="width:3.25pt;height:5.7pt;mso-position-horizontal-relative:char;mso-position-vertical-relative:line" coordorigin="0,0" coordsize="65,114">
                  <v:shape style="position:absolute;left:0;top:0;width:65;height:114" coordorigin="0,0" coordsize="65,114" path="m8,96l5,96,3,97,2,98,1,99,0,100,0,105,1,107,4,110,7,112,12,113,26,113,32,112,38,109,43,106,45,105,24,105,20,103,16,100,13,99,11,97,10,97,9,97,8,96xm65,0l25,0,3,43,14,43,22,45,28,47,35,50,41,55,50,67,52,73,52,87,50,93,45,97,40,102,34,105,45,105,47,104,54,97,57,92,62,82,63,77,63,61,59,52,52,45,44,36,32,31,17,29,25,14,58,14,65,0xe" filled="true" fillcolor="#221f20" stroked="false">
                    <v:path arrowok="t"/>
                    <v:fill type="solid"/>
                  </v:shape>
                </v:group>
              </w:pict>
            </w:r>
            <w:r>
              <w:rPr>
                <w:rFonts w:ascii="Palatino Linotype"/>
                <w:position w:val="-1"/>
                <w:sz w:val="11"/>
              </w:rPr>
            </w:r>
          </w:p>
        </w:tc>
        <w:tc>
          <w:tcPr>
            <w:tcW w:w="385" w:type="dxa"/>
          </w:tcPr>
          <w:p>
            <w:pPr>
              <w:pStyle w:val="TableParagraph"/>
              <w:spacing w:before="1"/>
              <w:rPr>
                <w:rFonts w:ascii="Palatino Linotype"/>
                <w:b/>
                <w:sz w:val="6"/>
              </w:rPr>
            </w:pPr>
          </w:p>
          <w:p>
            <w:pPr>
              <w:pStyle w:val="TableParagraph"/>
              <w:spacing w:line="115" w:lineRule="exact" w:before="0"/>
              <w:ind w:left="147"/>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2,35,0,46,0,73,3,86,9,97,16,109,25,116,41,116,46,114,51,110,30,110,25,106,22,98,18,88,16,76,16,51,17,42,18,32,20,22,22,15,26,10,29,8,32,6,53,6,52,5,45,0xm53,6l39,6,42,7,44,8,47,11,50,15,52,22,55,30,56,40,55,66,55,76,54,86,52,93,50,99,48,104,45,106,42,109,39,110,51,110,52,109,58,105,63,99,66,90,70,81,71,70,71,57,71,44,68,32,65,22,59,13,53,6xe" filled="true" fillcolor="#221f20" stroked="false">
                    <v:path arrowok="t"/>
                    <v:fill type="solid"/>
                  </v:shape>
                </v:group>
              </w:pict>
            </w:r>
            <w:r>
              <w:rPr>
                <w:rFonts w:ascii="Palatino Linotype"/>
                <w:position w:val="-1"/>
                <w:sz w:val="11"/>
              </w:rPr>
            </w:r>
          </w:p>
        </w:tc>
      </w:tr>
      <w:tr>
        <w:trPr>
          <w:trHeight w:val="299" w:hRule="exact"/>
        </w:trPr>
        <w:tc>
          <w:tcPr>
            <w:tcW w:w="1301" w:type="dxa"/>
          </w:tcPr>
          <w:p>
            <w:pPr>
              <w:pStyle w:val="TableParagraph"/>
              <w:spacing w:before="3"/>
              <w:rPr>
                <w:rFonts w:ascii="Palatino Linotype"/>
                <w:b/>
                <w:sz w:val="4"/>
              </w:rPr>
            </w:pPr>
          </w:p>
          <w:p>
            <w:pPr>
              <w:pStyle w:val="TableParagraph"/>
              <w:spacing w:line="184" w:lineRule="exact" w:before="0"/>
              <w:ind w:left="73"/>
              <w:rPr>
                <w:rFonts w:ascii="Palatino Linotype"/>
                <w:sz w:val="18"/>
              </w:rPr>
            </w:pPr>
            <w:r>
              <w:rPr>
                <w:rFonts w:ascii="Palatino Linotype"/>
                <w:position w:val="-3"/>
                <w:sz w:val="18"/>
              </w:rPr>
              <w:pict>
                <v:group style="width:43.45pt;height:9.25pt;mso-position-horizontal-relative:char;mso-position-vertical-relative:line" coordorigin="0,0" coordsize="869,185">
                  <v:line style="position:absolute" from="46,46" to="46,139" stroked="true" strokeweight="4.515pt" strokecolor="#a8aaab"/>
                  <v:shape style="position:absolute;left:134;top:27;width:735;height:119" coordorigin="134,27" coordsize="735,119" path="m181,140l134,140,134,143,181,143,181,140xm184,32l134,32,134,35,142,35,145,36,148,39,149,41,149,42,150,131,149,134,148,136,146,139,143,140,173,140,170,139,168,137,166,135,166,131,166,91,202,91,203,90,206,88,173,88,171,87,169,87,166,86,166,41,170,39,174,39,206,39,204,37,198,35,192,33,184,32xm202,91l166,91,169,92,173,92,178,93,195,93,202,91xm206,39l180,39,185,40,188,42,192,44,195,47,199,55,200,59,200,71,197,77,189,86,184,88,206,88,215,79,218,72,218,56,216,51,208,41,206,39xm280,71l262,71,266,72,268,75,270,78,272,83,272,93,259,98,249,102,244,105,238,109,235,112,233,116,231,119,230,122,230,132,232,136,235,139,238,143,242,145,251,145,254,144,259,142,264,138,268,135,252,135,249,134,244,129,243,125,243,118,244,116,246,113,248,110,251,108,255,105,258,104,263,102,272,98,285,98,285,83,285,79,284,77,282,73,280,71xm286,132l272,132,272,137,272,140,274,142,276,144,278,145,286,145,292,141,297,134,288,134,288,134,287,133,286,133,286,132xm285,98l272,98,272,127,265,132,259,135,268,135,272,132,286,132,286,132,286,130,285,129,285,98xm298,128l295,131,293,133,291,134,291,134,297,134,298,132,298,128xm267,66l251,66,245,68,235,76,233,80,233,87,234,89,235,91,238,93,242,93,245,91,246,89,247,87,247,83,246,80,247,77,247,75,249,74,251,72,254,71,280,71,277,69,272,67,267,66xm325,44l323,44,320,49,319,53,317,55,315,59,312,62,309,65,306,68,303,70,300,71,300,73,312,73,312,131,312,134,313,136,315,139,316,141,321,144,324,144,330,144,333,143,337,140,340,138,342,135,331,135,329,134,327,132,326,131,325,128,325,74,343,73,343,68,325,68,325,44xm345,128l342,128,340,132,338,133,336,134,335,135,342,135,343,134,345,128xm385,140l347,140,347,143,385,143,385,140xm372,77l354,77,355,77,356,78,357,79,358,80,358,82,358,84,359,88,359,131,358,133,358,134,358,136,357,138,355,138,353,140,351,140,381,140,379,140,377,139,375,138,374,137,373,135,372,133,372,131,372,90,374,84,376,83,372,83,372,77xm394,66l384,66,378,71,372,83,376,83,377,81,380,77,381,77,401,77,401,72,400,70,398,68,396,67,394,66xm401,77l384,77,385,78,390,82,392,83,396,83,398,82,401,79,401,78,401,77xm372,66l368,66,346,75,347,78,351,77,372,77,372,66xm427,27l422,27,420,28,417,31,416,33,416,37,417,39,419,41,421,43,423,43,427,43,429,43,431,41,432,39,433,37,433,33,432,31,429,28,427,27xm443,140l407,140,407,143,443,143,443,140xm432,77l413,77,415,77,415,78,416,78,417,81,418,84,418,134,417,136,416,137,415,139,414,139,413,140,410,140,439,140,437,140,435,139,434,138,433,137,432,136,432,134,432,77xm432,66l428,66,405,75,406,78,409,77,411,77,432,77,432,66xm486,140l449,140,449,143,486,143,486,140xm532,140l494,140,494,143,532,143,532,140xm575,140l539,140,539,143,575,143,575,140xm474,77l456,77,457,77,458,78,459,78,460,80,460,82,460,84,461,87,461,131,460,134,460,136,459,137,458,138,456,139,455,140,453,140,482,140,480,140,478,139,477,138,476,137,475,136,475,134,474,131,474,86,477,83,478,82,474,82,474,77xm517,75l497,75,501,77,503,81,505,83,506,87,506,133,505,134,505,136,504,138,501,140,498,140,528,140,525,140,523,139,522,138,521,137,520,136,520,135,519,131,519,86,523,82,519,82,518,77,517,75xm562,76l543,76,547,77,549,81,551,83,551,87,551,133,551,134,550,136,549,138,548,138,546,140,544,140,572,140,570,140,568,139,567,138,566,137,565,134,565,131,564,87,564,82,563,79,562,76xm505,66l497,66,495,66,492,67,489,69,486,70,484,72,474,82,478,82,480,80,485,78,488,76,491,75,517,75,515,73,509,67,505,66xm549,66l541,66,537,67,533,69,529,71,524,75,519,82,523,82,530,78,533,76,536,76,562,76,561,74,559,71,553,67,549,66xm474,66l471,66,448,75,449,78,451,77,453,77,474,77,474,66xm630,66l613,66,607,67,601,71,595,74,591,79,587,86,584,93,582,99,582,116,585,124,591,132,598,141,607,145,625,145,631,144,636,140,637,140,614,140,609,136,600,120,598,111,598,93,599,87,600,83,602,78,605,75,607,74,610,72,613,71,640,71,639,70,630,66xm640,71l622,71,627,74,631,79,636,87,639,97,639,121,638,129,634,133,631,137,626,140,637,140,642,137,646,132,650,125,653,118,655,111,655,95,652,86,646,79,640,71xm699,140l662,140,662,143,699,143,699,140xm743,140l706,140,706,143,743,143,743,140xm687,77l669,77,671,78,672,79,673,80,673,83,674,132,673,135,670,139,668,140,695,140,692,140,691,139,689,137,688,136,688,134,687,132,687,86,691,82,687,82,687,77xm728,76l710,76,713,77,715,80,717,83,717,86,718,134,717,136,716,138,715,139,713,140,711,140,739,140,737,140,736,139,734,138,733,137,733,136,732,134,731,132,731,86,731,82,730,79,728,76xm716,66l704,66,696,71,687,82,691,82,693,79,700,76,728,76,728,74,726,71,720,67,716,66xm687,66l684,66,661,75,662,78,666,77,687,77,687,66xm770,27l765,27,763,28,760,31,759,33,759,37,760,39,762,41,764,43,766,43,770,43,772,43,774,41,775,39,776,37,776,33,775,31,772,28,770,27xm786,140l750,140,750,143,786,143,786,140xm775,77l756,77,758,77,758,78,759,78,760,81,761,84,761,134,760,136,759,137,758,139,757,139,756,140,753,140,782,140,780,140,779,139,777,138,776,137,776,136,775,134,775,77xm775,66l771,66,749,75,750,78,752,77,754,77,775,77,775,66xm843,66l826,66,820,67,815,71,809,74,804,79,801,86,798,93,796,99,796,116,799,124,804,132,811,141,820,145,838,145,844,144,850,140,851,140,827,140,822,136,813,120,811,111,811,93,812,87,814,83,816,78,818,75,821,74,823,72,826,71,853,71,852,70,843,66xm853,71l835,71,840,74,844,79,850,87,853,97,853,121,851,129,848,133,844,137,840,140,851,140,856,137,860,132,866,118,868,111,868,95,865,86,859,79,853,71xe" filled="true" fillcolor="#221f20" stroked="false">
                    <v:path arrowok="t"/>
                    <v:fill type="solid"/>
                  </v:shape>
                </v:group>
              </w:pict>
            </w:r>
            <w:r>
              <w:rPr>
                <w:rFonts w:ascii="Palatino Linotype"/>
                <w:position w:val="-3"/>
                <w:sz w:val="18"/>
              </w:rPr>
            </w:r>
          </w:p>
        </w:tc>
        <w:tc>
          <w:tcPr>
            <w:tcW w:w="385" w:type="dxa"/>
          </w:tcPr>
          <w:p>
            <w:pPr>
              <w:pStyle w:val="TableParagraph"/>
              <w:spacing w:before="2"/>
              <w:rPr>
                <w:rFonts w:ascii="Palatino Linotype"/>
                <w:b/>
                <w:sz w:val="6"/>
              </w:rPr>
            </w:pPr>
          </w:p>
          <w:p>
            <w:pPr>
              <w:pStyle w:val="TableParagraph"/>
              <w:spacing w:line="115" w:lineRule="exact" w:before="0"/>
              <w:ind w:left="144"/>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6,26,2,35,0,46,0,73,3,86,9,97,16,109,25,115,41,115,46,113,51,110,30,110,25,106,22,98,18,88,16,76,16,51,17,41,18,32,20,22,22,15,26,11,29,7,32,6,53,6,52,5,45,0xm53,6l39,6,42,7,44,8,47,11,50,15,52,22,55,30,56,40,56,70,55,83,52,93,50,99,48,104,45,106,42,109,39,110,51,110,52,109,58,105,63,99,66,90,70,81,72,70,72,57,71,44,69,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5,26,2,35,0,46,0,73,3,86,9,97,16,109,25,115,41,115,46,113,50,110,29,110,25,106,21,98,18,88,16,76,16,51,18,32,19,22,22,15,26,11,29,7,32,6,53,6,52,5,45,0xm53,6l39,6,42,7,44,8,47,11,50,15,52,22,54,30,56,40,56,70,54,83,52,93,50,99,48,104,45,106,41,109,38,110,50,110,52,109,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4"/>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6,26,2,35,0,46,0,73,3,86,9,97,16,109,25,115,41,115,46,113,51,110,29,110,25,106,22,98,18,88,16,76,16,51,17,41,18,32,20,22,22,15,26,11,29,7,32,6,53,6,52,5,45,0xm53,6l39,6,42,7,44,8,47,11,50,15,52,22,54,30,56,40,56,70,55,83,52,93,50,99,48,104,42,109,39,110,51,110,52,109,58,105,63,99,66,90,70,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3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6,2,21,6,14,10,9,17,5,26,2,35,0,46,0,73,3,86,9,97,16,109,24,115,40,115,46,113,50,110,29,110,25,106,21,98,18,88,16,76,16,51,16,41,18,32,19,22,22,15,26,11,29,7,32,6,53,6,52,5,44,0xm53,6l39,6,42,7,44,8,47,11,50,15,52,22,54,30,56,40,56,70,54,83,52,93,50,99,48,104,45,106,41,109,38,110,50,110,52,109,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9,17,6,26,2,35,0,46,0,73,3,86,9,97,16,109,25,115,41,115,46,113,51,110,29,110,25,106,22,98,18,88,16,76,16,51,17,41,18,32,20,22,22,15,26,11,29,7,32,6,53,6,52,5,45,0xm53,6l39,6,42,7,44,8,47,11,50,15,52,22,54,30,56,40,56,70,54,83,52,93,50,99,48,104,42,109,39,110,51,110,52,109,58,105,63,99,66,90,70,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2,21,6,14,10,9,17,5,26,2,35,0,46,0,73,3,86,8,97,16,109,24,115,40,115,46,113,50,110,29,110,24,106,21,98,18,88,16,76,16,51,16,41,18,32,19,22,22,15,26,11,29,7,32,6,53,6,52,5,44,0xm53,6l39,6,42,7,44,8,47,11,50,15,52,22,54,30,55,40,55,70,54,83,52,93,50,99,48,104,44,106,41,109,38,110,50,110,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3"/>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6,26,2,35,0,46,0,73,3,86,9,97,16,109,25,115,41,115,46,113,50,110,29,110,25,106,22,98,18,88,16,76,16,51,17,41,18,32,19,22,22,15,26,11,29,7,32,6,53,6,52,5,45,0xm53,6l39,6,42,7,44,8,47,11,50,15,52,22,54,30,56,40,56,70,54,83,52,93,50,99,48,104,42,109,38,110,50,110,52,109,58,105,62,99,66,90,69,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6,26,2,35,0,46,0,73,3,86,9,97,16,109,25,115,41,115,46,113,51,110,30,110,25,106,22,98,18,88,16,76,16,51,17,41,18,32,20,22,22,15,26,11,29,7,32,6,53,6,52,5,45,0xm53,6l39,6,42,7,44,8,47,11,50,15,52,22,55,30,56,40,56,70,55,83,52,93,50,99,48,104,45,106,42,109,39,110,51,110,52,109,58,105,63,99,66,90,70,81,72,70,72,57,71,44,69,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5,26,2,35,0,46,0,73,3,86,9,97,16,109,25,115,41,115,46,113,50,110,29,110,25,106,21,98,18,88,16,76,16,51,18,32,19,22,22,15,26,11,29,7,32,6,53,6,52,5,45,0xm53,6l39,6,42,7,44,8,47,11,50,15,52,22,54,30,56,40,56,70,54,83,52,93,50,99,48,104,45,106,41,109,38,110,50,110,52,109,58,105,62,99,66,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3" w:lineRule="exact" w:before="0"/>
              <w:ind w:left="156"/>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30,13l11,13,12,13,13,14,14,15,15,16,16,20,16,26,16,101,16,105,15,106,15,107,14,108,12,109,11,110,7,110,2,111,2,114,44,114,44,111,39,110,36,110,34,109,32,108,31,107,30,104,30,101,30,13xm30,0l27,0,0,13,1,15,5,14,8,13,30,13,30,0xe" filled="true" fillcolor="#221f20" stroked="false">
                    <v:path arrowok="t"/>
                    <v:fill type="solid"/>
                  </v:shape>
                </v:group>
              </w:pict>
            </w:r>
            <w:r>
              <w:rPr>
                <w:rFonts w:ascii="Palatino Linotype"/>
                <w:position w:val="-1"/>
                <w:sz w:val="11"/>
              </w:rPr>
            </w:r>
          </w:p>
        </w:tc>
        <w:tc>
          <w:tcPr>
            <w:tcW w:w="384" w:type="dxa"/>
          </w:tcPr>
          <w:p>
            <w:pPr/>
          </w:p>
        </w:tc>
        <w:tc>
          <w:tcPr>
            <w:tcW w:w="385" w:type="dxa"/>
          </w:tcPr>
          <w:p>
            <w:pPr>
              <w:pStyle w:val="TableParagraph"/>
              <w:spacing w:before="2"/>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30,13l11,13,12,13,13,14,14,15,15,16,16,20,16,26,16,101,16,105,15,106,15,107,14,108,12,109,10,110,7,110,2,111,2,114,44,114,44,111,39,110,35,110,34,109,32,108,31,107,31,106,30,104,30,13xm30,0l27,0,0,13,1,15,5,14,7,13,30,13,30,0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2,21,6,14,10,9,17,5,26,2,35,0,46,0,73,2,86,8,97,16,109,24,115,40,115,46,113,50,110,29,110,24,106,21,98,18,88,16,76,16,51,16,41,18,32,19,22,22,15,26,11,29,7,32,6,53,6,52,5,44,0xm53,6l39,6,42,7,44,8,47,11,50,15,51,21,54,30,55,40,55,70,54,83,52,93,50,99,48,104,44,106,41,109,38,110,50,110,58,105,62,99,65,90,69,81,71,70,71,57,71,44,68,32,64,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4,10,9,17,5,26,2,35,0,46,0,73,3,86,9,97,16,109,25,115,41,115,46,113,50,110,29,110,25,106,22,98,18,88,16,76,16,51,17,41,18,32,19,22,22,15,26,11,29,7,32,6,53,6,52,5,45,0xm53,6l39,6,42,7,44,8,47,11,50,15,52,22,54,30,56,40,56,70,54,83,52,93,50,99,48,104,45,106,41,109,38,110,50,110,52,109,58,105,62,99,66,90,69,81,71,70,71,57,71,44,68,32,65,22,59,13,53,6xe" filled="true" fillcolor="#221f20" stroked="false">
                    <v:path arrowok="t"/>
                    <v:fill type="solid"/>
                  </v:shape>
                </v:group>
              </w:pict>
            </w:r>
            <w:r>
              <w:rPr>
                <w:rFonts w:ascii="Palatino Linotype"/>
                <w:position w:val="-1"/>
                <w:sz w:val="11"/>
              </w:rPr>
            </w:r>
          </w:p>
        </w:tc>
        <w:tc>
          <w:tcPr>
            <w:tcW w:w="385" w:type="dxa"/>
          </w:tcPr>
          <w:p>
            <w:pPr>
              <w:pStyle w:val="TableParagraph"/>
              <w:spacing w:before="2"/>
              <w:rPr>
                <w:rFonts w:ascii="Palatino Linotype"/>
                <w:b/>
                <w:sz w:val="6"/>
              </w:rPr>
            </w:pPr>
          </w:p>
          <w:p>
            <w:pPr>
              <w:pStyle w:val="TableParagraph"/>
              <w:spacing w:line="115" w:lineRule="exact" w:before="0"/>
              <w:ind w:left="147"/>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2,21,6,15,10,10,17,6,26,2,35,0,46,0,73,3,86,9,97,16,109,25,115,41,115,46,113,51,110,30,110,25,106,22,98,18,88,16,76,16,51,17,41,18,32,20,22,22,15,26,11,29,7,32,6,53,6,52,5,45,0xm53,6l39,6,42,7,44,8,47,11,50,15,52,22,55,30,56,40,56,70,55,83,52,93,50,99,48,104,45,106,42,109,39,110,51,110,52,109,58,105,63,99,66,90,70,81,71,70,71,57,71,44,68,32,65,22,59,13,53,6xe" filled="true" fillcolor="#221f20" stroked="false">
                    <v:path arrowok="t"/>
                    <v:fill type="solid"/>
                  </v:shape>
                </v:group>
              </w:pict>
            </w:r>
            <w:r>
              <w:rPr>
                <w:rFonts w:ascii="Palatino Linotype"/>
                <w:position w:val="-1"/>
                <w:sz w:val="11"/>
              </w:rPr>
            </w:r>
          </w:p>
        </w:tc>
      </w:tr>
      <w:tr>
        <w:trPr>
          <w:trHeight w:val="299" w:hRule="exact"/>
        </w:trPr>
        <w:tc>
          <w:tcPr>
            <w:tcW w:w="1301" w:type="dxa"/>
          </w:tcPr>
          <w:p>
            <w:pPr>
              <w:pStyle w:val="TableParagraph"/>
              <w:spacing w:before="3"/>
              <w:rPr>
                <w:rFonts w:ascii="Palatino Linotype"/>
                <w:b/>
                <w:sz w:val="4"/>
              </w:rPr>
            </w:pPr>
          </w:p>
          <w:p>
            <w:pPr>
              <w:pStyle w:val="TableParagraph"/>
              <w:spacing w:line="185" w:lineRule="exact" w:before="0"/>
              <w:ind w:left="73"/>
              <w:rPr>
                <w:rFonts w:ascii="Palatino Linotype"/>
                <w:sz w:val="18"/>
              </w:rPr>
            </w:pPr>
            <w:r>
              <w:rPr>
                <w:rFonts w:ascii="Palatino Linotype"/>
                <w:position w:val="-3"/>
                <w:sz w:val="18"/>
              </w:rPr>
              <w:pict>
                <v:group style="width:41.35pt;height:9.3pt;mso-position-horizontal-relative:char;mso-position-vertical-relative:line" coordorigin="0,0" coordsize="827,186">
                  <v:line style="position:absolute" from="46,46" to="46,140" stroked="true" strokeweight="4.515pt" strokecolor="#c6c6c9"/>
                  <v:shape style="position:absolute;left:133;top:27;width:694;height:119" coordorigin="133,27" coordsize="694,119" path="m192,30l190,30,151,121,147,129,144,135,140,139,137,140,133,141,133,144,168,144,168,141,162,140,159,139,157,138,156,137,155,135,155,131,156,128,158,124,165,106,224,106,222,100,168,100,186,55,203,55,192,30xm224,106l208,106,214,122,217,128,218,131,218,136,217,137,215,138,214,140,211,140,206,141,206,144,250,144,250,141,245,140,242,139,239,137,237,135,234,130,231,122,224,106xm203,55l186,55,205,100,222,100,203,55xm299,143l269,143,276,145,282,146,293,146,298,144,299,143xm263,118l260,118,260,145,263,145,264,143,265,143,299,143,302,141,281,141,276,139,267,131,265,125,263,118xm286,66l276,66,271,68,266,72,262,77,260,82,260,93,261,97,266,103,271,106,287,114,293,118,298,123,299,126,299,133,298,135,296,138,293,140,290,141,302,141,303,140,308,135,311,130,311,114,305,107,283,96,277,93,274,91,272,89,271,86,270,84,270,78,271,76,273,74,276,72,279,71,305,71,305,69,298,69,296,69,294,68,289,67,286,66xm305,71l288,71,292,72,295,75,298,78,301,84,302,92,305,92,305,71xm305,66l302,66,301,68,301,69,305,69,305,66xm344,27l339,27,337,28,334,31,333,33,333,38,334,40,335,41,337,43,339,44,344,44,346,43,347,41,349,40,350,38,350,33,349,31,346,28,344,27xm359,141l323,141,323,144,359,144,359,141xm348,77l331,77,332,78,333,79,334,82,334,84,334,134,333,136,333,138,332,139,330,140,329,140,327,141,356,141,353,140,352,139,351,139,350,138,349,136,348,134,348,77xm348,66l344,66,322,75,323,78,325,78,327,77,348,77,348,66xm411,143l380,143,382,143,388,145,393,146,404,146,410,144,411,143xm374,118l372,118,372,145,374,145,375,143,376,143,411,143,413,141,392,141,387,139,383,135,379,131,376,125,374,118xm397,66l387,66,382,68,373,77,371,82,372,93,372,97,377,103,383,106,391,110,398,114,404,118,406,120,409,123,410,125,410,133,409,135,407,138,404,140,401,141,413,141,415,140,420,135,423,130,423,114,417,107,406,102,389,93,385,91,384,89,382,86,381,84,381,78,382,76,384,74,387,72,390,71,417,71,417,69,409,69,408,69,405,68,401,67,397,66xm417,71l399,71,403,72,406,75,409,78,412,84,414,92,417,92,417,71xm417,66l414,66,414,67,412,69,417,69,417,66xm455,74l442,74,442,131,442,134,443,137,445,139,446,141,451,144,454,145,460,145,463,143,470,138,472,135,461,135,459,134,456,131,455,129,455,74xm475,129l472,129,471,131,470,132,468,134,466,135,465,135,472,135,473,134,475,129xm455,44l453,44,450,49,449,53,447,55,445,59,442,62,439,65,433,70,430,71,430,74,473,74,473,68,455,68,455,44xm524,66l505,66,497,70,491,77,484,84,481,94,481,119,484,128,497,142,504,146,522,146,529,143,534,137,538,132,512,132,506,129,500,123,495,117,493,108,493,97,544,97,544,92,493,92,493,86,495,81,502,74,506,72,533,72,531,69,524,66xm542,114l539,121,536,126,532,128,529,131,524,132,538,132,540,130,543,124,544,116,542,114xm533,72l514,72,516,73,519,75,522,76,524,79,526,84,527,87,527,92,544,92,544,87,541,80,536,74,533,72xm588,141l551,141,551,144,588,144,588,141xm631,141l595,141,595,144,631,144,631,141xm576,77l558,77,560,78,560,79,561,80,562,83,562,84,562,88,562,132,561,136,560,138,559,140,557,141,584,141,581,140,580,140,578,139,577,138,576,135,576,132,576,87,580,82,576,82,576,77xm617,76l599,76,602,78,604,81,606,84,607,89,607,134,606,134,606,136,605,138,602,140,600,141,628,141,625,140,624,139,623,139,622,138,621,136,621,135,620,132,620,88,620,83,619,79,617,76xm605,66l593,66,585,71,576,82,580,82,582,80,589,76,617,76,617,75,614,71,608,67,605,66xm576,66l572,66,550,75,551,78,555,77,576,77,576,66xm681,66l664,66,656,70,649,77,641,85,638,94,638,118,641,128,648,135,654,142,661,146,677,146,684,143,694,133,668,133,662,130,653,116,651,108,651,90,653,83,658,78,661,73,666,71,691,71,687,68,681,66xm699,114l696,121,693,125,690,128,686,131,681,133,694,133,695,133,699,125,701,115,699,114xm691,71l675,71,677,72,679,74,681,76,682,78,682,81,683,85,683,87,684,88,686,90,688,91,694,91,695,91,698,88,699,87,699,80,696,76,692,72,691,71xm733,27l728,27,726,28,723,31,722,33,722,38,723,40,727,43,729,44,733,44,735,43,737,41,738,40,739,38,739,33,738,31,735,28,733,27xm749,141l713,141,713,144,749,144,749,141xm738,77l721,77,721,78,722,79,723,82,724,84,724,134,723,136,722,138,721,139,720,140,719,140,716,141,745,141,743,140,742,139,740,139,739,138,739,136,738,134,738,77xm738,66l734,66,711,75,712,78,715,78,717,77,738,77,738,66xm809,71l791,71,794,73,797,75,799,78,800,83,800,94,787,98,778,102,767,109,763,113,761,116,759,119,758,122,758,132,760,136,763,140,767,143,771,145,780,145,786,143,788,142,793,139,796,136,781,136,778,134,776,132,773,129,772,126,772,119,773,116,775,113,777,111,780,108,784,106,787,104,792,102,800,99,814,99,813,83,813,80,812,77,811,74,809,71xm815,133l800,133,800,137,801,140,804,144,807,145,815,145,820,141,825,135,817,135,816,134,815,133,815,133xm814,99l800,99,800,127,794,133,788,136,796,136,800,133,815,133,815,132,814,131,814,129,814,126,814,99xm826,128l823,131,821,133,820,134,819,134,818,135,825,135,826,133,826,128xm796,66l780,66,773,68,769,72,764,76,762,80,762,88,762,89,765,92,766,93,770,93,772,92,773,91,775,90,775,88,775,78,776,76,778,74,780,72,783,71,809,71,805,69,801,67,796,66xe" filled="true" fillcolor="#221f20" stroked="false">
                    <v:path arrowok="t"/>
                    <v:fill type="solid"/>
                  </v:shape>
                </v:group>
              </w:pict>
            </w:r>
            <w:r>
              <w:rPr>
                <w:rFonts w:ascii="Palatino Linotype"/>
                <w:position w:val="-3"/>
                <w:sz w:val="18"/>
              </w:rPr>
            </w:r>
          </w:p>
        </w:tc>
        <w:tc>
          <w:tcPr>
            <w:tcW w:w="385" w:type="dxa"/>
          </w:tcPr>
          <w:p>
            <w:pPr>
              <w:pStyle w:val="TableParagraph"/>
              <w:spacing w:before="3"/>
              <w:rPr>
                <w:rFonts w:ascii="Palatino Linotype"/>
                <w:b/>
                <w:sz w:val="6"/>
              </w:rPr>
            </w:pPr>
          </w:p>
          <w:p>
            <w:pPr>
              <w:pStyle w:val="TableParagraph"/>
              <w:spacing w:line="115" w:lineRule="exact" w:before="0"/>
              <w:ind w:left="115"/>
              <w:rPr>
                <w:rFonts w:ascii="Palatino Linotype"/>
                <w:sz w:val="11"/>
              </w:rPr>
            </w:pPr>
            <w:r>
              <w:rPr>
                <w:rFonts w:ascii="Palatino Linotype"/>
                <w:position w:val="-1"/>
                <w:sz w:val="11"/>
              </w:rPr>
              <w:drawing>
                <wp:inline distT="0" distB="0" distL="0" distR="0">
                  <wp:extent cx="84931" cy="73151"/>
                  <wp:effectExtent l="0" t="0" r="0" b="0"/>
                  <wp:docPr id="127" name="image115.png" descr=""/>
                  <wp:cNvGraphicFramePr>
                    <a:graphicFrameLocks noChangeAspect="1"/>
                  </wp:cNvGraphicFramePr>
                  <a:graphic>
                    <a:graphicData uri="http://schemas.openxmlformats.org/drawingml/2006/picture">
                      <pic:pic>
                        <pic:nvPicPr>
                          <pic:cNvPr id="128" name="image115.png"/>
                          <pic:cNvPicPr/>
                        </pic:nvPicPr>
                        <pic:blipFill>
                          <a:blip r:embed="rId224" cstate="print"/>
                          <a:stretch>
                            <a:fillRect/>
                          </a:stretch>
                        </pic:blipFill>
                        <pic:spPr>
                          <a:xfrm>
                            <a:off x="0" y="0"/>
                            <a:ext cx="84931" cy="73151"/>
                          </a:xfrm>
                          <a:prstGeom prst="rect">
                            <a:avLst/>
                          </a:prstGeom>
                        </pic:spPr>
                      </pic:pic>
                    </a:graphicData>
                  </a:graphic>
                </wp:inline>
              </w:drawing>
            </w:r>
            <w:r>
              <w:rPr>
                <w:rFonts w:ascii="Palatino Linotype"/>
                <w:position w:val="-1"/>
                <w:sz w:val="11"/>
              </w:rPr>
            </w:r>
          </w:p>
        </w:tc>
        <w:tc>
          <w:tcPr>
            <w:tcW w:w="385" w:type="dxa"/>
          </w:tcPr>
          <w:p>
            <w:pPr>
              <w:pStyle w:val="TableParagraph"/>
              <w:spacing w:before="5"/>
              <w:rPr>
                <w:rFonts w:ascii="Palatino Linotype"/>
                <w:b/>
                <w:sz w:val="6"/>
              </w:rPr>
            </w:pPr>
          </w:p>
          <w:p>
            <w:pPr>
              <w:pStyle w:val="TableParagraph"/>
              <w:spacing w:line="113" w:lineRule="exact" w:before="0"/>
              <w:ind w:left="151"/>
              <w:rPr>
                <w:rFonts w:ascii="Palatino Linotype"/>
                <w:sz w:val="11"/>
              </w:rPr>
            </w:pPr>
            <w:r>
              <w:rPr>
                <w:rFonts w:ascii="Palatino Linotype"/>
                <w:position w:val="-1"/>
                <w:sz w:val="11"/>
              </w:rPr>
              <w:pict>
                <v:group style="width:3.25pt;height:5.7pt;mso-position-horizontal-relative:char;mso-position-vertical-relative:line" coordorigin="0,0" coordsize="65,114">
                  <v:shape style="position:absolute;left:0;top:0;width:65;height:114" coordorigin="0,0" coordsize="65,114" path="m9,97l4,97,3,97,0,100,0,101,0,105,1,108,4,110,7,112,12,113,25,113,32,112,38,109,43,107,45,105,24,105,20,103,16,101,11,98,9,97xm64,0l25,0,3,43,14,44,22,45,28,47,35,51,41,55,46,61,50,67,52,73,52,87,50,93,40,102,34,105,45,105,47,104,54,97,57,93,62,83,63,77,62,61,59,52,43,36,32,31,17,29,25,14,58,14,64,0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3" w:lineRule="exact" w:before="0"/>
              <w:ind w:left="141"/>
              <w:rPr>
                <w:rFonts w:ascii="Palatino Linotype"/>
                <w:sz w:val="11"/>
              </w:rPr>
            </w:pPr>
            <w:r>
              <w:rPr>
                <w:rFonts w:ascii="Palatino Linotype"/>
                <w:position w:val="-1"/>
                <w:sz w:val="11"/>
              </w:rPr>
              <w:pict>
                <v:group style="width:3.65pt;height:5.7pt;mso-position-horizontal-relative:char;mso-position-vertical-relative:line" coordorigin="0,0" coordsize="73,114">
                  <v:shape style="position:absolute;left:0;top:0;width:73;height:114" coordorigin="0,0" coordsize="73,114" path="m62,12l37,12,42,15,46,19,50,24,53,29,53,46,49,56,41,67,34,76,25,86,13,98,0,110,0,113,65,113,70,101,18,101,21,98,29,89,43,74,52,64,59,55,63,46,65,40,66,35,66,21,63,14,62,12xm73,92l70,92,68,94,67,96,65,97,63,99,61,100,59,100,57,101,70,101,73,92xm44,0l26,0,19,2,14,8,8,13,4,21,3,31,6,31,8,25,11,20,16,17,20,14,25,12,62,12,58,8,52,3,44,0xe" filled="true" fillcolor="#221f20" stroked="false">
                    <v:path arrowok="t"/>
                    <v:fill type="solid"/>
                  </v:shape>
                </v:group>
              </w:pict>
            </w:r>
            <w:r>
              <w:rPr>
                <w:rFonts w:ascii="Palatino Linotype"/>
                <w:position w:val="-1"/>
                <w:sz w:val="11"/>
              </w:rPr>
            </w:r>
          </w:p>
        </w:tc>
        <w:tc>
          <w:tcPr>
            <w:tcW w:w="385" w:type="dxa"/>
          </w:tcPr>
          <w:p>
            <w:pPr>
              <w:pStyle w:val="TableParagraph"/>
              <w:spacing w:before="5"/>
              <w:rPr>
                <w:rFonts w:ascii="Palatino Linotype"/>
                <w:b/>
                <w:sz w:val="6"/>
              </w:rPr>
            </w:pPr>
          </w:p>
          <w:p>
            <w:pPr>
              <w:pStyle w:val="TableParagraph"/>
              <w:spacing w:line="113" w:lineRule="exact" w:before="0"/>
              <w:ind w:left="141"/>
              <w:rPr>
                <w:rFonts w:ascii="Palatino Linotype"/>
                <w:sz w:val="11"/>
              </w:rPr>
            </w:pPr>
            <w:r>
              <w:rPr>
                <w:rFonts w:ascii="Palatino Linotype"/>
                <w:position w:val="-1"/>
                <w:sz w:val="11"/>
              </w:rPr>
              <w:pict>
                <v:group style="width:3.25pt;height:5.7pt;mso-position-horizontal-relative:char;mso-position-vertical-relative:line" coordorigin="0,0" coordsize="65,114">
                  <v:shape style="position:absolute;left:0;top:0;width:65;height:114" coordorigin="0,0" coordsize="65,114" path="m9,97l4,97,3,97,0,100,0,101,0,105,1,108,4,110,7,112,12,113,25,113,32,112,38,109,43,107,45,105,24,105,20,103,15,101,13,99,11,98,10,97,9,97xm64,0l25,0,3,43,14,44,22,45,28,47,35,51,41,55,46,61,50,67,52,73,52,87,50,93,45,98,40,102,34,105,45,105,47,104,54,97,57,93,62,83,63,77,62,61,59,52,43,36,32,31,17,29,25,14,58,14,64,0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3" w:lineRule="exact" w:before="0"/>
              <w:ind w:left="146"/>
              <w:rPr>
                <w:rFonts w:ascii="Palatino Linotype"/>
                <w:sz w:val="11"/>
              </w:rPr>
            </w:pPr>
            <w:r>
              <w:rPr>
                <w:rFonts w:ascii="Palatino Linotype"/>
                <w:position w:val="-1"/>
                <w:sz w:val="11"/>
              </w:rPr>
              <w:pict>
                <v:group style="width:3.65pt;height:5.7pt;mso-position-horizontal-relative:char;mso-position-vertical-relative:line" coordorigin="0,0" coordsize="73,114">
                  <v:shape style="position:absolute;left:0;top:0;width:73;height:114" coordorigin="0,0" coordsize="73,114" path="m62,12l37,12,42,15,46,19,50,24,52,29,52,46,49,56,41,67,34,76,25,86,13,98,0,110,0,113,65,113,70,101,18,101,21,98,29,89,43,74,52,64,59,55,63,46,65,40,66,35,66,21,63,14,62,12xm73,92l70,92,68,94,67,96,65,97,63,99,61,100,56,101,70,101,73,92xm44,0l26,0,19,2,14,8,8,13,4,21,3,31,6,31,8,25,11,20,16,17,20,14,25,12,62,12,58,8,51,3,44,0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9"/>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4,0l31,0,25,1,21,5,14,10,9,16,5,26,2,35,0,46,0,73,3,86,8,97,16,109,24,115,40,115,46,113,50,110,29,110,24,106,21,98,18,88,16,76,16,51,16,41,18,32,19,22,22,15,26,10,29,7,32,5,53,5,52,4,44,0xm53,5l39,5,42,6,44,8,47,10,50,15,52,22,54,30,55,40,55,65,54,76,53,85,52,93,50,99,48,103,44,106,41,109,38,110,50,110,58,105,62,99,66,90,69,80,71,70,71,57,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3"/>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4,10,9,16,6,26,2,35,0,46,0,73,3,86,9,97,16,109,25,115,41,115,46,113,50,110,29,110,25,106,22,98,18,88,16,76,16,51,17,41,18,32,19,22,22,15,26,10,29,7,32,5,53,5,52,4,45,0xm53,5l39,5,42,6,44,8,47,10,50,15,52,22,54,30,56,40,55,57,55,65,55,76,53,85,52,93,50,99,48,103,45,106,42,109,38,110,50,110,52,109,58,105,62,99,66,90,69,80,71,70,71,57,71,44,68,32,65,22,59,13,53,5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5,10,10,16,6,26,2,35,0,46,0,73,3,86,9,97,16,109,25,115,41,115,46,113,51,110,30,110,25,106,22,98,18,88,16,76,16,51,17,41,18,32,20,22,22,15,26,10,29,7,32,5,53,5,52,4,45,0xm53,5l39,5,42,6,44,8,47,10,50,15,52,22,55,30,56,40,55,65,55,76,54,85,52,93,50,99,48,103,45,106,42,109,39,110,51,110,52,109,58,105,63,99,66,90,70,80,72,70,72,57,71,44,69,32,65,22,59,13,53,5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4,10,9,16,5,26,2,35,0,46,0,73,3,86,9,97,16,109,25,115,41,115,46,113,50,110,29,110,25,106,21,98,18,88,16,76,16,51,18,32,19,22,22,15,26,10,29,7,32,5,53,5,52,4,45,0xm53,5l39,5,42,6,44,8,47,10,50,15,52,22,54,30,56,40,55,57,55,65,55,76,53,85,52,93,50,99,48,103,45,106,41,109,38,110,50,110,52,109,58,105,62,99,66,90,69,80,71,70,71,57,71,44,68,32,64,22,59,13,53,5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2" w:lineRule="exact" w:before="0"/>
              <w:ind w:left="114"/>
              <w:rPr>
                <w:rFonts w:ascii="Palatino Linotype"/>
                <w:sz w:val="11"/>
              </w:rPr>
            </w:pPr>
            <w:r>
              <w:rPr>
                <w:rFonts w:ascii="Palatino Linotype"/>
                <w:position w:val="-1"/>
                <w:sz w:val="11"/>
              </w:rPr>
              <w:drawing>
                <wp:inline distT="0" distB="0" distL="0" distR="0">
                  <wp:extent cx="89407" cy="71437"/>
                  <wp:effectExtent l="0" t="0" r="0" b="0"/>
                  <wp:docPr id="129" name="image116.png" descr=""/>
                  <wp:cNvGraphicFramePr>
                    <a:graphicFrameLocks noChangeAspect="1"/>
                  </wp:cNvGraphicFramePr>
                  <a:graphic>
                    <a:graphicData uri="http://schemas.openxmlformats.org/drawingml/2006/picture">
                      <pic:pic>
                        <pic:nvPicPr>
                          <pic:cNvPr id="130" name="image116.png"/>
                          <pic:cNvPicPr/>
                        </pic:nvPicPr>
                        <pic:blipFill>
                          <a:blip r:embed="rId225" cstate="print"/>
                          <a:stretch>
                            <a:fillRect/>
                          </a:stretch>
                        </pic:blipFill>
                        <pic:spPr>
                          <a:xfrm>
                            <a:off x="0" y="0"/>
                            <a:ext cx="89407" cy="71437"/>
                          </a:xfrm>
                          <a:prstGeom prst="rect">
                            <a:avLst/>
                          </a:prstGeom>
                        </pic:spPr>
                      </pic:pic>
                    </a:graphicData>
                  </a:graphic>
                </wp:inline>
              </w:drawing>
            </w:r>
            <w:r>
              <w:rPr>
                <w:rFonts w:ascii="Palatino Linotype"/>
                <w:position w:val="-1"/>
                <w:sz w:val="11"/>
              </w:rPr>
            </w:r>
          </w:p>
        </w:tc>
        <w:tc>
          <w:tcPr>
            <w:tcW w:w="384" w:type="dxa"/>
          </w:tcPr>
          <w:p>
            <w:pPr/>
          </w:p>
        </w:tc>
        <w:tc>
          <w:tcPr>
            <w:tcW w:w="385" w:type="dxa"/>
          </w:tcPr>
          <w:p>
            <w:pPr>
              <w:pStyle w:val="TableParagraph"/>
              <w:spacing w:before="3"/>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pt;height:5.7pt;mso-position-horizontal-relative:char;mso-position-vertical-relative:line" coordorigin="0,0" coordsize="44,114">
                  <v:shape style="position:absolute;left:0;top:0;width:44;height:114" coordorigin="0,0" coordsize="44,114" path="m44,110l2,110,2,113,44,113,44,110xm30,13l11,13,12,13,13,14,14,15,15,18,16,20,16,25,16,100,16,105,15,106,15,107,14,108,12,109,10,110,7,110,39,110,35,110,34,109,32,108,31,107,31,105,30,104,30,13xm30,0l27,0,0,13,1,15,5,14,7,13,30,13,30,0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3" w:lineRule="exact" w:before="0"/>
              <w:ind w:left="161"/>
              <w:rPr>
                <w:rFonts w:ascii="Palatino Linotype"/>
                <w:sz w:val="11"/>
              </w:rPr>
            </w:pPr>
            <w:r>
              <w:rPr>
                <w:rFonts w:ascii="Palatino Linotype"/>
                <w:position w:val="-1"/>
                <w:sz w:val="11"/>
              </w:rPr>
              <w:pict>
                <v:group style="width:2.25pt;height:5.7pt;mso-position-horizontal-relative:char;mso-position-vertical-relative:line" coordorigin="0,0" coordsize="45,114">
                  <v:shape style="position:absolute;left:0;top:0;width:45;height:114" coordorigin="0,0" coordsize="45,114" path="m44,110l2,110,2,113,44,113,44,110xm30,13l11,13,12,13,13,14,14,15,15,16,16,18,16,20,16,105,15,106,15,107,14,108,12,109,11,110,7,110,39,110,36,110,34,109,32,108,31,107,31,105,30,104,30,100,30,13xm30,0l27,0,0,13,1,15,5,14,8,13,30,13,30,0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8"/>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4,10,9,16,5,26,2,35,0,46,0,73,3,86,9,97,16,109,25,115,41,115,46,113,50,110,29,110,25,106,22,98,18,88,16,76,16,51,17,41,18,32,19,22,22,15,26,10,29,7,32,5,53,5,52,4,45,0xm53,5l39,5,42,6,44,8,47,10,50,15,52,22,54,30,56,40,55,57,55,65,55,76,53,85,52,93,50,99,48,103,45,106,41,109,38,110,50,110,52,109,58,105,62,99,66,90,69,80,71,70,71,57,71,44,68,32,65,22,59,13,53,5xe" filled="true" fillcolor="#221f20" stroked="false">
                    <v:path arrowok="t"/>
                    <v:fill type="solid"/>
                  </v:shape>
                </v:group>
              </w:pict>
            </w:r>
            <w:r>
              <w:rPr>
                <w:rFonts w:ascii="Palatino Linotype"/>
                <w:position w:val="-1"/>
                <w:sz w:val="11"/>
              </w:rPr>
            </w:r>
          </w:p>
        </w:tc>
        <w:tc>
          <w:tcPr>
            <w:tcW w:w="385" w:type="dxa"/>
          </w:tcPr>
          <w:p>
            <w:pPr>
              <w:pStyle w:val="TableParagraph"/>
              <w:spacing w:before="3"/>
              <w:rPr>
                <w:rFonts w:ascii="Palatino Linotype"/>
                <w:b/>
                <w:sz w:val="6"/>
              </w:rPr>
            </w:pPr>
          </w:p>
          <w:p>
            <w:pPr>
              <w:pStyle w:val="TableParagraph"/>
              <w:spacing w:line="115" w:lineRule="exact" w:before="0"/>
              <w:ind w:left="147"/>
              <w:rPr>
                <w:rFonts w:ascii="Palatino Linotype"/>
                <w:sz w:val="11"/>
              </w:rPr>
            </w:pPr>
            <w:r>
              <w:rPr>
                <w:rFonts w:ascii="Palatino Linotype"/>
                <w:position w:val="-1"/>
                <w:sz w:val="11"/>
              </w:rPr>
              <w:pict>
                <v:group style="width:3.6pt;height:5.8pt;mso-position-horizontal-relative:char;mso-position-vertical-relative:line" coordorigin="0,0" coordsize="72,116">
                  <v:shape style="position:absolute;left:0;top:0;width:72;height:116" coordorigin="0,0" coordsize="72,116" path="m45,0l31,0,26,1,21,5,15,10,10,16,6,26,2,35,0,46,0,73,3,86,9,97,16,109,25,115,41,115,46,113,51,110,30,110,25,106,22,98,18,88,16,76,16,51,17,41,18,32,20,22,22,15,26,10,29,7,32,5,53,5,52,4,45,0xm53,5l39,5,42,6,44,8,47,10,50,15,52,21,55,30,56,40,55,65,55,76,54,85,52,93,50,99,48,103,42,109,39,110,51,110,52,109,58,105,63,99,66,90,70,80,71,70,71,57,71,44,68,32,65,22,59,13,53,5xe" filled="true" fillcolor="#221f20" stroked="false">
                    <v:path arrowok="t"/>
                    <v:fill type="solid"/>
                  </v:shape>
                </v:group>
              </w:pict>
            </w:r>
            <w:r>
              <w:rPr>
                <w:rFonts w:ascii="Palatino Linotype"/>
                <w:position w:val="-1"/>
                <w:sz w:val="11"/>
              </w:rPr>
            </w:r>
          </w:p>
        </w:tc>
      </w:tr>
    </w:tbl>
    <w:p>
      <w:pPr>
        <w:pStyle w:val="BodyText"/>
        <w:spacing w:before="11"/>
        <w:rPr>
          <w:rFonts w:ascii="Palatino Linotype"/>
          <w:b/>
          <w:sz w:val="16"/>
        </w:rPr>
      </w:pPr>
    </w:p>
    <w:p>
      <w:pPr>
        <w:spacing w:before="0"/>
        <w:ind w:left="117" w:right="0" w:firstLine="0"/>
        <w:jc w:val="both"/>
        <w:rPr>
          <w:sz w:val="17"/>
        </w:rPr>
      </w:pPr>
      <w:r>
        <w:rPr/>
        <w:pict>
          <v:shape style="position:absolute;margin-left:125.826599pt;margin-top:-113.780243pt;width:3.75pt;height:6.1pt;mso-position-horizontal-relative:page;mso-position-vertical-relative:paragraph;z-index:5368" coordorigin="2517,-2276" coordsize="75,122" path="m2563,-2276l2549,-2276,2544,-2274,2538,-2270,2532,-2265,2526,-2258,2522,-2248,2519,-2239,2517,-2227,2517,-2212,2517,-2203,2519,-2192,2522,-2183,2526,-2174,2533,-2161,2542,-2154,2559,-2154,2565,-2156,2570,-2160,2547,-2160,2542,-2164,2539,-2173,2535,-2183,2533,-2196,2533,-2222,2534,-2232,2535,-2242,2537,-2252,2540,-2260,2544,-2265,2547,-2268,2550,-2270,2572,-2270,2571,-2271,2563,-2276xm2572,-2270l2558,-2270,2560,-2269,2563,-2267,2566,-2264,2569,-2260,2571,-2252,2573,-2244,2575,-2233,2575,-2216,2574,-2207,2574,-2196,2572,-2186,2569,-2171,2567,-2167,2563,-2164,2560,-2161,2557,-2160,2570,-2160,2571,-2161,2577,-2165,2582,-2172,2585,-2181,2589,-2191,2591,-2202,2591,-2216,2591,-2230,2588,-2242,2584,-2253,2578,-2262,2572,-2270xe" filled="true" fillcolor="#221f20" stroked="false">
            <v:path arrowok="t"/>
            <v:fill type="solid"/>
            <w10:wrap type="none"/>
          </v:shape>
        </w:pict>
      </w:r>
      <w:r>
        <w:rPr>
          <w:sz w:val="17"/>
        </w:rPr>
        <w:t>Gráfica elaborada por el autor con información desarrollada en el presente capítulo.</w:t>
      </w:r>
    </w:p>
    <w:p>
      <w:pPr>
        <w:spacing w:after="0"/>
        <w:jc w:val="both"/>
        <w:rPr>
          <w:sz w:val="17"/>
        </w:rPr>
        <w:sectPr>
          <w:pgSz w:w="9360" w:h="13040"/>
          <w:pgMar w:header="531" w:footer="515" w:top="940" w:bottom="700" w:left="1300" w:right="720"/>
        </w:sectPr>
      </w:pPr>
    </w:p>
    <w:p>
      <w:pPr>
        <w:pStyle w:val="BodyText"/>
        <w:spacing w:before="4"/>
        <w:rPr>
          <w:sz w:val="17"/>
        </w:rPr>
      </w:pPr>
    </w:p>
    <w:p>
      <w:pPr>
        <w:spacing w:after="0"/>
        <w:rPr>
          <w:sz w:val="17"/>
        </w:rPr>
        <w:sectPr>
          <w:headerReference w:type="default" r:id="rId226"/>
          <w:footerReference w:type="default" r:id="rId22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1"/>
        </w:rPr>
      </w:pPr>
    </w:p>
    <w:p>
      <w:pPr>
        <w:pStyle w:val="BodyText"/>
        <w:ind w:left="708"/>
        <w:rPr>
          <w:sz w:val="20"/>
        </w:rPr>
      </w:pPr>
      <w:r>
        <w:rPr>
          <w:sz w:val="20"/>
        </w:rPr>
        <w:drawing>
          <wp:inline distT="0" distB="0" distL="0" distR="0">
            <wp:extent cx="3780281" cy="5444109"/>
            <wp:effectExtent l="0" t="0" r="0" b="0"/>
            <wp:docPr id="131" name="image117.png" descr=""/>
            <wp:cNvGraphicFramePr>
              <a:graphicFrameLocks noChangeAspect="1"/>
            </wp:cNvGraphicFramePr>
            <a:graphic>
              <a:graphicData uri="http://schemas.openxmlformats.org/drawingml/2006/picture">
                <pic:pic>
                  <pic:nvPicPr>
                    <pic:cNvPr id="132" name="image117.png"/>
                    <pic:cNvPicPr/>
                  </pic:nvPicPr>
                  <pic:blipFill>
                    <a:blip r:embed="rId230" cstate="print"/>
                    <a:stretch>
                      <a:fillRect/>
                    </a:stretch>
                  </pic:blipFill>
                  <pic:spPr>
                    <a:xfrm>
                      <a:off x="0" y="0"/>
                      <a:ext cx="3780281" cy="5444109"/>
                    </a:xfrm>
                    <a:prstGeom prst="rect">
                      <a:avLst/>
                    </a:prstGeom>
                  </pic:spPr>
                </pic:pic>
              </a:graphicData>
            </a:graphic>
          </wp:inline>
        </w:drawing>
      </w:r>
      <w:r>
        <w:rPr>
          <w:sz w:val="20"/>
        </w:rPr>
      </w:r>
    </w:p>
    <w:p>
      <w:pPr>
        <w:pStyle w:val="BodyText"/>
        <w:spacing w:before="139"/>
        <w:ind w:left="739" w:right="732"/>
        <w:jc w:val="center"/>
      </w:pPr>
      <w:r>
        <w:rPr/>
        <w:t>Tepeapulco.</w:t>
      </w:r>
    </w:p>
    <w:p>
      <w:pPr>
        <w:spacing w:after="0"/>
        <w:jc w:val="center"/>
        <w:sectPr>
          <w:headerReference w:type="default" r:id="rId228"/>
          <w:footerReference w:type="default" r:id="rId229"/>
          <w:pgSz w:w="9360" w:h="13040"/>
          <w:pgMar w:header="0" w:footer="515" w:top="1200" w:bottom="700" w:left="1300" w:right="740"/>
          <w:pgNumType w:start="153"/>
        </w:sectPr>
      </w:pPr>
    </w:p>
    <w:p>
      <w:pPr>
        <w:pStyle w:val="BodyText"/>
        <w:spacing w:before="4"/>
        <w:rPr>
          <w:sz w:val="17"/>
        </w:rPr>
      </w:pPr>
    </w:p>
    <w:p>
      <w:pPr>
        <w:spacing w:after="0"/>
        <w:rPr>
          <w:sz w:val="17"/>
        </w:rPr>
        <w:sectPr>
          <w:headerReference w:type="default" r:id="rId231"/>
          <w:footerReference w:type="default" r:id="rId232"/>
          <w:pgSz w:w="9360" w:h="13040"/>
          <w:pgMar w:header="0" w:footer="0" w:top="1200" w:bottom="280" w:left="1300" w:right="1300"/>
        </w:sectPr>
      </w:pPr>
    </w:p>
    <w:p>
      <w:pPr>
        <w:pStyle w:val="Heading2"/>
        <w:ind w:left="738"/>
      </w:pPr>
      <w:bookmarkStart w:name="_TOC_250013" w:id="30"/>
      <w:bookmarkEnd w:id="30"/>
      <w:r>
        <w:rPr/>
        <w:t>Capítulo VI.</w:t>
      </w:r>
    </w:p>
    <w:p>
      <w:pPr>
        <w:spacing w:line="242" w:lineRule="auto" w:before="4"/>
        <w:ind w:left="1287" w:right="1278" w:firstLine="0"/>
        <w:jc w:val="center"/>
        <w:rPr>
          <w:b/>
          <w:sz w:val="24"/>
        </w:rPr>
      </w:pPr>
      <w:r>
        <w:rPr>
          <w:b/>
          <w:sz w:val="24"/>
        </w:rPr>
        <w:t>La política intergubernamental de lo urbano y de la vivienda social en el Estado de Hidalgo.</w:t>
      </w:r>
    </w:p>
    <w:p>
      <w:pPr>
        <w:pStyle w:val="BodyText"/>
        <w:rPr>
          <w:b/>
          <w:sz w:val="24"/>
        </w:rPr>
      </w:pPr>
    </w:p>
    <w:p>
      <w:pPr>
        <w:pStyle w:val="BodyText"/>
        <w:spacing w:before="10"/>
        <w:rPr>
          <w:b/>
        </w:rPr>
      </w:pPr>
    </w:p>
    <w:p>
      <w:pPr>
        <w:pStyle w:val="Heading3"/>
      </w:pPr>
      <w:bookmarkStart w:name="_TOC_250012" w:id="31"/>
      <w:bookmarkEnd w:id="31"/>
      <w:r>
        <w:rPr/>
        <w:t>La vivienda y el suelo urbano como insumos inconcurrentes.</w:t>
      </w:r>
    </w:p>
    <w:p>
      <w:pPr>
        <w:pStyle w:val="BodyText"/>
        <w:spacing w:before="9"/>
        <w:rPr>
          <w:b/>
          <w:sz w:val="22"/>
        </w:rPr>
      </w:pPr>
    </w:p>
    <w:p>
      <w:pPr>
        <w:pStyle w:val="BodyText"/>
        <w:spacing w:line="260" w:lineRule="exact"/>
        <w:ind w:left="117" w:right="107"/>
        <w:jc w:val="both"/>
      </w:pPr>
      <w:r>
        <w:rPr/>
        <w:t>Enmarcado en la coordinación estratégica teorizada al inicio del capítulo anterior,</w:t>
      </w:r>
      <w:r>
        <w:rPr>
          <w:spacing w:val="-24"/>
        </w:rPr>
        <w:t> </w:t>
      </w:r>
      <w:r>
        <w:rPr/>
        <w:t>la</w:t>
      </w:r>
      <w:r>
        <w:rPr>
          <w:spacing w:val="-24"/>
        </w:rPr>
        <w:t> </w:t>
      </w:r>
      <w:r>
        <w:rPr/>
        <w:t>proyección</w:t>
      </w:r>
      <w:r>
        <w:rPr>
          <w:spacing w:val="-24"/>
        </w:rPr>
        <w:t> </w:t>
      </w:r>
      <w:r>
        <w:rPr/>
        <w:t>subsidiaria</w:t>
      </w:r>
      <w:r>
        <w:rPr>
          <w:spacing w:val="-23"/>
        </w:rPr>
        <w:t> </w:t>
      </w:r>
      <w:r>
        <w:rPr/>
        <w:t>de</w:t>
      </w:r>
      <w:r>
        <w:rPr>
          <w:spacing w:val="-24"/>
        </w:rPr>
        <w:t> </w:t>
      </w:r>
      <w:r>
        <w:rPr/>
        <w:t>lo</w:t>
      </w:r>
      <w:r>
        <w:rPr>
          <w:spacing w:val="-24"/>
        </w:rPr>
        <w:t> </w:t>
      </w:r>
      <w:r>
        <w:rPr/>
        <w:t>urbano</w:t>
      </w:r>
      <w:r>
        <w:rPr>
          <w:spacing w:val="-24"/>
        </w:rPr>
        <w:t> </w:t>
      </w:r>
      <w:r>
        <w:rPr/>
        <w:t>y</w:t>
      </w:r>
      <w:r>
        <w:rPr>
          <w:spacing w:val="-24"/>
        </w:rPr>
        <w:t> </w:t>
      </w:r>
      <w:r>
        <w:rPr/>
        <w:t>de</w:t>
      </w:r>
      <w:r>
        <w:rPr>
          <w:spacing w:val="-24"/>
        </w:rPr>
        <w:t> </w:t>
      </w:r>
      <w:r>
        <w:rPr/>
        <w:t>la</w:t>
      </w:r>
      <w:r>
        <w:rPr>
          <w:spacing w:val="-24"/>
        </w:rPr>
        <w:t> </w:t>
      </w:r>
      <w:r>
        <w:rPr/>
        <w:t>vivienda</w:t>
      </w:r>
      <w:r>
        <w:rPr>
          <w:spacing w:val="-24"/>
        </w:rPr>
        <w:t> </w:t>
      </w:r>
      <w:r>
        <w:rPr/>
        <w:t>social</w:t>
      </w:r>
      <w:r>
        <w:rPr>
          <w:spacing w:val="-23"/>
        </w:rPr>
        <w:t> </w:t>
      </w:r>
      <w:r>
        <w:rPr/>
        <w:t>prescribe que en la generación de espacios habitacionales, en el marco de la política de bienestar social, debe resultar de la concurrencia entre funcionarios públicos y actores privados. Sin embargo, pese a que vivienda y suelo urbano</w:t>
      </w:r>
      <w:r>
        <w:rPr>
          <w:spacing w:val="-24"/>
        </w:rPr>
        <w:t> </w:t>
      </w:r>
      <w:r>
        <w:rPr/>
        <w:t>integran un solo insumo de bienestar, el Estado mexicano ha administrado en forma diferenciada</w:t>
      </w:r>
      <w:r>
        <w:rPr>
          <w:spacing w:val="-14"/>
        </w:rPr>
        <w:t> </w:t>
      </w:r>
      <w:r>
        <w:rPr/>
        <w:t>cada</w:t>
      </w:r>
      <w:r>
        <w:rPr>
          <w:spacing w:val="-14"/>
        </w:rPr>
        <w:t> </w:t>
      </w:r>
      <w:r>
        <w:rPr/>
        <w:t>uno</w:t>
      </w:r>
      <w:r>
        <w:rPr>
          <w:spacing w:val="-14"/>
        </w:rPr>
        <w:t> </w:t>
      </w:r>
      <w:r>
        <w:rPr/>
        <w:t>de</w:t>
      </w:r>
      <w:r>
        <w:rPr>
          <w:spacing w:val="-14"/>
        </w:rPr>
        <w:t> </w:t>
      </w:r>
      <w:r>
        <w:rPr/>
        <w:t>los</w:t>
      </w:r>
      <w:r>
        <w:rPr>
          <w:spacing w:val="-14"/>
        </w:rPr>
        <w:t> </w:t>
      </w:r>
      <w:r>
        <w:rPr/>
        <w:t>primeros.</w:t>
      </w:r>
      <w:r>
        <w:rPr>
          <w:spacing w:val="-14"/>
        </w:rPr>
        <w:t> </w:t>
      </w:r>
      <w:r>
        <w:rPr/>
        <w:t>El</w:t>
      </w:r>
      <w:r>
        <w:rPr>
          <w:spacing w:val="-14"/>
        </w:rPr>
        <w:t> </w:t>
      </w:r>
      <w:r>
        <w:rPr/>
        <w:t>financiamiento</w:t>
      </w:r>
      <w:r>
        <w:rPr>
          <w:spacing w:val="-14"/>
        </w:rPr>
        <w:t> </w:t>
      </w:r>
      <w:r>
        <w:rPr/>
        <w:t>para</w:t>
      </w:r>
      <w:r>
        <w:rPr>
          <w:spacing w:val="-14"/>
        </w:rPr>
        <w:t> </w:t>
      </w:r>
      <w:r>
        <w:rPr/>
        <w:t>la</w:t>
      </w:r>
      <w:r>
        <w:rPr>
          <w:spacing w:val="-14"/>
        </w:rPr>
        <w:t> </w:t>
      </w:r>
      <w:r>
        <w:rPr/>
        <w:t>construcción, desde la década de los veintes, es parte de una política federal que no ha privilegiado preferentemente las necesidades de los demandantes, en</w:t>
      </w:r>
      <w:r>
        <w:rPr>
          <w:spacing w:val="-32"/>
        </w:rPr>
        <w:t> </w:t>
      </w:r>
      <w:r>
        <w:rPr/>
        <w:t>cambio, a través del crédito para diferentes grupos poblacionales ha estimulado la oferta especulativa de</w:t>
      </w:r>
      <w:r>
        <w:rPr>
          <w:spacing w:val="-1"/>
        </w:rPr>
        <w:t> </w:t>
      </w:r>
      <w:r>
        <w:rPr/>
        <w:t>vivienda.</w:t>
      </w:r>
    </w:p>
    <w:p>
      <w:pPr>
        <w:pStyle w:val="BodyText"/>
        <w:spacing w:before="7"/>
        <w:rPr>
          <w:sz w:val="22"/>
        </w:rPr>
      </w:pPr>
    </w:p>
    <w:p>
      <w:pPr>
        <w:pStyle w:val="BodyText"/>
        <w:spacing w:line="260" w:lineRule="exact"/>
        <w:ind w:left="117" w:right="108"/>
        <w:jc w:val="both"/>
      </w:pPr>
      <w:r>
        <w:rPr/>
        <w:t>Recientemente, en la época de los gobiernos neoliberales, se descentralizó a estados y municipios la operación de un sistema de subsidios para atender a la población desplazada del mercado de vivienda. En cuanto al suelo urbano, para los gobiernos estatales  éste  ha  sido  el  principal  elemento  regulado en pro del ordenamiento de las ciudades, y en virtud de que sólo el sector inmobiliario ha tenido la capacidad de acatar las regulaciones del suelo, los procesos de ocupación popular resultan opuestos al modelo gubernamental de orden. El proceso federal de descentralización ha intentado llevar las facultades regulatorias del suelo urbano a la jurisdicción de los municipios, lo cual ha enfrentado la negativa sistemática de los gobiernos estatales. Con tales</w:t>
      </w:r>
      <w:r>
        <w:rPr>
          <w:spacing w:val="-5"/>
        </w:rPr>
        <w:t> </w:t>
      </w:r>
      <w:r>
        <w:rPr/>
        <w:t>antecedentes,</w:t>
      </w:r>
      <w:r>
        <w:rPr>
          <w:spacing w:val="-5"/>
        </w:rPr>
        <w:t> </w:t>
      </w:r>
      <w:r>
        <w:rPr/>
        <w:t>la</w:t>
      </w:r>
      <w:r>
        <w:rPr>
          <w:spacing w:val="-5"/>
        </w:rPr>
        <w:t> </w:t>
      </w:r>
      <w:r>
        <w:rPr/>
        <w:t>siguiente</w:t>
      </w:r>
      <w:r>
        <w:rPr>
          <w:spacing w:val="-4"/>
        </w:rPr>
        <w:t> </w:t>
      </w:r>
      <w:r>
        <w:rPr/>
        <w:t>escala</w:t>
      </w:r>
      <w:r>
        <w:rPr>
          <w:spacing w:val="-5"/>
        </w:rPr>
        <w:t> </w:t>
      </w:r>
      <w:r>
        <w:rPr/>
        <w:t>de</w:t>
      </w:r>
      <w:r>
        <w:rPr>
          <w:spacing w:val="-5"/>
        </w:rPr>
        <w:t> </w:t>
      </w:r>
      <w:r>
        <w:rPr/>
        <w:t>evaluación</w:t>
      </w:r>
      <w:r>
        <w:rPr>
          <w:spacing w:val="-5"/>
        </w:rPr>
        <w:t> </w:t>
      </w:r>
      <w:r>
        <w:rPr/>
        <w:t>pondera</w:t>
      </w:r>
      <w:r>
        <w:rPr>
          <w:spacing w:val="-5"/>
        </w:rPr>
        <w:t> </w:t>
      </w:r>
      <w:r>
        <w:rPr/>
        <w:t>distintos</w:t>
      </w:r>
      <w:r>
        <w:rPr>
          <w:spacing w:val="-5"/>
        </w:rPr>
        <w:t> </w:t>
      </w:r>
      <w:r>
        <w:rPr/>
        <w:t>niveles entre el ideal subsidiario y la realidad histórica del sector administrativo que nos</w:t>
      </w:r>
      <w:r>
        <w:rPr>
          <w:spacing w:val="-1"/>
        </w:rPr>
        <w:t> </w:t>
      </w:r>
      <w:r>
        <w:rPr/>
        <w:t>ocupa:</w:t>
      </w:r>
    </w:p>
    <w:p>
      <w:pPr>
        <w:spacing w:after="0" w:line="260" w:lineRule="exact"/>
        <w:jc w:val="both"/>
        <w:sectPr>
          <w:headerReference w:type="default" r:id="rId233"/>
          <w:footerReference w:type="default" r:id="rId234"/>
          <w:footerReference w:type="even" r:id="rId235"/>
          <w:pgSz w:w="9360" w:h="13040"/>
          <w:pgMar w:header="0" w:footer="515" w:top="1200" w:bottom="700" w:left="1300" w:right="740"/>
          <w:pgNumType w:start="155"/>
        </w:sectPr>
      </w:pPr>
    </w:p>
    <w:p>
      <w:pPr>
        <w:pStyle w:val="BodyText"/>
        <w:rPr>
          <w:sz w:val="20"/>
        </w:rPr>
      </w:pPr>
    </w:p>
    <w:p>
      <w:pPr>
        <w:pStyle w:val="BodyText"/>
        <w:spacing w:before="9"/>
        <w:rPr>
          <w:sz w:val="28"/>
        </w:rPr>
      </w:pPr>
    </w:p>
    <w:p>
      <w:pPr>
        <w:spacing w:line="260" w:lineRule="exact" w:before="77"/>
        <w:ind w:left="2909" w:right="692" w:hanging="2211"/>
        <w:jc w:val="left"/>
        <w:rPr>
          <w:b/>
          <w:i/>
          <w:sz w:val="23"/>
        </w:rPr>
      </w:pPr>
      <w:r>
        <w:rPr>
          <w:b/>
          <w:sz w:val="23"/>
        </w:rPr>
        <w:t>Escala de Evaluación de la </w:t>
      </w:r>
      <w:r>
        <w:rPr>
          <w:b/>
          <w:i/>
          <w:sz w:val="23"/>
        </w:rPr>
        <w:t>Legislación Urbana y las Políticas </w:t>
      </w:r>
      <w:r>
        <w:rPr>
          <w:b/>
          <w:i/>
          <w:sz w:val="23"/>
        </w:rPr>
        <w:t>Habitacionales.</w:t>
      </w:r>
    </w:p>
    <w:p>
      <w:pPr>
        <w:pStyle w:val="BodyText"/>
        <w:rPr>
          <w:b/>
          <w:i/>
          <w:sz w:val="25"/>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788"/>
        <w:gridCol w:w="1587"/>
        <w:gridCol w:w="1655"/>
        <w:gridCol w:w="1576"/>
      </w:tblGrid>
      <w:tr>
        <w:trPr>
          <w:trHeight w:val="452" w:hRule="exact"/>
        </w:trPr>
        <w:tc>
          <w:tcPr>
            <w:tcW w:w="480" w:type="dxa"/>
            <w:shd w:val="clear" w:color="auto" w:fill="D1D3D4"/>
          </w:tcPr>
          <w:p>
            <w:pPr/>
          </w:p>
        </w:tc>
        <w:tc>
          <w:tcPr>
            <w:tcW w:w="1788" w:type="dxa"/>
            <w:shd w:val="clear" w:color="auto" w:fill="D1D3D4"/>
          </w:tcPr>
          <w:p>
            <w:pPr>
              <w:pStyle w:val="TableParagraph"/>
              <w:spacing w:line="249" w:lineRule="auto" w:before="6"/>
              <w:ind w:left="475" w:hanging="110"/>
              <w:rPr>
                <w:b/>
                <w:sz w:val="18"/>
              </w:rPr>
            </w:pPr>
            <w:r>
              <w:rPr>
                <w:b/>
                <w:sz w:val="18"/>
              </w:rPr>
              <w:t>Capacidad de asociación.</w:t>
            </w:r>
          </w:p>
        </w:tc>
        <w:tc>
          <w:tcPr>
            <w:tcW w:w="1587" w:type="dxa"/>
            <w:shd w:val="clear" w:color="auto" w:fill="D1D3D4"/>
          </w:tcPr>
          <w:p>
            <w:pPr>
              <w:pStyle w:val="TableParagraph"/>
              <w:spacing w:line="249" w:lineRule="auto" w:before="6"/>
              <w:ind w:left="266" w:firstLine="91"/>
              <w:rPr>
                <w:b/>
                <w:sz w:val="18"/>
              </w:rPr>
            </w:pPr>
            <w:r>
              <w:rPr>
                <w:b/>
                <w:sz w:val="18"/>
              </w:rPr>
              <w:t>Restricción competencial.</w:t>
            </w:r>
          </w:p>
        </w:tc>
        <w:tc>
          <w:tcPr>
            <w:tcW w:w="1655" w:type="dxa"/>
            <w:shd w:val="clear" w:color="auto" w:fill="D1D3D4"/>
          </w:tcPr>
          <w:p>
            <w:pPr>
              <w:pStyle w:val="TableParagraph"/>
              <w:spacing w:line="249" w:lineRule="auto" w:before="6"/>
              <w:ind w:left="379" w:firstLine="16"/>
              <w:rPr>
                <w:b/>
                <w:sz w:val="18"/>
              </w:rPr>
            </w:pPr>
            <w:r>
              <w:rPr>
                <w:b/>
                <w:sz w:val="18"/>
              </w:rPr>
              <w:t>Evaluación subsidiaria.</w:t>
            </w:r>
          </w:p>
        </w:tc>
        <w:tc>
          <w:tcPr>
            <w:tcW w:w="1576" w:type="dxa"/>
            <w:shd w:val="clear" w:color="auto" w:fill="D1D3D4"/>
          </w:tcPr>
          <w:p>
            <w:pPr>
              <w:pStyle w:val="TableParagraph"/>
              <w:spacing w:line="249" w:lineRule="auto" w:before="6"/>
              <w:ind w:left="261" w:firstLine="245"/>
              <w:rPr>
                <w:b/>
                <w:sz w:val="18"/>
              </w:rPr>
            </w:pPr>
            <w:r>
              <w:rPr>
                <w:b/>
                <w:sz w:val="18"/>
              </w:rPr>
              <w:t>Avance competencial.</w:t>
            </w:r>
          </w:p>
        </w:tc>
      </w:tr>
      <w:tr>
        <w:trPr>
          <w:trHeight w:val="1919" w:hRule="exact"/>
        </w:trPr>
        <w:tc>
          <w:tcPr>
            <w:tcW w:w="480" w:type="dxa"/>
          </w:tcPr>
          <w:p>
            <w:pPr>
              <w:pStyle w:val="TableParagraph"/>
              <w:spacing w:before="6"/>
              <w:ind w:left="190"/>
              <w:rPr>
                <w:b/>
                <w:sz w:val="18"/>
              </w:rPr>
            </w:pPr>
            <w:r>
              <w:rPr>
                <w:b/>
                <w:sz w:val="18"/>
              </w:rPr>
              <w:t>8</w:t>
            </w:r>
          </w:p>
        </w:tc>
        <w:tc>
          <w:tcPr>
            <w:tcW w:w="1788" w:type="dxa"/>
          </w:tcPr>
          <w:p>
            <w:pPr>
              <w:pStyle w:val="TableParagraph"/>
              <w:spacing w:line="242" w:lineRule="auto"/>
              <w:ind w:left="103" w:right="100"/>
              <w:jc w:val="both"/>
              <w:rPr>
                <w:sz w:val="18"/>
              </w:rPr>
            </w:pPr>
            <w:r>
              <w:rPr>
                <w:sz w:val="18"/>
              </w:rPr>
              <w:t>Los gobiernos estata- les diseñan políticas de vivienda  social que orientan eficien- temente la acción gu- bernamental conjunta y la privada.</w:t>
            </w:r>
          </w:p>
        </w:tc>
        <w:tc>
          <w:tcPr>
            <w:tcW w:w="1587" w:type="dxa"/>
          </w:tcPr>
          <w:p>
            <w:pPr>
              <w:pStyle w:val="TableParagraph"/>
              <w:spacing w:line="242" w:lineRule="auto"/>
              <w:ind w:left="103" w:right="75"/>
              <w:jc w:val="both"/>
              <w:rPr>
                <w:sz w:val="18"/>
              </w:rPr>
            </w:pPr>
            <w:r>
              <w:rPr>
                <w:sz w:val="18"/>
              </w:rPr>
              <w:t>Existencia de con- venios para una política social de suelo y vivienda que oriente eficien- temente la acción gubernam ental conjunta y la pri- vada.</w:t>
            </w:r>
          </w:p>
        </w:tc>
        <w:tc>
          <w:tcPr>
            <w:tcW w:w="1655" w:type="dxa"/>
          </w:tcPr>
          <w:p>
            <w:pPr>
              <w:pStyle w:val="TableParagraph"/>
              <w:spacing w:line="242" w:lineRule="auto"/>
              <w:ind w:left="103" w:right="100"/>
              <w:jc w:val="both"/>
              <w:rPr>
                <w:sz w:val="18"/>
              </w:rPr>
            </w:pPr>
            <w:r>
              <w:rPr>
                <w:sz w:val="18"/>
              </w:rPr>
              <w:t>Evaluación conti- nua e  integral  de  la acción guberna- mental conjunta y</w:t>
            </w:r>
            <w:r>
              <w:rPr>
                <w:spacing w:val="-29"/>
                <w:sz w:val="18"/>
              </w:rPr>
              <w:t> </w:t>
            </w:r>
            <w:r>
              <w:rPr>
                <w:sz w:val="18"/>
              </w:rPr>
              <w:t>la privada en materia de vivienda popular y de</w:t>
            </w:r>
            <w:r>
              <w:rPr>
                <w:spacing w:val="-5"/>
                <w:sz w:val="18"/>
              </w:rPr>
              <w:t> </w:t>
            </w:r>
            <w:r>
              <w:rPr>
                <w:spacing w:val="-7"/>
                <w:sz w:val="18"/>
              </w:rPr>
              <w:t>RTT.</w:t>
            </w:r>
          </w:p>
        </w:tc>
        <w:tc>
          <w:tcPr>
            <w:tcW w:w="1576" w:type="dxa"/>
          </w:tcPr>
          <w:p>
            <w:pPr>
              <w:pStyle w:val="TableParagraph"/>
              <w:spacing w:line="242" w:lineRule="auto" w:before="10"/>
              <w:ind w:left="103" w:right="100"/>
              <w:jc w:val="both"/>
              <w:rPr>
                <w:sz w:val="18"/>
              </w:rPr>
            </w:pPr>
            <w:r>
              <w:rPr>
                <w:sz w:val="18"/>
              </w:rPr>
              <w:t>Política   estatal en: coordinación técnico-social, in- versión social</w:t>
            </w:r>
            <w:r>
              <w:rPr>
                <w:spacing w:val="-22"/>
                <w:sz w:val="18"/>
              </w:rPr>
              <w:t> </w:t>
            </w:r>
            <w:r>
              <w:rPr>
                <w:sz w:val="18"/>
              </w:rPr>
              <w:t>múl- tiple, adquisición de suelo social, es- tímulos privados,</w:t>
            </w:r>
            <w:r>
              <w:rPr>
                <w:spacing w:val="-27"/>
                <w:sz w:val="18"/>
              </w:rPr>
              <w:t> </w:t>
            </w:r>
            <w:r>
              <w:rPr>
                <w:sz w:val="18"/>
              </w:rPr>
              <w:t>y </w:t>
            </w:r>
            <w:r>
              <w:rPr>
                <w:spacing w:val="-11"/>
                <w:sz w:val="18"/>
              </w:rPr>
              <w:t>RTT.</w:t>
            </w:r>
          </w:p>
        </w:tc>
      </w:tr>
      <w:tr>
        <w:trPr>
          <w:trHeight w:val="1709" w:hRule="exact"/>
        </w:trPr>
        <w:tc>
          <w:tcPr>
            <w:tcW w:w="480" w:type="dxa"/>
            <w:shd w:val="clear" w:color="auto" w:fill="D1D3D4"/>
          </w:tcPr>
          <w:p>
            <w:pPr>
              <w:pStyle w:val="TableParagraph"/>
              <w:spacing w:before="7"/>
              <w:ind w:left="190"/>
              <w:rPr>
                <w:b/>
                <w:sz w:val="18"/>
              </w:rPr>
            </w:pPr>
            <w:r>
              <w:rPr>
                <w:b/>
                <w:sz w:val="18"/>
              </w:rPr>
              <w:t>7</w:t>
            </w:r>
          </w:p>
        </w:tc>
        <w:tc>
          <w:tcPr>
            <w:tcW w:w="1788" w:type="dxa"/>
            <w:shd w:val="clear" w:color="auto" w:fill="D1D3D4"/>
          </w:tcPr>
          <w:p>
            <w:pPr>
              <w:pStyle w:val="TableParagraph"/>
              <w:spacing w:line="242" w:lineRule="auto" w:before="10"/>
              <w:ind w:left="103" w:right="100"/>
              <w:jc w:val="both"/>
              <w:rPr>
                <w:sz w:val="18"/>
              </w:rPr>
            </w:pPr>
            <w:r>
              <w:rPr>
                <w:sz w:val="18"/>
              </w:rPr>
              <w:t>Los gobiernos estata- les diseñan políticas de</w:t>
            </w:r>
            <w:r>
              <w:rPr>
                <w:spacing w:val="-12"/>
                <w:sz w:val="18"/>
              </w:rPr>
              <w:t> </w:t>
            </w:r>
            <w:r>
              <w:rPr>
                <w:sz w:val="18"/>
              </w:rPr>
              <w:t>vivienda</w:t>
            </w:r>
            <w:r>
              <w:rPr>
                <w:spacing w:val="-12"/>
                <w:sz w:val="18"/>
              </w:rPr>
              <w:t> </w:t>
            </w:r>
            <w:r>
              <w:rPr>
                <w:sz w:val="18"/>
              </w:rPr>
              <w:t>social</w:t>
            </w:r>
            <w:r>
              <w:rPr>
                <w:spacing w:val="-12"/>
                <w:sz w:val="18"/>
              </w:rPr>
              <w:t> </w:t>
            </w:r>
            <w:r>
              <w:rPr>
                <w:sz w:val="18"/>
              </w:rPr>
              <w:t>que orientan la inversión privada y que resuel- ven la dotación de suelo y</w:t>
            </w:r>
            <w:r>
              <w:rPr>
                <w:spacing w:val="-8"/>
                <w:sz w:val="18"/>
              </w:rPr>
              <w:t> </w:t>
            </w:r>
            <w:r>
              <w:rPr>
                <w:spacing w:val="-7"/>
                <w:sz w:val="18"/>
              </w:rPr>
              <w:t>RTT.</w:t>
            </w:r>
          </w:p>
        </w:tc>
        <w:tc>
          <w:tcPr>
            <w:tcW w:w="1587" w:type="dxa"/>
            <w:shd w:val="clear" w:color="auto" w:fill="D1D3D4"/>
          </w:tcPr>
          <w:p>
            <w:pPr>
              <w:pStyle w:val="TableParagraph"/>
              <w:spacing w:line="242" w:lineRule="auto" w:before="10"/>
              <w:ind w:left="103" w:right="100"/>
              <w:jc w:val="both"/>
              <w:rPr>
                <w:sz w:val="18"/>
              </w:rPr>
            </w:pPr>
            <w:r>
              <w:rPr>
                <w:sz w:val="18"/>
              </w:rPr>
              <w:t>Existencia de con- venios para una política social de suelo y vivienda que oriente</w:t>
            </w:r>
            <w:r>
              <w:rPr>
                <w:spacing w:val="-29"/>
                <w:sz w:val="18"/>
              </w:rPr>
              <w:t> </w:t>
            </w:r>
            <w:r>
              <w:rPr>
                <w:sz w:val="18"/>
              </w:rPr>
              <w:t>eficien- temente la acción privada.</w:t>
            </w:r>
          </w:p>
        </w:tc>
        <w:tc>
          <w:tcPr>
            <w:tcW w:w="1655" w:type="dxa"/>
            <w:shd w:val="clear" w:color="auto" w:fill="D1D3D4"/>
          </w:tcPr>
          <w:p>
            <w:pPr>
              <w:pStyle w:val="TableParagraph"/>
              <w:spacing w:line="242" w:lineRule="auto" w:before="11"/>
              <w:ind w:left="103" w:right="100"/>
              <w:jc w:val="both"/>
              <w:rPr>
                <w:sz w:val="18"/>
              </w:rPr>
            </w:pPr>
            <w:r>
              <w:rPr>
                <w:sz w:val="18"/>
              </w:rPr>
              <w:t>Evaluación conti- nua e integral de la inducción privada de vivienda  social  y las acciones gu- bernamentales en la dotación de suelo y </w:t>
            </w:r>
            <w:r>
              <w:rPr>
                <w:spacing w:val="-11"/>
                <w:sz w:val="18"/>
              </w:rPr>
              <w:t>RTT.</w:t>
            </w:r>
          </w:p>
        </w:tc>
        <w:tc>
          <w:tcPr>
            <w:tcW w:w="1576" w:type="dxa"/>
            <w:shd w:val="clear" w:color="auto" w:fill="D1D3D4"/>
          </w:tcPr>
          <w:p>
            <w:pPr>
              <w:pStyle w:val="TableParagraph"/>
              <w:spacing w:line="242" w:lineRule="auto" w:before="11"/>
              <w:ind w:left="103" w:right="100"/>
              <w:jc w:val="both"/>
              <w:rPr>
                <w:sz w:val="18"/>
              </w:rPr>
            </w:pPr>
            <w:r>
              <w:rPr>
                <w:sz w:val="18"/>
              </w:rPr>
              <w:t>Política estatal en: inversión social múltiple, adquisi- ción de suelo so- cial, estímulos pri- vados, y RTT.</w:t>
            </w:r>
          </w:p>
        </w:tc>
      </w:tr>
      <w:tr>
        <w:trPr>
          <w:trHeight w:val="1709" w:hRule="exact"/>
        </w:trPr>
        <w:tc>
          <w:tcPr>
            <w:tcW w:w="480" w:type="dxa"/>
          </w:tcPr>
          <w:p>
            <w:pPr>
              <w:pStyle w:val="TableParagraph"/>
              <w:ind w:left="190"/>
              <w:rPr>
                <w:b/>
                <w:sz w:val="18"/>
              </w:rPr>
            </w:pPr>
            <w:r>
              <w:rPr>
                <w:b/>
                <w:sz w:val="18"/>
              </w:rPr>
              <w:t>6</w:t>
            </w:r>
          </w:p>
        </w:tc>
        <w:tc>
          <w:tcPr>
            <w:tcW w:w="1788" w:type="dxa"/>
          </w:tcPr>
          <w:p>
            <w:pPr>
              <w:pStyle w:val="TableParagraph"/>
              <w:spacing w:line="242" w:lineRule="auto" w:before="12"/>
              <w:ind w:left="103" w:right="100"/>
              <w:jc w:val="both"/>
              <w:rPr>
                <w:sz w:val="18"/>
              </w:rPr>
            </w:pPr>
            <w:r>
              <w:rPr>
                <w:sz w:val="18"/>
              </w:rPr>
              <w:t>Los gobiernos esta- tales complementan los programas fede- rales de subsidio a la vivienda con inver- siones privadas y con programas de suelo.</w:t>
            </w:r>
          </w:p>
        </w:tc>
        <w:tc>
          <w:tcPr>
            <w:tcW w:w="1587" w:type="dxa"/>
          </w:tcPr>
          <w:p>
            <w:pPr>
              <w:pStyle w:val="TableParagraph"/>
              <w:spacing w:line="242" w:lineRule="auto" w:before="12"/>
              <w:ind w:left="103" w:right="100"/>
              <w:jc w:val="both"/>
              <w:rPr>
                <w:sz w:val="18"/>
              </w:rPr>
            </w:pPr>
            <w:r>
              <w:rPr>
                <w:sz w:val="18"/>
              </w:rPr>
              <w:t>Existencia de con- venios para com- plementar los pro- gramas federales de vivienda social con inversiones privadas y progra- mas de suelo.</w:t>
            </w:r>
          </w:p>
        </w:tc>
        <w:tc>
          <w:tcPr>
            <w:tcW w:w="1655" w:type="dxa"/>
          </w:tcPr>
          <w:p>
            <w:pPr>
              <w:pStyle w:val="TableParagraph"/>
              <w:spacing w:line="242" w:lineRule="auto" w:before="12"/>
              <w:ind w:left="103" w:right="100"/>
              <w:jc w:val="both"/>
              <w:rPr>
                <w:sz w:val="18"/>
              </w:rPr>
            </w:pPr>
            <w:r>
              <w:rPr>
                <w:sz w:val="18"/>
              </w:rPr>
              <w:t>Evaluación conti- nua e integral del complemento en</w:t>
            </w:r>
            <w:r>
              <w:rPr>
                <w:spacing w:val="-13"/>
                <w:sz w:val="18"/>
              </w:rPr>
              <w:t> </w:t>
            </w:r>
            <w:r>
              <w:rPr>
                <w:sz w:val="18"/>
              </w:rPr>
              <w:t>los programas</w:t>
            </w:r>
            <w:r>
              <w:rPr>
                <w:spacing w:val="-16"/>
                <w:sz w:val="18"/>
              </w:rPr>
              <w:t> </w:t>
            </w:r>
            <w:r>
              <w:rPr>
                <w:sz w:val="18"/>
              </w:rPr>
              <w:t>federales de subsidio a la vi- vienda con</w:t>
            </w:r>
            <w:r>
              <w:rPr>
                <w:spacing w:val="-33"/>
                <w:sz w:val="18"/>
              </w:rPr>
              <w:t> </w:t>
            </w:r>
            <w:r>
              <w:rPr>
                <w:sz w:val="18"/>
              </w:rPr>
              <w:t>inversio- nes privadas y con programas de</w:t>
            </w:r>
            <w:r>
              <w:rPr>
                <w:spacing w:val="-19"/>
                <w:sz w:val="18"/>
              </w:rPr>
              <w:t> </w:t>
            </w:r>
            <w:r>
              <w:rPr>
                <w:sz w:val="18"/>
              </w:rPr>
              <w:t>suelo.</w:t>
            </w:r>
          </w:p>
        </w:tc>
        <w:tc>
          <w:tcPr>
            <w:tcW w:w="1576" w:type="dxa"/>
          </w:tcPr>
          <w:p>
            <w:pPr>
              <w:pStyle w:val="TableParagraph"/>
              <w:spacing w:line="242" w:lineRule="auto" w:before="13"/>
              <w:ind w:left="103" w:right="100"/>
              <w:jc w:val="both"/>
              <w:rPr>
                <w:sz w:val="18"/>
              </w:rPr>
            </w:pPr>
            <w:r>
              <w:rPr>
                <w:sz w:val="18"/>
              </w:rPr>
              <w:t>Política estatal en: adquisición de</w:t>
            </w:r>
            <w:r>
              <w:rPr>
                <w:spacing w:val="-31"/>
                <w:sz w:val="18"/>
              </w:rPr>
              <w:t> </w:t>
            </w:r>
            <w:r>
              <w:rPr>
                <w:sz w:val="18"/>
              </w:rPr>
              <w:t>sue- lo social,</w:t>
            </w:r>
            <w:r>
              <w:rPr>
                <w:spacing w:val="-27"/>
                <w:sz w:val="18"/>
              </w:rPr>
              <w:t> </w:t>
            </w:r>
            <w:r>
              <w:rPr>
                <w:sz w:val="18"/>
              </w:rPr>
              <w:t>estímulos privados, y</w:t>
            </w:r>
            <w:r>
              <w:rPr>
                <w:spacing w:val="-12"/>
                <w:sz w:val="18"/>
              </w:rPr>
              <w:t> </w:t>
            </w:r>
            <w:r>
              <w:rPr>
                <w:spacing w:val="-7"/>
                <w:sz w:val="18"/>
              </w:rPr>
              <w:t>RTT.</w:t>
            </w:r>
          </w:p>
        </w:tc>
      </w:tr>
      <w:tr>
        <w:trPr>
          <w:trHeight w:val="1919" w:hRule="exact"/>
        </w:trPr>
        <w:tc>
          <w:tcPr>
            <w:tcW w:w="480" w:type="dxa"/>
            <w:shd w:val="clear" w:color="auto" w:fill="D1D3D4"/>
          </w:tcPr>
          <w:p>
            <w:pPr>
              <w:pStyle w:val="TableParagraph"/>
              <w:spacing w:before="10"/>
              <w:ind w:left="190"/>
              <w:rPr>
                <w:b/>
                <w:sz w:val="18"/>
              </w:rPr>
            </w:pPr>
            <w:r>
              <w:rPr>
                <w:b/>
                <w:sz w:val="18"/>
              </w:rPr>
              <w:t>5</w:t>
            </w:r>
          </w:p>
        </w:tc>
        <w:tc>
          <w:tcPr>
            <w:tcW w:w="1788" w:type="dxa"/>
            <w:shd w:val="clear" w:color="auto" w:fill="D1D3D4"/>
          </w:tcPr>
          <w:p>
            <w:pPr>
              <w:pStyle w:val="TableParagraph"/>
              <w:spacing w:line="242" w:lineRule="auto" w:before="13"/>
              <w:ind w:left="103" w:right="100"/>
              <w:jc w:val="both"/>
              <w:rPr>
                <w:sz w:val="18"/>
              </w:rPr>
            </w:pPr>
            <w:r>
              <w:rPr>
                <w:sz w:val="18"/>
              </w:rPr>
              <w:t>Los gobiernos estata- les complementan los programas federales de subsidio a la vi- vienda con inversio- nes privadas, sin</w:t>
            </w:r>
            <w:r>
              <w:rPr>
                <w:spacing w:val="-31"/>
                <w:sz w:val="18"/>
              </w:rPr>
              <w:t> </w:t>
            </w:r>
            <w:r>
              <w:rPr>
                <w:sz w:val="18"/>
              </w:rPr>
              <w:t>solu- ciones de</w:t>
            </w:r>
            <w:r>
              <w:rPr>
                <w:spacing w:val="-16"/>
                <w:sz w:val="18"/>
              </w:rPr>
              <w:t> </w:t>
            </w:r>
            <w:r>
              <w:rPr>
                <w:sz w:val="18"/>
              </w:rPr>
              <w:t>suelo.</w:t>
            </w:r>
          </w:p>
        </w:tc>
        <w:tc>
          <w:tcPr>
            <w:tcW w:w="1587" w:type="dxa"/>
            <w:shd w:val="clear" w:color="auto" w:fill="D1D3D4"/>
          </w:tcPr>
          <w:p>
            <w:pPr>
              <w:pStyle w:val="TableParagraph"/>
              <w:spacing w:line="242" w:lineRule="auto" w:before="13"/>
              <w:ind w:left="103" w:right="100"/>
              <w:jc w:val="both"/>
              <w:rPr>
                <w:sz w:val="18"/>
              </w:rPr>
            </w:pPr>
            <w:r>
              <w:rPr>
                <w:sz w:val="18"/>
              </w:rPr>
              <w:t>Existencia de con- venios para com- plementar los pro- gramas federales de subsidio a la vivienda con in- versiones</w:t>
            </w:r>
            <w:r>
              <w:rPr>
                <w:spacing w:val="-10"/>
                <w:sz w:val="18"/>
              </w:rPr>
              <w:t> </w:t>
            </w:r>
            <w:r>
              <w:rPr>
                <w:sz w:val="18"/>
              </w:rPr>
              <w:t>privadas, sin soluciones de suelo.</w:t>
            </w:r>
          </w:p>
        </w:tc>
        <w:tc>
          <w:tcPr>
            <w:tcW w:w="1655" w:type="dxa"/>
            <w:shd w:val="clear" w:color="auto" w:fill="D1D3D4"/>
          </w:tcPr>
          <w:p>
            <w:pPr>
              <w:pStyle w:val="TableParagraph"/>
              <w:spacing w:line="242" w:lineRule="auto" w:before="14"/>
              <w:ind w:left="103" w:right="100"/>
              <w:jc w:val="both"/>
              <w:rPr>
                <w:sz w:val="18"/>
              </w:rPr>
            </w:pPr>
            <w:r>
              <w:rPr>
                <w:sz w:val="18"/>
              </w:rPr>
              <w:t>Evaluación conti- nua e integral del complemento en</w:t>
            </w:r>
            <w:r>
              <w:rPr>
                <w:spacing w:val="-13"/>
                <w:sz w:val="18"/>
              </w:rPr>
              <w:t> </w:t>
            </w:r>
            <w:r>
              <w:rPr>
                <w:sz w:val="18"/>
              </w:rPr>
              <w:t>los programas federa- les de subsidio a la vivienda con inver- siones privadas, sin soluciones de</w:t>
            </w:r>
            <w:r>
              <w:rPr>
                <w:spacing w:val="-20"/>
                <w:sz w:val="18"/>
              </w:rPr>
              <w:t> </w:t>
            </w:r>
            <w:r>
              <w:rPr>
                <w:sz w:val="18"/>
              </w:rPr>
              <w:t>suelo.</w:t>
            </w:r>
          </w:p>
        </w:tc>
        <w:tc>
          <w:tcPr>
            <w:tcW w:w="1576" w:type="dxa"/>
            <w:shd w:val="clear" w:color="auto" w:fill="D1D3D4"/>
          </w:tcPr>
          <w:p>
            <w:pPr>
              <w:pStyle w:val="TableParagraph"/>
              <w:spacing w:line="242" w:lineRule="auto" w:before="14"/>
              <w:ind w:left="103" w:right="101"/>
              <w:jc w:val="both"/>
              <w:rPr>
                <w:sz w:val="18"/>
              </w:rPr>
            </w:pPr>
            <w:r>
              <w:rPr>
                <w:sz w:val="18"/>
              </w:rPr>
              <w:t>Política estatal en: estímulos privados y RTT.</w:t>
            </w:r>
          </w:p>
        </w:tc>
      </w:tr>
      <w:tr>
        <w:trPr>
          <w:trHeight w:val="1709" w:hRule="exact"/>
        </w:trPr>
        <w:tc>
          <w:tcPr>
            <w:tcW w:w="480" w:type="dxa"/>
          </w:tcPr>
          <w:p>
            <w:pPr>
              <w:pStyle w:val="TableParagraph"/>
              <w:spacing w:before="11"/>
              <w:ind w:left="190"/>
              <w:rPr>
                <w:b/>
                <w:sz w:val="18"/>
              </w:rPr>
            </w:pPr>
            <w:r>
              <w:rPr>
                <w:b/>
                <w:sz w:val="18"/>
              </w:rPr>
              <w:t>4</w:t>
            </w:r>
          </w:p>
        </w:tc>
        <w:tc>
          <w:tcPr>
            <w:tcW w:w="1788" w:type="dxa"/>
          </w:tcPr>
          <w:p>
            <w:pPr>
              <w:pStyle w:val="TableParagraph"/>
              <w:spacing w:line="242" w:lineRule="auto" w:before="14"/>
              <w:ind w:left="103" w:right="100"/>
              <w:jc w:val="both"/>
              <w:rPr>
                <w:sz w:val="18"/>
              </w:rPr>
            </w:pPr>
            <w:r>
              <w:rPr>
                <w:sz w:val="18"/>
              </w:rPr>
              <w:t>Los gobiernos estata- les implementan pro- gramas</w:t>
            </w:r>
            <w:r>
              <w:rPr>
                <w:spacing w:val="-24"/>
                <w:sz w:val="18"/>
              </w:rPr>
              <w:t> </w:t>
            </w:r>
            <w:r>
              <w:rPr>
                <w:sz w:val="18"/>
              </w:rPr>
              <w:t>habitacionales de diseño estatal en</w:t>
            </w:r>
            <w:r>
              <w:rPr>
                <w:spacing w:val="-11"/>
                <w:sz w:val="18"/>
              </w:rPr>
              <w:t> </w:t>
            </w:r>
            <w:r>
              <w:rPr>
                <w:sz w:val="18"/>
              </w:rPr>
              <w:t>la concurrencia estado- municipios.</w:t>
            </w:r>
          </w:p>
        </w:tc>
        <w:tc>
          <w:tcPr>
            <w:tcW w:w="1587" w:type="dxa"/>
          </w:tcPr>
          <w:p>
            <w:pPr>
              <w:pStyle w:val="TableParagraph"/>
              <w:spacing w:line="242" w:lineRule="auto" w:before="14"/>
              <w:ind w:left="103" w:right="100"/>
              <w:jc w:val="both"/>
              <w:rPr>
                <w:sz w:val="18"/>
              </w:rPr>
            </w:pPr>
            <w:r>
              <w:rPr>
                <w:sz w:val="18"/>
              </w:rPr>
              <w:t>Existencia de le- gislación estatal para el ejercicio de facultades urbanas concurrentes, y para acciones</w:t>
            </w:r>
            <w:r>
              <w:rPr>
                <w:spacing w:val="-30"/>
                <w:sz w:val="18"/>
              </w:rPr>
              <w:t> </w:t>
            </w:r>
            <w:r>
              <w:rPr>
                <w:sz w:val="18"/>
              </w:rPr>
              <w:t>coor- dinadas de suelo y vivienda.</w:t>
            </w:r>
          </w:p>
        </w:tc>
        <w:tc>
          <w:tcPr>
            <w:tcW w:w="1655" w:type="dxa"/>
          </w:tcPr>
          <w:p>
            <w:pPr>
              <w:pStyle w:val="TableParagraph"/>
              <w:spacing w:line="242" w:lineRule="auto" w:before="15"/>
              <w:ind w:left="103" w:right="100"/>
              <w:jc w:val="both"/>
              <w:rPr>
                <w:sz w:val="18"/>
              </w:rPr>
            </w:pPr>
            <w:r>
              <w:rPr>
                <w:sz w:val="18"/>
              </w:rPr>
              <w:t>Evaluación conti- nua</w:t>
            </w:r>
            <w:r>
              <w:rPr>
                <w:spacing w:val="-13"/>
                <w:sz w:val="18"/>
              </w:rPr>
              <w:t> </w:t>
            </w:r>
            <w:r>
              <w:rPr>
                <w:sz w:val="18"/>
              </w:rPr>
              <w:t>de</w:t>
            </w:r>
            <w:r>
              <w:rPr>
                <w:spacing w:val="-13"/>
                <w:sz w:val="18"/>
              </w:rPr>
              <w:t> </w:t>
            </w:r>
            <w:r>
              <w:rPr>
                <w:sz w:val="18"/>
              </w:rPr>
              <w:t>la</w:t>
            </w:r>
            <w:r>
              <w:rPr>
                <w:spacing w:val="-13"/>
                <w:sz w:val="18"/>
              </w:rPr>
              <w:t> </w:t>
            </w:r>
            <w:r>
              <w:rPr>
                <w:sz w:val="18"/>
              </w:rPr>
              <w:t>implemen- tación de</w:t>
            </w:r>
            <w:r>
              <w:rPr>
                <w:spacing w:val="-22"/>
                <w:sz w:val="18"/>
              </w:rPr>
              <w:t> </w:t>
            </w:r>
            <w:r>
              <w:rPr>
                <w:sz w:val="18"/>
              </w:rPr>
              <w:t>programas habitacionales de diseño estatal en la concurrencia esta- do-municipios.</w:t>
            </w:r>
          </w:p>
        </w:tc>
        <w:tc>
          <w:tcPr>
            <w:tcW w:w="1576" w:type="dxa"/>
          </w:tcPr>
          <w:p>
            <w:pPr>
              <w:pStyle w:val="TableParagraph"/>
              <w:spacing w:line="242" w:lineRule="auto" w:before="15"/>
              <w:ind w:left="103" w:right="97"/>
              <w:jc w:val="both"/>
              <w:rPr>
                <w:sz w:val="18"/>
              </w:rPr>
            </w:pPr>
            <w:r>
              <w:rPr>
                <w:sz w:val="18"/>
              </w:rPr>
              <w:t>Acciones estatales preferentes para la concurrencia urba- no-administrativa, con acciones coor- dinadas de suelo y vivienda.</w:t>
            </w:r>
          </w:p>
        </w:tc>
      </w:tr>
    </w:tbl>
    <w:p>
      <w:pPr>
        <w:spacing w:after="0" w:line="242" w:lineRule="auto"/>
        <w:jc w:val="both"/>
        <w:rPr>
          <w:sz w:val="18"/>
        </w:rPr>
        <w:sectPr>
          <w:headerReference w:type="default" r:id="rId236"/>
          <w:headerReference w:type="even" r:id="rId237"/>
          <w:pgSz w:w="9360" w:h="13040"/>
          <w:pgMar w:header="534" w:footer="515" w:top="720" w:bottom="700" w:left="740" w:right="1300"/>
        </w:sectPr>
      </w:pPr>
    </w:p>
    <w:p>
      <w:pPr>
        <w:pStyle w:val="BodyText"/>
        <w:rPr>
          <w:b/>
          <w:i/>
          <w:sz w:val="20"/>
        </w:rPr>
      </w:pPr>
    </w:p>
    <w:p>
      <w:pPr>
        <w:pStyle w:val="BodyText"/>
        <w:spacing w:before="10"/>
        <w:rPr>
          <w:b/>
          <w:i/>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788"/>
        <w:gridCol w:w="1587"/>
        <w:gridCol w:w="1655"/>
        <w:gridCol w:w="1576"/>
      </w:tblGrid>
      <w:tr>
        <w:trPr>
          <w:trHeight w:val="1535" w:hRule="exact"/>
        </w:trPr>
        <w:tc>
          <w:tcPr>
            <w:tcW w:w="480" w:type="dxa"/>
            <w:shd w:val="clear" w:color="auto" w:fill="D1D3D4"/>
          </w:tcPr>
          <w:p>
            <w:pPr>
              <w:pStyle w:val="TableParagraph"/>
              <w:spacing w:before="6"/>
              <w:ind w:left="190"/>
              <w:rPr>
                <w:b/>
                <w:sz w:val="18"/>
              </w:rPr>
            </w:pPr>
            <w:r>
              <w:rPr>
                <w:b/>
                <w:sz w:val="18"/>
              </w:rPr>
              <w:t>3</w:t>
            </w:r>
          </w:p>
        </w:tc>
        <w:tc>
          <w:tcPr>
            <w:tcW w:w="1788" w:type="dxa"/>
            <w:shd w:val="clear" w:color="auto" w:fill="D1D3D4"/>
          </w:tcPr>
          <w:p>
            <w:pPr>
              <w:pStyle w:val="TableParagraph"/>
              <w:spacing w:line="249" w:lineRule="auto" w:before="8"/>
              <w:ind w:left="102" w:right="100"/>
              <w:jc w:val="both"/>
              <w:rPr>
                <w:sz w:val="18"/>
              </w:rPr>
            </w:pPr>
            <w:r>
              <w:rPr>
                <w:sz w:val="18"/>
              </w:rPr>
              <w:t>Los gobiernos estata- les implementan pro- gramas de RTT en la concurrencia federa- ción-estado.</w:t>
            </w:r>
          </w:p>
        </w:tc>
        <w:tc>
          <w:tcPr>
            <w:tcW w:w="1587" w:type="dxa"/>
            <w:shd w:val="clear" w:color="auto" w:fill="D1D3D4"/>
          </w:tcPr>
          <w:p>
            <w:pPr>
              <w:pStyle w:val="TableParagraph"/>
              <w:spacing w:line="249" w:lineRule="auto" w:before="8"/>
              <w:ind w:left="102" w:right="100"/>
              <w:jc w:val="both"/>
              <w:rPr>
                <w:sz w:val="18"/>
              </w:rPr>
            </w:pPr>
            <w:r>
              <w:rPr>
                <w:sz w:val="18"/>
              </w:rPr>
              <w:t>Existencia de le- gislación estatal para el ejercicio de facultades urbanas concurrentes, y para acciones</w:t>
            </w:r>
            <w:r>
              <w:rPr>
                <w:spacing w:val="-30"/>
                <w:sz w:val="18"/>
              </w:rPr>
              <w:t> </w:t>
            </w:r>
            <w:r>
              <w:rPr>
                <w:sz w:val="18"/>
              </w:rPr>
              <w:t>coor- dinadas de</w:t>
            </w:r>
            <w:r>
              <w:rPr>
                <w:spacing w:val="-11"/>
                <w:sz w:val="18"/>
              </w:rPr>
              <w:t> </w:t>
            </w:r>
            <w:r>
              <w:rPr>
                <w:spacing w:val="-7"/>
                <w:sz w:val="18"/>
              </w:rPr>
              <w:t>RTT.</w:t>
            </w:r>
          </w:p>
        </w:tc>
        <w:tc>
          <w:tcPr>
            <w:tcW w:w="1655" w:type="dxa"/>
            <w:shd w:val="clear" w:color="auto" w:fill="D1D3D4"/>
          </w:tcPr>
          <w:p>
            <w:pPr>
              <w:pStyle w:val="TableParagraph"/>
              <w:spacing w:line="249" w:lineRule="auto" w:before="8"/>
              <w:ind w:left="103" w:right="100"/>
              <w:jc w:val="both"/>
              <w:rPr>
                <w:sz w:val="18"/>
              </w:rPr>
            </w:pPr>
            <w:r>
              <w:rPr>
                <w:sz w:val="18"/>
              </w:rPr>
              <w:t>Evaluación conti- nua</w:t>
            </w:r>
            <w:r>
              <w:rPr>
                <w:spacing w:val="-13"/>
                <w:sz w:val="18"/>
              </w:rPr>
              <w:t> </w:t>
            </w:r>
            <w:r>
              <w:rPr>
                <w:sz w:val="18"/>
              </w:rPr>
              <w:t>de</w:t>
            </w:r>
            <w:r>
              <w:rPr>
                <w:spacing w:val="-13"/>
                <w:sz w:val="18"/>
              </w:rPr>
              <w:t> </w:t>
            </w:r>
            <w:r>
              <w:rPr>
                <w:sz w:val="18"/>
              </w:rPr>
              <w:t>la</w:t>
            </w:r>
            <w:r>
              <w:rPr>
                <w:spacing w:val="-13"/>
                <w:sz w:val="18"/>
              </w:rPr>
              <w:t> </w:t>
            </w:r>
            <w:r>
              <w:rPr>
                <w:sz w:val="18"/>
              </w:rPr>
              <w:t>implemen- tación de</w:t>
            </w:r>
            <w:r>
              <w:rPr>
                <w:spacing w:val="-22"/>
                <w:sz w:val="18"/>
              </w:rPr>
              <w:t> </w:t>
            </w:r>
            <w:r>
              <w:rPr>
                <w:sz w:val="18"/>
              </w:rPr>
              <w:t>programas de </w:t>
            </w:r>
            <w:r>
              <w:rPr>
                <w:spacing w:val="-5"/>
                <w:sz w:val="18"/>
              </w:rPr>
              <w:t>RTT </w:t>
            </w:r>
            <w:r>
              <w:rPr>
                <w:sz w:val="18"/>
              </w:rPr>
              <w:t>en la</w:t>
            </w:r>
            <w:r>
              <w:rPr>
                <w:spacing w:val="-24"/>
                <w:sz w:val="18"/>
              </w:rPr>
              <w:t> </w:t>
            </w:r>
            <w:r>
              <w:rPr>
                <w:sz w:val="18"/>
              </w:rPr>
              <w:t>concu- rrencia federación- estados.</w:t>
            </w:r>
          </w:p>
        </w:tc>
        <w:tc>
          <w:tcPr>
            <w:tcW w:w="1576" w:type="dxa"/>
            <w:shd w:val="clear" w:color="auto" w:fill="D1D3D4"/>
          </w:tcPr>
          <w:p>
            <w:pPr>
              <w:pStyle w:val="TableParagraph"/>
              <w:spacing w:line="249" w:lineRule="auto" w:before="8"/>
              <w:ind w:left="103" w:right="97"/>
              <w:jc w:val="both"/>
              <w:rPr>
                <w:sz w:val="18"/>
              </w:rPr>
            </w:pPr>
            <w:r>
              <w:rPr>
                <w:sz w:val="18"/>
              </w:rPr>
              <w:t>Acciones estatales preferentes para la concurrencia urba- no-administrativa, con acciones coor- dinadas de RTT.</w:t>
            </w:r>
          </w:p>
        </w:tc>
      </w:tr>
      <w:tr>
        <w:trPr>
          <w:trHeight w:val="1535" w:hRule="exact"/>
        </w:trPr>
        <w:tc>
          <w:tcPr>
            <w:tcW w:w="480" w:type="dxa"/>
          </w:tcPr>
          <w:p>
            <w:pPr>
              <w:pStyle w:val="TableParagraph"/>
              <w:spacing w:before="6"/>
              <w:ind w:left="189"/>
              <w:rPr>
                <w:b/>
                <w:sz w:val="18"/>
              </w:rPr>
            </w:pPr>
            <w:r>
              <w:rPr>
                <w:b/>
                <w:sz w:val="18"/>
              </w:rPr>
              <w:t>2</w:t>
            </w:r>
          </w:p>
        </w:tc>
        <w:tc>
          <w:tcPr>
            <w:tcW w:w="1788" w:type="dxa"/>
          </w:tcPr>
          <w:p>
            <w:pPr>
              <w:pStyle w:val="TableParagraph"/>
              <w:spacing w:line="249" w:lineRule="auto" w:before="8"/>
              <w:ind w:left="102" w:right="100"/>
              <w:jc w:val="both"/>
              <w:rPr>
                <w:sz w:val="18"/>
              </w:rPr>
            </w:pPr>
            <w:r>
              <w:rPr>
                <w:sz w:val="18"/>
              </w:rPr>
              <w:t>Los gobiernos muni- cipales implementan programas de RTT en la concurrencia fede- ración-municipios.</w:t>
            </w:r>
          </w:p>
        </w:tc>
        <w:tc>
          <w:tcPr>
            <w:tcW w:w="1587" w:type="dxa"/>
          </w:tcPr>
          <w:p>
            <w:pPr>
              <w:pStyle w:val="TableParagraph"/>
              <w:spacing w:line="249" w:lineRule="auto" w:before="8"/>
              <w:ind w:left="102" w:right="100"/>
              <w:jc w:val="both"/>
              <w:rPr>
                <w:sz w:val="18"/>
              </w:rPr>
            </w:pPr>
            <w:r>
              <w:rPr>
                <w:sz w:val="18"/>
              </w:rPr>
              <w:t>Existencia de le- gislación estatal para el ejercicio de facultades urbanas concurrentes, sin acciones de suelo</w:t>
            </w:r>
            <w:r>
              <w:rPr>
                <w:spacing w:val="-26"/>
                <w:sz w:val="18"/>
              </w:rPr>
              <w:t> </w:t>
            </w:r>
            <w:r>
              <w:rPr>
                <w:sz w:val="18"/>
              </w:rPr>
              <w:t>o vivienda.</w:t>
            </w:r>
          </w:p>
        </w:tc>
        <w:tc>
          <w:tcPr>
            <w:tcW w:w="1655" w:type="dxa"/>
          </w:tcPr>
          <w:p>
            <w:pPr>
              <w:pStyle w:val="TableParagraph"/>
              <w:spacing w:line="249" w:lineRule="auto" w:before="8"/>
              <w:ind w:left="103" w:right="100"/>
              <w:jc w:val="both"/>
              <w:rPr>
                <w:sz w:val="18"/>
              </w:rPr>
            </w:pPr>
            <w:r>
              <w:rPr>
                <w:sz w:val="18"/>
              </w:rPr>
              <w:t>Evaluación conti- nua</w:t>
            </w:r>
            <w:r>
              <w:rPr>
                <w:spacing w:val="-13"/>
                <w:sz w:val="18"/>
              </w:rPr>
              <w:t> </w:t>
            </w:r>
            <w:r>
              <w:rPr>
                <w:sz w:val="18"/>
              </w:rPr>
              <w:t>de</w:t>
            </w:r>
            <w:r>
              <w:rPr>
                <w:spacing w:val="-13"/>
                <w:sz w:val="18"/>
              </w:rPr>
              <w:t> </w:t>
            </w:r>
            <w:r>
              <w:rPr>
                <w:sz w:val="18"/>
              </w:rPr>
              <w:t>la</w:t>
            </w:r>
            <w:r>
              <w:rPr>
                <w:spacing w:val="-13"/>
                <w:sz w:val="18"/>
              </w:rPr>
              <w:t> </w:t>
            </w:r>
            <w:r>
              <w:rPr>
                <w:sz w:val="18"/>
              </w:rPr>
              <w:t>implemen- tación de</w:t>
            </w:r>
            <w:r>
              <w:rPr>
                <w:spacing w:val="-22"/>
                <w:sz w:val="18"/>
              </w:rPr>
              <w:t> </w:t>
            </w:r>
            <w:r>
              <w:rPr>
                <w:sz w:val="18"/>
              </w:rPr>
              <w:t>programas de </w:t>
            </w:r>
            <w:r>
              <w:rPr>
                <w:spacing w:val="-5"/>
                <w:sz w:val="18"/>
              </w:rPr>
              <w:t>RTT </w:t>
            </w:r>
            <w:r>
              <w:rPr>
                <w:sz w:val="18"/>
              </w:rPr>
              <w:t>en la</w:t>
            </w:r>
            <w:r>
              <w:rPr>
                <w:spacing w:val="-24"/>
                <w:sz w:val="18"/>
              </w:rPr>
              <w:t> </w:t>
            </w:r>
            <w:r>
              <w:rPr>
                <w:sz w:val="18"/>
              </w:rPr>
              <w:t>concu- rrencia federación- municipios.</w:t>
            </w:r>
          </w:p>
        </w:tc>
        <w:tc>
          <w:tcPr>
            <w:tcW w:w="1576" w:type="dxa"/>
          </w:tcPr>
          <w:p>
            <w:pPr>
              <w:pStyle w:val="TableParagraph"/>
              <w:spacing w:line="249" w:lineRule="auto" w:before="8"/>
              <w:ind w:left="103" w:right="97"/>
              <w:jc w:val="both"/>
              <w:rPr>
                <w:sz w:val="18"/>
              </w:rPr>
            </w:pPr>
            <w:r>
              <w:rPr>
                <w:sz w:val="18"/>
              </w:rPr>
              <w:t>Acciones estatales preferentes para la concurrencia urba- no-administrativa, sin acciones de suelo o vivienda.</w:t>
            </w:r>
          </w:p>
        </w:tc>
      </w:tr>
      <w:tr>
        <w:trPr>
          <w:trHeight w:val="1535" w:hRule="exact"/>
        </w:trPr>
        <w:tc>
          <w:tcPr>
            <w:tcW w:w="480" w:type="dxa"/>
            <w:shd w:val="clear" w:color="auto" w:fill="D1D3D4"/>
          </w:tcPr>
          <w:p>
            <w:pPr>
              <w:pStyle w:val="TableParagraph"/>
              <w:spacing w:before="6"/>
              <w:ind w:left="189"/>
              <w:rPr>
                <w:b/>
                <w:sz w:val="18"/>
              </w:rPr>
            </w:pPr>
            <w:r>
              <w:rPr>
                <w:b/>
                <w:sz w:val="18"/>
              </w:rPr>
              <w:t>1</w:t>
            </w:r>
          </w:p>
        </w:tc>
        <w:tc>
          <w:tcPr>
            <w:tcW w:w="1788" w:type="dxa"/>
            <w:shd w:val="clear" w:color="auto" w:fill="D1D3D4"/>
          </w:tcPr>
          <w:p>
            <w:pPr>
              <w:pStyle w:val="TableParagraph"/>
              <w:spacing w:line="249" w:lineRule="auto"/>
              <w:ind w:left="102" w:right="101"/>
              <w:jc w:val="both"/>
              <w:rPr>
                <w:sz w:val="18"/>
              </w:rPr>
            </w:pPr>
            <w:r>
              <w:rPr>
                <w:sz w:val="18"/>
              </w:rPr>
              <w:t>Los gobiernos esta- tales implementan exclusivamente los programas federales descentralizados de subsidio</w:t>
            </w:r>
            <w:r>
              <w:rPr>
                <w:spacing w:val="-14"/>
                <w:sz w:val="18"/>
              </w:rPr>
              <w:t> </w:t>
            </w:r>
            <w:r>
              <w:rPr>
                <w:sz w:val="18"/>
              </w:rPr>
              <w:t>a</w:t>
            </w:r>
            <w:r>
              <w:rPr>
                <w:spacing w:val="-14"/>
                <w:sz w:val="18"/>
              </w:rPr>
              <w:t> </w:t>
            </w:r>
            <w:r>
              <w:rPr>
                <w:sz w:val="18"/>
              </w:rPr>
              <w:t>la</w:t>
            </w:r>
            <w:r>
              <w:rPr>
                <w:spacing w:val="-14"/>
                <w:sz w:val="18"/>
              </w:rPr>
              <w:t> </w:t>
            </w:r>
            <w:r>
              <w:rPr>
                <w:sz w:val="18"/>
              </w:rPr>
              <w:t>vivienda.</w:t>
            </w:r>
          </w:p>
        </w:tc>
        <w:tc>
          <w:tcPr>
            <w:tcW w:w="1587" w:type="dxa"/>
            <w:shd w:val="clear" w:color="auto" w:fill="D1D3D4"/>
          </w:tcPr>
          <w:p>
            <w:pPr>
              <w:pStyle w:val="TableParagraph"/>
              <w:spacing w:line="249" w:lineRule="auto"/>
              <w:ind w:left="102" w:right="100"/>
              <w:jc w:val="both"/>
              <w:rPr>
                <w:sz w:val="18"/>
              </w:rPr>
            </w:pPr>
            <w:r>
              <w:rPr>
                <w:sz w:val="18"/>
              </w:rPr>
              <w:t>Existencia de le- gislación estatal para el ejercicio de facultades urbanas municipales, sin política propia de suelo o vivienda.</w:t>
            </w:r>
          </w:p>
        </w:tc>
        <w:tc>
          <w:tcPr>
            <w:tcW w:w="1655" w:type="dxa"/>
            <w:shd w:val="clear" w:color="auto" w:fill="D1D3D4"/>
          </w:tcPr>
          <w:p>
            <w:pPr>
              <w:pStyle w:val="TableParagraph"/>
              <w:spacing w:line="249" w:lineRule="auto"/>
              <w:ind w:left="103" w:right="84"/>
              <w:jc w:val="both"/>
              <w:rPr>
                <w:sz w:val="18"/>
              </w:rPr>
            </w:pPr>
            <w:r>
              <w:rPr>
                <w:sz w:val="18"/>
              </w:rPr>
              <w:t>Evaluación conti- nua</w:t>
            </w:r>
            <w:r>
              <w:rPr>
                <w:spacing w:val="-13"/>
                <w:sz w:val="18"/>
              </w:rPr>
              <w:t> </w:t>
            </w:r>
            <w:r>
              <w:rPr>
                <w:sz w:val="18"/>
              </w:rPr>
              <w:t>de</w:t>
            </w:r>
            <w:r>
              <w:rPr>
                <w:spacing w:val="-13"/>
                <w:sz w:val="18"/>
              </w:rPr>
              <w:t> </w:t>
            </w:r>
            <w:r>
              <w:rPr>
                <w:sz w:val="18"/>
              </w:rPr>
              <w:t>la</w:t>
            </w:r>
            <w:r>
              <w:rPr>
                <w:spacing w:val="-13"/>
                <w:sz w:val="18"/>
              </w:rPr>
              <w:t> </w:t>
            </w:r>
            <w:r>
              <w:rPr>
                <w:sz w:val="18"/>
              </w:rPr>
              <w:t>implemen- tación exclusiva de programas federales </w:t>
            </w:r>
            <w:r>
              <w:rPr>
                <w:spacing w:val="15"/>
                <w:sz w:val="18"/>
              </w:rPr>
              <w:t>descentralizados </w:t>
            </w:r>
            <w:r>
              <w:rPr>
                <w:sz w:val="18"/>
              </w:rPr>
              <w:t>de subsidio a la vi- vienda.</w:t>
            </w:r>
          </w:p>
        </w:tc>
        <w:tc>
          <w:tcPr>
            <w:tcW w:w="1576" w:type="dxa"/>
            <w:shd w:val="clear" w:color="auto" w:fill="D1D3D4"/>
          </w:tcPr>
          <w:p>
            <w:pPr>
              <w:pStyle w:val="TableParagraph"/>
              <w:spacing w:line="249" w:lineRule="auto"/>
              <w:ind w:left="103" w:right="100"/>
              <w:jc w:val="both"/>
              <w:rPr>
                <w:sz w:val="18"/>
              </w:rPr>
            </w:pPr>
            <w:r>
              <w:rPr>
                <w:sz w:val="18"/>
              </w:rPr>
              <w:t>Ausencia estatal</w:t>
            </w:r>
            <w:r>
              <w:rPr>
                <w:spacing w:val="-31"/>
                <w:sz w:val="18"/>
              </w:rPr>
              <w:t> </w:t>
            </w:r>
            <w:r>
              <w:rPr>
                <w:sz w:val="18"/>
              </w:rPr>
              <w:t>de la administración urbana, sin</w:t>
            </w:r>
            <w:r>
              <w:rPr>
                <w:spacing w:val="-17"/>
                <w:sz w:val="18"/>
              </w:rPr>
              <w:t> </w:t>
            </w:r>
            <w:r>
              <w:rPr>
                <w:sz w:val="18"/>
              </w:rPr>
              <w:t>política propia de suelo o de</w:t>
            </w:r>
            <w:r>
              <w:rPr>
                <w:spacing w:val="-12"/>
                <w:sz w:val="18"/>
              </w:rPr>
              <w:t> </w:t>
            </w:r>
            <w:r>
              <w:rPr>
                <w:sz w:val="18"/>
              </w:rPr>
              <w:t>vivienda.</w:t>
            </w:r>
          </w:p>
        </w:tc>
      </w:tr>
      <w:tr>
        <w:trPr>
          <w:trHeight w:val="887" w:hRule="exact"/>
        </w:trPr>
        <w:tc>
          <w:tcPr>
            <w:tcW w:w="480" w:type="dxa"/>
          </w:tcPr>
          <w:p>
            <w:pPr>
              <w:pStyle w:val="TableParagraph"/>
              <w:spacing w:before="6"/>
              <w:ind w:left="189"/>
              <w:rPr>
                <w:b/>
                <w:sz w:val="18"/>
              </w:rPr>
            </w:pPr>
            <w:r>
              <w:rPr>
                <w:b/>
                <w:sz w:val="18"/>
              </w:rPr>
              <w:t>0</w:t>
            </w:r>
          </w:p>
        </w:tc>
        <w:tc>
          <w:tcPr>
            <w:tcW w:w="1788" w:type="dxa"/>
          </w:tcPr>
          <w:p>
            <w:pPr>
              <w:pStyle w:val="TableParagraph"/>
              <w:spacing w:line="249" w:lineRule="auto"/>
              <w:ind w:left="102" w:right="100"/>
              <w:jc w:val="both"/>
              <w:rPr>
                <w:sz w:val="18"/>
              </w:rPr>
            </w:pPr>
            <w:r>
              <w:rPr>
                <w:sz w:val="18"/>
              </w:rPr>
              <w:t>Las acciones de vi- vienda popular no</w:t>
            </w:r>
            <w:r>
              <w:rPr>
                <w:spacing w:val="-26"/>
                <w:sz w:val="18"/>
              </w:rPr>
              <w:t> </w:t>
            </w:r>
            <w:r>
              <w:rPr>
                <w:sz w:val="18"/>
              </w:rPr>
              <w:t>son coordinadas.</w:t>
            </w:r>
          </w:p>
        </w:tc>
        <w:tc>
          <w:tcPr>
            <w:tcW w:w="1587" w:type="dxa"/>
          </w:tcPr>
          <w:p>
            <w:pPr>
              <w:pStyle w:val="TableParagraph"/>
              <w:spacing w:line="249" w:lineRule="auto"/>
              <w:ind w:left="102" w:right="100"/>
              <w:jc w:val="both"/>
              <w:rPr>
                <w:sz w:val="18"/>
              </w:rPr>
            </w:pPr>
            <w:r>
              <w:rPr>
                <w:sz w:val="18"/>
              </w:rPr>
              <w:t>Facultades urbanas estatales, sin po- líticas de suelo o vivienda.</w:t>
            </w:r>
          </w:p>
        </w:tc>
        <w:tc>
          <w:tcPr>
            <w:tcW w:w="1655" w:type="dxa"/>
          </w:tcPr>
          <w:p>
            <w:pPr>
              <w:pStyle w:val="TableParagraph"/>
              <w:spacing w:line="249" w:lineRule="auto"/>
              <w:ind w:left="103" w:right="100"/>
              <w:jc w:val="both"/>
              <w:rPr>
                <w:sz w:val="18"/>
              </w:rPr>
            </w:pPr>
            <w:r>
              <w:rPr>
                <w:sz w:val="18"/>
              </w:rPr>
              <w:t>La evaluación no es factor para la depu- ración socio-habita- cional.</w:t>
            </w:r>
          </w:p>
        </w:tc>
        <w:tc>
          <w:tcPr>
            <w:tcW w:w="1576" w:type="dxa"/>
          </w:tcPr>
          <w:p>
            <w:pPr>
              <w:pStyle w:val="TableParagraph"/>
              <w:spacing w:line="249" w:lineRule="auto"/>
              <w:ind w:left="103" w:right="82"/>
              <w:jc w:val="both"/>
              <w:rPr>
                <w:sz w:val="18"/>
              </w:rPr>
            </w:pPr>
            <w:r>
              <w:rPr>
                <w:spacing w:val="16"/>
                <w:sz w:val="18"/>
              </w:rPr>
              <w:t>Administración </w:t>
            </w:r>
            <w:r>
              <w:rPr>
                <w:sz w:val="18"/>
              </w:rPr>
              <w:t>urbana estatal, sin acciones</w:t>
            </w:r>
            <w:r>
              <w:rPr>
                <w:spacing w:val="-13"/>
                <w:sz w:val="18"/>
              </w:rPr>
              <w:t> </w:t>
            </w:r>
            <w:r>
              <w:rPr>
                <w:sz w:val="18"/>
              </w:rPr>
              <w:t>de</w:t>
            </w:r>
            <w:r>
              <w:rPr>
                <w:spacing w:val="-12"/>
                <w:sz w:val="18"/>
              </w:rPr>
              <w:t> </w:t>
            </w:r>
            <w:r>
              <w:rPr>
                <w:sz w:val="18"/>
              </w:rPr>
              <w:t>suelo</w:t>
            </w:r>
            <w:r>
              <w:rPr>
                <w:spacing w:val="-12"/>
                <w:sz w:val="18"/>
              </w:rPr>
              <w:t> </w:t>
            </w:r>
            <w:r>
              <w:rPr>
                <w:sz w:val="18"/>
              </w:rPr>
              <w:t>o vivienda.</w:t>
            </w:r>
          </w:p>
        </w:tc>
      </w:tr>
    </w:tbl>
    <w:p>
      <w:pPr>
        <w:spacing w:before="121"/>
        <w:ind w:left="117" w:right="0" w:firstLine="0"/>
        <w:jc w:val="both"/>
        <w:rPr>
          <w:sz w:val="17"/>
        </w:rPr>
      </w:pPr>
      <w:r>
        <w:rPr>
          <w:b/>
          <w:sz w:val="17"/>
        </w:rPr>
        <w:t>Nota: </w:t>
      </w:r>
      <w:r>
        <w:rPr>
          <w:sz w:val="17"/>
        </w:rPr>
        <w:t>RTT son las siglas de Regularización de la Tenencia de la Tierra.</w:t>
      </w:r>
    </w:p>
    <w:p>
      <w:pPr>
        <w:pStyle w:val="BodyText"/>
      </w:pPr>
    </w:p>
    <w:p>
      <w:pPr>
        <w:pStyle w:val="BodyText"/>
        <w:ind w:left="117" w:right="128"/>
        <w:jc w:val="both"/>
      </w:pPr>
      <w:r>
        <w:rPr/>
        <w:t>En el multicitado estudio antecedente que evaluó el desempeño subsidiario de seis gobiernos de entidades federativas  mexicanas  (Aguascalientes,  Baja California, Guanajuato, Jalisco, Morelos y Querétaro)</w:t>
      </w:r>
      <w:r>
        <w:rPr>
          <w:position w:val="8"/>
          <w:sz w:val="13"/>
        </w:rPr>
        <w:t>225</w:t>
      </w:r>
      <w:r>
        <w:rPr/>
        <w:t>, el promedio alcanzado utilizando la escala anterior fue 3.5 según los siguientes</w:t>
      </w:r>
      <w:r>
        <w:rPr>
          <w:spacing w:val="-17"/>
        </w:rPr>
        <w:t> </w:t>
      </w:r>
      <w:r>
        <w:rPr/>
        <w:t>aspectos:</w:t>
      </w:r>
    </w:p>
    <w:p>
      <w:pPr>
        <w:pStyle w:val="BodyText"/>
        <w:spacing w:before="3"/>
      </w:pPr>
    </w:p>
    <w:p>
      <w:pPr>
        <w:pStyle w:val="ListParagraph"/>
        <w:numPr>
          <w:ilvl w:val="1"/>
          <w:numId w:val="16"/>
        </w:numPr>
        <w:tabs>
          <w:tab w:pos="684" w:val="left" w:leader="none"/>
        </w:tabs>
        <w:spacing w:line="240" w:lineRule="auto" w:before="0" w:after="0"/>
        <w:ind w:left="684" w:right="128" w:hanging="284"/>
        <w:jc w:val="both"/>
        <w:rPr>
          <w:sz w:val="23"/>
        </w:rPr>
      </w:pPr>
      <w:r>
        <w:rPr>
          <w:sz w:val="23"/>
        </w:rPr>
        <w:t>En cuanto a la </w:t>
      </w:r>
      <w:r>
        <w:rPr>
          <w:i/>
          <w:sz w:val="23"/>
        </w:rPr>
        <w:t>capacidad intergubernamental de asociación </w:t>
      </w:r>
      <w:r>
        <w:rPr>
          <w:i/>
          <w:sz w:val="23"/>
        </w:rPr>
        <w:t>estratégica</w:t>
      </w:r>
      <w:r>
        <w:rPr>
          <w:sz w:val="23"/>
        </w:rPr>
        <w:t>. La coordinación de los sectores públicos y privados</w:t>
      </w:r>
      <w:r>
        <w:rPr>
          <w:spacing w:val="-13"/>
          <w:sz w:val="23"/>
        </w:rPr>
        <w:t> </w:t>
      </w:r>
      <w:r>
        <w:rPr>
          <w:sz w:val="23"/>
        </w:rPr>
        <w:t>define diferentes</w:t>
      </w:r>
      <w:r>
        <w:rPr>
          <w:spacing w:val="-13"/>
          <w:sz w:val="23"/>
        </w:rPr>
        <w:t> </w:t>
      </w:r>
      <w:r>
        <w:rPr>
          <w:sz w:val="23"/>
        </w:rPr>
        <w:t>combinaciones</w:t>
      </w:r>
      <w:r>
        <w:rPr>
          <w:spacing w:val="-13"/>
          <w:sz w:val="23"/>
        </w:rPr>
        <w:t> </w:t>
      </w:r>
      <w:r>
        <w:rPr>
          <w:sz w:val="23"/>
        </w:rPr>
        <w:t>que</w:t>
      </w:r>
      <w:r>
        <w:rPr>
          <w:spacing w:val="-13"/>
          <w:sz w:val="23"/>
        </w:rPr>
        <w:t> </w:t>
      </w:r>
      <w:r>
        <w:rPr>
          <w:sz w:val="23"/>
        </w:rPr>
        <w:t>pueden</w:t>
      </w:r>
      <w:r>
        <w:rPr>
          <w:spacing w:val="-13"/>
          <w:sz w:val="23"/>
        </w:rPr>
        <w:t> </w:t>
      </w:r>
      <w:r>
        <w:rPr>
          <w:sz w:val="23"/>
        </w:rPr>
        <w:t>clasificarse</w:t>
      </w:r>
      <w:r>
        <w:rPr>
          <w:spacing w:val="-13"/>
          <w:sz w:val="23"/>
        </w:rPr>
        <w:t> </w:t>
      </w:r>
      <w:r>
        <w:rPr>
          <w:sz w:val="23"/>
        </w:rPr>
        <w:t>desde</w:t>
      </w:r>
      <w:r>
        <w:rPr>
          <w:spacing w:val="-13"/>
          <w:sz w:val="23"/>
        </w:rPr>
        <w:t> </w:t>
      </w:r>
      <w:r>
        <w:rPr>
          <w:sz w:val="23"/>
        </w:rPr>
        <w:t>la</w:t>
      </w:r>
      <w:r>
        <w:rPr>
          <w:spacing w:val="-13"/>
          <w:sz w:val="23"/>
        </w:rPr>
        <w:t> </w:t>
      </w:r>
      <w:r>
        <w:rPr>
          <w:sz w:val="23"/>
        </w:rPr>
        <w:t>posición</w:t>
      </w:r>
      <w:r>
        <w:rPr>
          <w:spacing w:val="-13"/>
          <w:sz w:val="23"/>
        </w:rPr>
        <w:t> </w:t>
      </w:r>
      <w:r>
        <w:rPr>
          <w:sz w:val="23"/>
        </w:rPr>
        <w:t>más adversa hasta la menos disímil. En Morelos los programas federales, tanto de vivienda social como de regularización de la tenencia de la tierra, no han logrado integrar la acción coordinada del estado y de   los municipios. Aguascalientes, Querétaro y Jalisco inician el grupo de estados que cuentan con acciones concurrentes clasificadas. En los</w:t>
      </w:r>
      <w:r>
        <w:rPr>
          <w:spacing w:val="-1"/>
          <w:sz w:val="23"/>
        </w:rPr>
        <w:t> </w:t>
      </w:r>
      <w:r>
        <w:rPr>
          <w:sz w:val="23"/>
        </w:rPr>
        <w:t>dos</w:t>
      </w:r>
    </w:p>
    <w:p>
      <w:pPr>
        <w:pStyle w:val="BodyText"/>
        <w:spacing w:before="10"/>
        <w:rPr>
          <w:sz w:val="13"/>
        </w:rPr>
      </w:pPr>
      <w:r>
        <w:rPr/>
        <w:pict>
          <v:line style="position:absolute;mso-position-horizontal-relative:page;mso-position-vertical-relative:paragraph;z-index:5560;mso-wrap-distance-left:0;mso-wrap-distance-right:0" from="70.866203pt,10.444252pt" to="142.866203pt,10.444252pt" stroked="true" strokeweight="1pt" strokecolor="#000000">
            <w10:wrap type="topAndBottom"/>
          </v:line>
        </w:pict>
      </w:r>
    </w:p>
    <w:p>
      <w:pPr>
        <w:spacing w:line="249" w:lineRule="auto" w:before="28"/>
        <w:ind w:left="400" w:right="153" w:hanging="284"/>
        <w:jc w:val="left"/>
        <w:rPr>
          <w:sz w:val="18"/>
        </w:rPr>
      </w:pPr>
      <w:r>
        <w:rPr>
          <w:position w:val="7"/>
          <w:sz w:val="11"/>
        </w:rPr>
        <w:t>225 </w:t>
      </w:r>
      <w:r>
        <w:rPr>
          <w:sz w:val="18"/>
        </w:rPr>
        <w:t>Los resultados de la investigación anterior pueden consultarse en: Mendoza Ruiz, Joel; </w:t>
      </w:r>
      <w:r>
        <w:rPr>
          <w:i/>
          <w:sz w:val="18"/>
        </w:rPr>
        <w:t>Op. </w:t>
      </w:r>
      <w:r>
        <w:rPr>
          <w:i/>
          <w:sz w:val="18"/>
        </w:rPr>
        <w:t>Cit.</w:t>
      </w:r>
      <w:r>
        <w:rPr>
          <w:sz w:val="18"/>
        </w:rPr>
        <w:t>, pp. 194-196.</w:t>
      </w:r>
    </w:p>
    <w:p>
      <w:pPr>
        <w:spacing w:after="0" w:line="249" w:lineRule="auto"/>
        <w:jc w:val="left"/>
        <w:rPr>
          <w:sz w:val="18"/>
        </w:rPr>
        <w:sectPr>
          <w:pgSz w:w="9360" w:h="13040"/>
          <w:pgMar w:header="547" w:footer="507" w:top="940" w:bottom="700" w:left="1300" w:right="720"/>
        </w:sectPr>
      </w:pPr>
    </w:p>
    <w:p>
      <w:pPr>
        <w:pStyle w:val="BodyText"/>
        <w:rPr>
          <w:sz w:val="20"/>
        </w:rPr>
      </w:pPr>
    </w:p>
    <w:p>
      <w:pPr>
        <w:pStyle w:val="BodyText"/>
        <w:spacing w:before="1"/>
        <w:rPr>
          <w:sz w:val="29"/>
        </w:rPr>
      </w:pPr>
    </w:p>
    <w:p>
      <w:pPr>
        <w:pStyle w:val="BodyText"/>
        <w:spacing w:before="70"/>
        <w:ind w:left="677" w:right="114"/>
        <w:jc w:val="both"/>
      </w:pPr>
      <w:r>
        <w:rPr/>
        <w:t>primeros la federación y algunos municipios coadyuvan en materia de regularización de la tenencia de la tierra, mientras que en Jalisco existe colaboración entre el estado y algunos municipios en dos programas habitacionales de diseño estatal con normas propias. En Guanajuato,  el gobierno estatal se ha organizado con la iniciativa privada y ha ade- cuado los programas federales para producir conjuntamente vivienda social, la deficiencia al respecto ha sido la falta de adquisición masiva de</w:t>
      </w:r>
      <w:r>
        <w:rPr>
          <w:spacing w:val="-17"/>
        </w:rPr>
        <w:t> </w:t>
      </w:r>
      <w:r>
        <w:rPr/>
        <w:t>suelo</w:t>
      </w:r>
      <w:r>
        <w:rPr>
          <w:spacing w:val="-16"/>
        </w:rPr>
        <w:t> </w:t>
      </w:r>
      <w:r>
        <w:rPr/>
        <w:t>urbano,</w:t>
      </w:r>
      <w:r>
        <w:rPr>
          <w:spacing w:val="-16"/>
        </w:rPr>
        <w:t> </w:t>
      </w:r>
      <w:r>
        <w:rPr/>
        <w:t>algunos</w:t>
      </w:r>
      <w:r>
        <w:rPr>
          <w:spacing w:val="-17"/>
        </w:rPr>
        <w:t> </w:t>
      </w:r>
      <w:r>
        <w:rPr/>
        <w:t>gobiernos</w:t>
      </w:r>
      <w:r>
        <w:rPr>
          <w:spacing w:val="-17"/>
        </w:rPr>
        <w:t> </w:t>
      </w:r>
      <w:r>
        <w:rPr/>
        <w:t>municipales</w:t>
      </w:r>
      <w:r>
        <w:rPr>
          <w:spacing w:val="-17"/>
        </w:rPr>
        <w:t> </w:t>
      </w:r>
      <w:r>
        <w:rPr/>
        <w:t>han</w:t>
      </w:r>
      <w:r>
        <w:rPr>
          <w:spacing w:val="-17"/>
        </w:rPr>
        <w:t> </w:t>
      </w:r>
      <w:r>
        <w:rPr/>
        <w:t>actuado</w:t>
      </w:r>
      <w:r>
        <w:rPr>
          <w:spacing w:val="-17"/>
        </w:rPr>
        <w:t> </w:t>
      </w:r>
      <w:r>
        <w:rPr/>
        <w:t>en</w:t>
      </w:r>
      <w:r>
        <w:rPr>
          <w:spacing w:val="-17"/>
        </w:rPr>
        <w:t> </w:t>
      </w:r>
      <w:r>
        <w:rPr/>
        <w:t>paralelo aprovechado el patrimonio inmobiliario municipal. En el caso consi- derado como el más cercano al modelo subsidiario, el gobierno estatal y algunos ayuntamientos de Baja California aplican el mismo esquema habitacional</w:t>
      </w:r>
      <w:r>
        <w:rPr>
          <w:spacing w:val="-9"/>
        </w:rPr>
        <w:t> </w:t>
      </w:r>
      <w:r>
        <w:rPr/>
        <w:t>que</w:t>
      </w:r>
      <w:r>
        <w:rPr>
          <w:spacing w:val="-9"/>
        </w:rPr>
        <w:t> </w:t>
      </w:r>
      <w:r>
        <w:rPr/>
        <w:t>existe</w:t>
      </w:r>
      <w:r>
        <w:rPr>
          <w:spacing w:val="-9"/>
        </w:rPr>
        <w:t> </w:t>
      </w:r>
      <w:r>
        <w:rPr/>
        <w:t>en</w:t>
      </w:r>
      <w:r>
        <w:rPr>
          <w:spacing w:val="-9"/>
        </w:rPr>
        <w:t> </w:t>
      </w:r>
      <w:r>
        <w:rPr/>
        <w:t>Guanajuato,</w:t>
      </w:r>
      <w:r>
        <w:rPr>
          <w:spacing w:val="-8"/>
        </w:rPr>
        <w:t> </w:t>
      </w:r>
      <w:r>
        <w:rPr/>
        <w:t>el</w:t>
      </w:r>
      <w:r>
        <w:rPr>
          <w:spacing w:val="-9"/>
        </w:rPr>
        <w:t> </w:t>
      </w:r>
      <w:r>
        <w:rPr/>
        <w:t>cual</w:t>
      </w:r>
      <w:r>
        <w:rPr>
          <w:spacing w:val="-9"/>
        </w:rPr>
        <w:t> </w:t>
      </w:r>
      <w:r>
        <w:rPr/>
        <w:t>se</w:t>
      </w:r>
      <w:r>
        <w:rPr>
          <w:spacing w:val="-9"/>
        </w:rPr>
        <w:t> </w:t>
      </w:r>
      <w:r>
        <w:rPr/>
        <w:t>desempeña</w:t>
      </w:r>
      <w:r>
        <w:rPr>
          <w:spacing w:val="-9"/>
        </w:rPr>
        <w:t> </w:t>
      </w:r>
      <w:r>
        <w:rPr/>
        <w:t>con</w:t>
      </w:r>
      <w:r>
        <w:rPr>
          <w:spacing w:val="-9"/>
        </w:rPr>
        <w:t> </w:t>
      </w:r>
      <w:r>
        <w:rPr/>
        <w:t>mayor éxito por la adquisición de suelo urbano y por lograr mayores metas, además de que el gobierno estatal actúa en paralelo al gobierno federal en la regularización de la tenencia de la</w:t>
      </w:r>
      <w:r>
        <w:rPr>
          <w:spacing w:val="-2"/>
        </w:rPr>
        <w:t> </w:t>
      </w:r>
      <w:r>
        <w:rPr/>
        <w:t>tierra.</w:t>
      </w:r>
    </w:p>
    <w:p>
      <w:pPr>
        <w:pStyle w:val="BodyText"/>
        <w:spacing w:before="3"/>
      </w:pPr>
    </w:p>
    <w:p>
      <w:pPr>
        <w:pStyle w:val="ListParagraph"/>
        <w:numPr>
          <w:ilvl w:val="1"/>
          <w:numId w:val="16"/>
        </w:numPr>
        <w:tabs>
          <w:tab w:pos="678" w:val="left" w:leader="none"/>
        </w:tabs>
        <w:spacing w:line="240" w:lineRule="auto" w:before="0" w:after="0"/>
        <w:ind w:left="677" w:right="111" w:hanging="284"/>
        <w:jc w:val="both"/>
        <w:rPr>
          <w:sz w:val="23"/>
        </w:rPr>
      </w:pPr>
      <w:r>
        <w:rPr>
          <w:sz w:val="23"/>
        </w:rPr>
        <w:t>Respecto a la </w:t>
      </w:r>
      <w:r>
        <w:rPr>
          <w:i/>
          <w:sz w:val="23"/>
        </w:rPr>
        <w:t>restricción competencial de las formaciones sociales </w:t>
      </w:r>
      <w:r>
        <w:rPr>
          <w:i/>
          <w:sz w:val="23"/>
        </w:rPr>
        <w:t>más complejas. </w:t>
      </w:r>
      <w:r>
        <w:rPr>
          <w:sz w:val="23"/>
        </w:rPr>
        <w:t>Los gobiernos estatales más avanzados de la mues-   tra han acatado las disposiciones constitucionales en materia urbana,   y han desarrollado instrumentos jurídicos que permiten implementar una política habitacional estatal. En Baja California y Guanajuato se delegaron facultades urbano-administrativas a los ayuntamientos y la política habitacional estatal cuenta con un marco jurídico e instru- mentos propios. En Querétaro se delegaron facultades urbano-admi- nistrativas a los cuatro municipios urbanos del estado, se convinieron facultades concurrentes con los demás municipios, se desconcentra- ron programas de subsidios federales hacia todos los ayuntamientos, y se desarrollaron instrumentos jurídicos que fundamentan una política estatal de asentamientos humanos. En Jalisco se delegaron facultades urbano-administrativas a los ayuntamientos sin instrumentar jurídica- mente políticas habitacionales o de asentamientos humanos. El resto de los estados, Aguascalientes y Morelos, presentan rangos críticos de descentralización urbana, distrayendo así la definición de estrategias estatales de vivienda social o de regularización de la tenencia de la tierra.</w:t>
      </w:r>
    </w:p>
    <w:p>
      <w:pPr>
        <w:pStyle w:val="BodyText"/>
        <w:spacing w:before="3"/>
      </w:pPr>
    </w:p>
    <w:p>
      <w:pPr>
        <w:pStyle w:val="ListParagraph"/>
        <w:numPr>
          <w:ilvl w:val="1"/>
          <w:numId w:val="16"/>
        </w:numPr>
        <w:tabs>
          <w:tab w:pos="678" w:val="left" w:leader="none"/>
        </w:tabs>
        <w:spacing w:line="240" w:lineRule="auto" w:before="0" w:after="0"/>
        <w:ind w:left="677" w:right="114" w:hanging="284"/>
        <w:jc w:val="both"/>
        <w:rPr>
          <w:sz w:val="23"/>
        </w:rPr>
      </w:pPr>
      <w:r>
        <w:rPr>
          <w:sz w:val="23"/>
        </w:rPr>
        <w:t>Respecto a la </w:t>
      </w:r>
      <w:r>
        <w:rPr>
          <w:i/>
          <w:sz w:val="23"/>
        </w:rPr>
        <w:t>evaluación de las sociedades más simples para el </w:t>
      </w:r>
      <w:r>
        <w:rPr>
          <w:i/>
          <w:sz w:val="23"/>
        </w:rPr>
        <w:t>ejercicio  subsidiario</w:t>
      </w:r>
      <w:r>
        <w:rPr>
          <w:sz w:val="23"/>
        </w:rPr>
        <w:t>.  No  se  detectaron  experiencias  de </w:t>
      </w:r>
      <w:r>
        <w:rPr>
          <w:spacing w:val="6"/>
          <w:sz w:val="23"/>
        </w:rPr>
        <w:t> </w:t>
      </w:r>
      <w:r>
        <w:rPr>
          <w:sz w:val="23"/>
        </w:rPr>
        <w:t>evaluación</w:t>
      </w:r>
    </w:p>
    <w:p>
      <w:pPr>
        <w:spacing w:after="0" w:line="240" w:lineRule="auto"/>
        <w:jc w:val="both"/>
        <w:rPr>
          <w:sz w:val="23"/>
        </w:rPr>
        <w:sectPr>
          <w:pgSz w:w="9360" w:h="13040"/>
          <w:pgMar w:header="534" w:footer="515" w:top="720" w:bottom="700" w:left="740" w:right="1300"/>
        </w:sectPr>
      </w:pPr>
    </w:p>
    <w:p>
      <w:pPr>
        <w:pStyle w:val="BodyText"/>
        <w:spacing w:before="11"/>
        <w:rPr>
          <w:sz w:val="29"/>
        </w:rPr>
      </w:pPr>
    </w:p>
    <w:p>
      <w:pPr>
        <w:pStyle w:val="BodyText"/>
        <w:spacing w:line="250" w:lineRule="exact" w:before="85"/>
        <w:ind w:left="684"/>
      </w:pPr>
      <w:r>
        <w:rPr/>
        <w:t>estatales o municipales para valorar sus propias capacidades en materia habitacional o de regularización de la tenencia de la tierra.</w:t>
      </w:r>
    </w:p>
    <w:p>
      <w:pPr>
        <w:pStyle w:val="BodyText"/>
        <w:spacing w:before="8"/>
        <w:rPr>
          <w:sz w:val="21"/>
        </w:rPr>
      </w:pPr>
    </w:p>
    <w:p>
      <w:pPr>
        <w:pStyle w:val="ListParagraph"/>
        <w:numPr>
          <w:ilvl w:val="1"/>
          <w:numId w:val="16"/>
        </w:numPr>
        <w:tabs>
          <w:tab w:pos="685" w:val="left" w:leader="none"/>
        </w:tabs>
        <w:spacing w:line="250" w:lineRule="exact" w:before="0" w:after="0"/>
        <w:ind w:left="684" w:right="107" w:hanging="284"/>
        <w:jc w:val="both"/>
        <w:rPr>
          <w:sz w:val="23"/>
        </w:rPr>
      </w:pPr>
      <w:r>
        <w:rPr>
          <w:sz w:val="23"/>
        </w:rPr>
        <w:t>Finalmente, sobre el </w:t>
      </w:r>
      <w:r>
        <w:rPr>
          <w:i/>
          <w:sz w:val="23"/>
        </w:rPr>
        <w:t>avance competencial de las sociedades más </w:t>
      </w:r>
      <w:r>
        <w:rPr>
          <w:i/>
          <w:sz w:val="23"/>
        </w:rPr>
        <w:t>simples</w:t>
      </w:r>
      <w:r>
        <w:rPr>
          <w:sz w:val="23"/>
        </w:rPr>
        <w:t>. El análisis particular resulta análogo al presentado para la </w:t>
      </w:r>
      <w:r>
        <w:rPr>
          <w:i/>
          <w:sz w:val="23"/>
        </w:rPr>
        <w:t>capacidad intergubernamental de asociación</w:t>
      </w:r>
      <w:r>
        <w:rPr>
          <w:i/>
          <w:spacing w:val="-11"/>
          <w:sz w:val="23"/>
        </w:rPr>
        <w:t> </w:t>
      </w:r>
      <w:r>
        <w:rPr>
          <w:i/>
          <w:sz w:val="23"/>
        </w:rPr>
        <w:t>estratégica</w:t>
      </w:r>
      <w:r>
        <w:rPr>
          <w:sz w:val="23"/>
        </w:rPr>
        <w:t>.</w:t>
      </w:r>
    </w:p>
    <w:p>
      <w:pPr>
        <w:pStyle w:val="BodyText"/>
        <w:spacing w:before="8"/>
        <w:rPr>
          <w:sz w:val="21"/>
        </w:rPr>
      </w:pPr>
    </w:p>
    <w:p>
      <w:pPr>
        <w:pStyle w:val="Heading3"/>
        <w:spacing w:line="250" w:lineRule="exact"/>
        <w:ind w:right="108"/>
      </w:pPr>
      <w:r>
        <w:rPr/>
        <w:t>El rezago hidalguense con respecto a la definición de una política habitacional popular.</w:t>
      </w:r>
    </w:p>
    <w:p>
      <w:pPr>
        <w:pStyle w:val="BodyText"/>
        <w:spacing w:before="8"/>
        <w:rPr>
          <w:b/>
          <w:sz w:val="21"/>
        </w:rPr>
      </w:pPr>
    </w:p>
    <w:p>
      <w:pPr>
        <w:pStyle w:val="BodyText"/>
        <w:spacing w:line="250" w:lineRule="exact"/>
        <w:ind w:left="117" w:right="107"/>
        <w:jc w:val="both"/>
      </w:pPr>
      <w:r>
        <w:rPr/>
        <w:t>A partir de la publicación de ley de vivienda del Estado de Hidalgo (18 de julio del 2011), la coordinación estratégica de la política habitacional estatal debe</w:t>
      </w:r>
      <w:r>
        <w:rPr>
          <w:spacing w:val="-7"/>
        </w:rPr>
        <w:t> </w:t>
      </w:r>
      <w:r>
        <w:rPr/>
        <w:t>darse</w:t>
      </w:r>
      <w:r>
        <w:rPr>
          <w:spacing w:val="-7"/>
        </w:rPr>
        <w:t> </w:t>
      </w:r>
      <w:r>
        <w:rPr/>
        <w:t>al</w:t>
      </w:r>
      <w:r>
        <w:rPr>
          <w:spacing w:val="-7"/>
        </w:rPr>
        <w:t> </w:t>
      </w:r>
      <w:r>
        <w:rPr/>
        <w:t>interior</w:t>
      </w:r>
      <w:r>
        <w:rPr>
          <w:spacing w:val="-8"/>
        </w:rPr>
        <w:t> </w:t>
      </w:r>
      <w:r>
        <w:rPr/>
        <w:t>del</w:t>
      </w:r>
      <w:r>
        <w:rPr>
          <w:spacing w:val="-7"/>
        </w:rPr>
        <w:t> </w:t>
      </w:r>
      <w:r>
        <w:rPr/>
        <w:t>consejo</w:t>
      </w:r>
      <w:r>
        <w:rPr>
          <w:spacing w:val="-8"/>
        </w:rPr>
        <w:t> </w:t>
      </w:r>
      <w:r>
        <w:rPr/>
        <w:t>estatal</w:t>
      </w:r>
      <w:r>
        <w:rPr>
          <w:spacing w:val="-7"/>
        </w:rPr>
        <w:t> </w:t>
      </w:r>
      <w:r>
        <w:rPr/>
        <w:t>de</w:t>
      </w:r>
      <w:r>
        <w:rPr>
          <w:spacing w:val="-7"/>
        </w:rPr>
        <w:t> </w:t>
      </w:r>
      <w:r>
        <w:rPr/>
        <w:t>vivienda.</w:t>
      </w:r>
      <w:r>
        <w:rPr>
          <w:spacing w:val="-7"/>
        </w:rPr>
        <w:t> </w:t>
      </w:r>
      <w:r>
        <w:rPr/>
        <w:t>No</w:t>
      </w:r>
      <w:r>
        <w:rPr>
          <w:spacing w:val="-7"/>
        </w:rPr>
        <w:t> </w:t>
      </w:r>
      <w:r>
        <w:rPr/>
        <w:t>obstante,</w:t>
      </w:r>
      <w:r>
        <w:rPr>
          <w:spacing w:val="-7"/>
        </w:rPr>
        <w:t> </w:t>
      </w:r>
      <w:r>
        <w:rPr/>
        <w:t>al</w:t>
      </w:r>
      <w:r>
        <w:rPr>
          <w:spacing w:val="-7"/>
        </w:rPr>
        <w:t> </w:t>
      </w:r>
      <w:r>
        <w:rPr/>
        <w:t>igual</w:t>
      </w:r>
      <w:r>
        <w:rPr>
          <w:spacing w:val="-7"/>
        </w:rPr>
        <w:t> </w:t>
      </w:r>
      <w:r>
        <w:rPr/>
        <w:t>su- cede con el comité de desarrollo social, el nuevo órgano interorganizacional presenta las mismas ineficiencias operativas de integración, tamaño, constancia y organización. La política hidalguense de vivienda social ha  sido desarrollada principalmente por la </w:t>
      </w:r>
      <w:r>
        <w:rPr>
          <w:i/>
        </w:rPr>
        <w:t>Promotora de </w:t>
      </w:r>
      <w:r>
        <w:rPr>
          <w:i/>
          <w:spacing w:val="-3"/>
        </w:rPr>
        <w:t>Vivienda </w:t>
      </w:r>
      <w:r>
        <w:rPr>
          <w:i/>
        </w:rPr>
        <w:t>del Estado de </w:t>
      </w:r>
      <w:r>
        <w:rPr>
          <w:i/>
        </w:rPr>
        <w:t>Hidalgo</w:t>
      </w:r>
      <w:r>
        <w:rPr>
          <w:i/>
          <w:spacing w:val="-7"/>
        </w:rPr>
        <w:t> </w:t>
      </w:r>
      <w:r>
        <w:rPr/>
        <w:t>(PROVIH),</w:t>
      </w:r>
      <w:r>
        <w:rPr>
          <w:spacing w:val="-8"/>
        </w:rPr>
        <w:t> </w:t>
      </w:r>
      <w:r>
        <w:rPr/>
        <w:t>cuyas</w:t>
      </w:r>
      <w:r>
        <w:rPr>
          <w:spacing w:val="-8"/>
        </w:rPr>
        <w:t> </w:t>
      </w:r>
      <w:r>
        <w:rPr/>
        <w:t>limitaciones</w:t>
      </w:r>
      <w:r>
        <w:rPr>
          <w:spacing w:val="-8"/>
        </w:rPr>
        <w:t> </w:t>
      </w:r>
      <w:r>
        <w:rPr/>
        <w:t>programáticas</w:t>
      </w:r>
      <w:r>
        <w:rPr>
          <w:spacing w:val="-7"/>
        </w:rPr>
        <w:t> </w:t>
      </w:r>
      <w:r>
        <w:rPr/>
        <w:t>fueron</w:t>
      </w:r>
      <w:r>
        <w:rPr>
          <w:spacing w:val="-7"/>
        </w:rPr>
        <w:t> </w:t>
      </w:r>
      <w:r>
        <w:rPr/>
        <w:t>detalladas</w:t>
      </w:r>
      <w:r>
        <w:rPr>
          <w:spacing w:val="-7"/>
        </w:rPr>
        <w:t> </w:t>
      </w:r>
      <w:r>
        <w:rPr/>
        <w:t>en</w:t>
      </w:r>
      <w:r>
        <w:rPr>
          <w:spacing w:val="-7"/>
        </w:rPr>
        <w:t> </w:t>
      </w:r>
      <w:r>
        <w:rPr/>
        <w:t>el capítulo </w:t>
      </w:r>
      <w:r>
        <w:rPr>
          <w:spacing w:val="-15"/>
        </w:rPr>
        <w:t>V. </w:t>
      </w:r>
      <w:r>
        <w:rPr/>
        <w:t>Sobre lo anterior, se reitera que en el pasado la PROVIH ejecutó el </w:t>
      </w:r>
      <w:r>
        <w:rPr>
          <w:i/>
        </w:rPr>
        <w:t>programa de ahorro, subsidio y crédito para la vivienda tu casa 2007</w:t>
      </w:r>
      <w:r>
        <w:rPr/>
        <w:t>, mismo</w:t>
      </w:r>
      <w:r>
        <w:rPr>
          <w:spacing w:val="-5"/>
        </w:rPr>
        <w:t> </w:t>
      </w:r>
      <w:r>
        <w:rPr/>
        <w:t>que</w:t>
      </w:r>
      <w:r>
        <w:rPr>
          <w:spacing w:val="-5"/>
        </w:rPr>
        <w:t> </w:t>
      </w:r>
      <w:r>
        <w:rPr/>
        <w:t>representó</w:t>
      </w:r>
      <w:r>
        <w:rPr>
          <w:spacing w:val="-5"/>
        </w:rPr>
        <w:t> </w:t>
      </w:r>
      <w:r>
        <w:rPr/>
        <w:t>un</w:t>
      </w:r>
      <w:r>
        <w:rPr>
          <w:spacing w:val="-5"/>
        </w:rPr>
        <w:t> </w:t>
      </w:r>
      <w:r>
        <w:rPr/>
        <w:t>esquema</w:t>
      </w:r>
      <w:r>
        <w:rPr>
          <w:spacing w:val="-5"/>
        </w:rPr>
        <w:t> </w:t>
      </w:r>
      <w:r>
        <w:rPr/>
        <w:t>más</w:t>
      </w:r>
      <w:r>
        <w:rPr>
          <w:spacing w:val="-5"/>
        </w:rPr>
        <w:t> </w:t>
      </w:r>
      <w:r>
        <w:rPr/>
        <w:t>eficiente</w:t>
      </w:r>
      <w:r>
        <w:rPr>
          <w:spacing w:val="-5"/>
        </w:rPr>
        <w:t> </w:t>
      </w:r>
      <w:r>
        <w:rPr/>
        <w:t>de</w:t>
      </w:r>
      <w:r>
        <w:rPr>
          <w:spacing w:val="-5"/>
        </w:rPr>
        <w:t> </w:t>
      </w:r>
      <w:r>
        <w:rPr/>
        <w:t>inversión</w:t>
      </w:r>
      <w:r>
        <w:rPr>
          <w:spacing w:val="-5"/>
        </w:rPr>
        <w:t> </w:t>
      </w:r>
      <w:r>
        <w:rPr/>
        <w:t>y</w:t>
      </w:r>
      <w:r>
        <w:rPr>
          <w:spacing w:val="-5"/>
        </w:rPr>
        <w:t> </w:t>
      </w:r>
      <w:r>
        <w:rPr/>
        <w:t>de</w:t>
      </w:r>
      <w:r>
        <w:rPr>
          <w:spacing w:val="-5"/>
        </w:rPr>
        <w:t> </w:t>
      </w:r>
      <w:r>
        <w:rPr/>
        <w:t>asociación público-privada para la producción de vivienda</w:t>
      </w:r>
      <w:r>
        <w:rPr>
          <w:spacing w:val="-7"/>
        </w:rPr>
        <w:t> </w:t>
      </w:r>
      <w:r>
        <w:rPr/>
        <w:t>social.</w:t>
      </w:r>
    </w:p>
    <w:p>
      <w:pPr>
        <w:pStyle w:val="BodyText"/>
        <w:spacing w:before="4"/>
        <w:rPr>
          <w:sz w:val="21"/>
        </w:rPr>
      </w:pPr>
    </w:p>
    <w:p>
      <w:pPr>
        <w:pStyle w:val="BodyText"/>
        <w:spacing w:line="228" w:lineRule="auto"/>
        <w:ind w:left="117" w:right="108"/>
        <w:jc w:val="both"/>
      </w:pPr>
      <w:r>
        <w:rPr/>
        <w:t>No obstante, si bien los resultados de ese programa son mejores que los actuales,</w:t>
      </w:r>
      <w:r>
        <w:rPr>
          <w:spacing w:val="-12"/>
        </w:rPr>
        <w:t> </w:t>
      </w:r>
      <w:r>
        <w:rPr/>
        <w:t>distan</w:t>
      </w:r>
      <w:r>
        <w:rPr>
          <w:spacing w:val="-12"/>
        </w:rPr>
        <w:t> </w:t>
      </w:r>
      <w:r>
        <w:rPr/>
        <w:t>mucho</w:t>
      </w:r>
      <w:r>
        <w:rPr>
          <w:spacing w:val="-12"/>
        </w:rPr>
        <w:t> </w:t>
      </w:r>
      <w:r>
        <w:rPr/>
        <w:t>de</w:t>
      </w:r>
      <w:r>
        <w:rPr>
          <w:spacing w:val="-12"/>
        </w:rPr>
        <w:t> </w:t>
      </w:r>
      <w:r>
        <w:rPr/>
        <w:t>parecerse</w:t>
      </w:r>
      <w:r>
        <w:rPr>
          <w:spacing w:val="-12"/>
        </w:rPr>
        <w:t> </w:t>
      </w:r>
      <w:r>
        <w:rPr/>
        <w:t>a</w:t>
      </w:r>
      <w:r>
        <w:rPr>
          <w:spacing w:val="-12"/>
        </w:rPr>
        <w:t> </w:t>
      </w:r>
      <w:r>
        <w:rPr/>
        <w:t>los</w:t>
      </w:r>
      <w:r>
        <w:rPr>
          <w:spacing w:val="-12"/>
        </w:rPr>
        <w:t> </w:t>
      </w:r>
      <w:r>
        <w:rPr/>
        <w:t>similares</w:t>
      </w:r>
      <w:r>
        <w:rPr>
          <w:spacing w:val="-11"/>
        </w:rPr>
        <w:t> </w:t>
      </w:r>
      <w:r>
        <w:rPr/>
        <w:t>que</w:t>
      </w:r>
      <w:r>
        <w:rPr>
          <w:spacing w:val="-12"/>
        </w:rPr>
        <w:t> </w:t>
      </w:r>
      <w:r>
        <w:rPr/>
        <w:t>el</w:t>
      </w:r>
      <w:r>
        <w:rPr>
          <w:spacing w:val="-12"/>
        </w:rPr>
        <w:t> </w:t>
      </w:r>
      <w:r>
        <w:rPr/>
        <w:t>autor</w:t>
      </w:r>
      <w:r>
        <w:rPr>
          <w:spacing w:val="-12"/>
        </w:rPr>
        <w:t> </w:t>
      </w:r>
      <w:r>
        <w:rPr/>
        <w:t>pudo</w:t>
      </w:r>
      <w:r>
        <w:rPr>
          <w:spacing w:val="-12"/>
        </w:rPr>
        <w:t> </w:t>
      </w:r>
      <w:r>
        <w:rPr/>
        <w:t>constatar en</w:t>
      </w:r>
      <w:r>
        <w:rPr>
          <w:spacing w:val="-24"/>
        </w:rPr>
        <w:t> </w:t>
      </w:r>
      <w:r>
        <w:rPr/>
        <w:t>Guanajuato</w:t>
      </w:r>
      <w:r>
        <w:rPr>
          <w:spacing w:val="-24"/>
        </w:rPr>
        <w:t> </w:t>
      </w:r>
      <w:r>
        <w:rPr/>
        <w:t>y</w:t>
      </w:r>
      <w:r>
        <w:rPr>
          <w:spacing w:val="-24"/>
        </w:rPr>
        <w:t> </w:t>
      </w:r>
      <w:r>
        <w:rPr/>
        <w:t>en</w:t>
      </w:r>
      <w:r>
        <w:rPr>
          <w:spacing w:val="-24"/>
        </w:rPr>
        <w:t> </w:t>
      </w:r>
      <w:r>
        <w:rPr/>
        <w:t>Baja</w:t>
      </w:r>
      <w:r>
        <w:rPr>
          <w:spacing w:val="-24"/>
        </w:rPr>
        <w:t> </w:t>
      </w:r>
      <w:r>
        <w:rPr/>
        <w:t>California.</w:t>
      </w:r>
      <w:r>
        <w:rPr>
          <w:spacing w:val="-24"/>
        </w:rPr>
        <w:t> </w:t>
      </w:r>
      <w:r>
        <w:rPr/>
        <w:t>Como</w:t>
      </w:r>
      <w:r>
        <w:rPr>
          <w:spacing w:val="-24"/>
        </w:rPr>
        <w:t> </w:t>
      </w:r>
      <w:r>
        <w:rPr/>
        <w:t>ejemplo,</w:t>
      </w:r>
      <w:r>
        <w:rPr>
          <w:spacing w:val="-25"/>
        </w:rPr>
        <w:t> </w:t>
      </w:r>
      <w:r>
        <w:rPr/>
        <w:t>las</w:t>
      </w:r>
      <w:r>
        <w:rPr>
          <w:spacing w:val="-24"/>
        </w:rPr>
        <w:t> </w:t>
      </w:r>
      <w:r>
        <w:rPr/>
        <w:t>32</w:t>
      </w:r>
      <w:r>
        <w:rPr>
          <w:spacing w:val="-24"/>
        </w:rPr>
        <w:t> </w:t>
      </w:r>
      <w:r>
        <w:rPr/>
        <w:t>acciones</w:t>
      </w:r>
      <w:r>
        <w:rPr>
          <w:spacing w:val="-25"/>
        </w:rPr>
        <w:t> </w:t>
      </w:r>
      <w:r>
        <w:rPr/>
        <w:t>de</w:t>
      </w:r>
      <w:r>
        <w:rPr>
          <w:spacing w:val="-24"/>
        </w:rPr>
        <w:t> </w:t>
      </w:r>
      <w:r>
        <w:rPr/>
        <w:t>vivienda terminada</w:t>
      </w:r>
      <w:r>
        <w:rPr>
          <w:spacing w:val="-9"/>
        </w:rPr>
        <w:t> </w:t>
      </w:r>
      <w:r>
        <w:rPr/>
        <w:t>que</w:t>
      </w:r>
      <w:r>
        <w:rPr>
          <w:spacing w:val="-8"/>
        </w:rPr>
        <w:t> </w:t>
      </w:r>
      <w:r>
        <w:rPr/>
        <w:t>se</w:t>
      </w:r>
      <w:r>
        <w:rPr>
          <w:spacing w:val="-8"/>
        </w:rPr>
        <w:t> </w:t>
      </w:r>
      <w:r>
        <w:rPr/>
        <w:t>realizaron</w:t>
      </w:r>
      <w:r>
        <w:rPr>
          <w:spacing w:val="-8"/>
        </w:rPr>
        <w:t> </w:t>
      </w:r>
      <w:r>
        <w:rPr/>
        <w:t>en</w:t>
      </w:r>
      <w:r>
        <w:rPr>
          <w:spacing w:val="-8"/>
        </w:rPr>
        <w:t> </w:t>
      </w:r>
      <w:r>
        <w:rPr/>
        <w:t>el</w:t>
      </w:r>
      <w:r>
        <w:rPr>
          <w:spacing w:val="-8"/>
        </w:rPr>
        <w:t> </w:t>
      </w:r>
      <w:r>
        <w:rPr/>
        <w:t>municipio</w:t>
      </w:r>
      <w:r>
        <w:rPr>
          <w:spacing w:val="-9"/>
        </w:rPr>
        <w:t> </w:t>
      </w:r>
      <w:r>
        <w:rPr/>
        <w:t>de</w:t>
      </w:r>
      <w:r>
        <w:rPr>
          <w:spacing w:val="-12"/>
        </w:rPr>
        <w:t> </w:t>
      </w:r>
      <w:r>
        <w:rPr/>
        <w:t>Tepeapulco</w:t>
      </w:r>
      <w:r>
        <w:rPr>
          <w:spacing w:val="-8"/>
        </w:rPr>
        <w:t> </w:t>
      </w:r>
      <w:r>
        <w:rPr/>
        <w:t>(Ciudad</w:t>
      </w:r>
      <w:r>
        <w:rPr>
          <w:spacing w:val="-8"/>
        </w:rPr>
        <w:t> </w:t>
      </w:r>
      <w:r>
        <w:rPr/>
        <w:t>Sahagún) constituyeron un pequeño fraccionamiento de pies de casa sin aplanados y</w:t>
      </w:r>
      <w:r>
        <w:rPr>
          <w:spacing w:val="-32"/>
        </w:rPr>
        <w:t> </w:t>
      </w:r>
      <w:r>
        <w:rPr/>
        <w:t>de calles</w:t>
      </w:r>
      <w:r>
        <w:rPr>
          <w:spacing w:val="-13"/>
        </w:rPr>
        <w:t> </w:t>
      </w:r>
      <w:r>
        <w:rPr/>
        <w:t>sin</w:t>
      </w:r>
      <w:r>
        <w:rPr>
          <w:spacing w:val="-13"/>
        </w:rPr>
        <w:t> </w:t>
      </w:r>
      <w:r>
        <w:rPr/>
        <w:t>pavimentar</w:t>
      </w:r>
      <w:r>
        <w:rPr>
          <w:spacing w:val="-13"/>
        </w:rPr>
        <w:t> </w:t>
      </w:r>
      <w:r>
        <w:rPr/>
        <w:t>ubicado</w:t>
      </w:r>
      <w:r>
        <w:rPr>
          <w:spacing w:val="-13"/>
        </w:rPr>
        <w:t> </w:t>
      </w:r>
      <w:r>
        <w:rPr/>
        <w:t>en</w:t>
      </w:r>
      <w:r>
        <w:rPr>
          <w:spacing w:val="-13"/>
        </w:rPr>
        <w:t> </w:t>
      </w:r>
      <w:r>
        <w:rPr/>
        <w:t>la</w:t>
      </w:r>
      <w:r>
        <w:rPr>
          <w:spacing w:val="-13"/>
        </w:rPr>
        <w:t> </w:t>
      </w:r>
      <w:r>
        <w:rPr/>
        <w:t>periferia</w:t>
      </w:r>
      <w:r>
        <w:rPr>
          <w:spacing w:val="-13"/>
        </w:rPr>
        <w:t> </w:t>
      </w:r>
      <w:r>
        <w:rPr/>
        <w:t>urbana</w:t>
      </w:r>
      <w:r>
        <w:rPr>
          <w:spacing w:val="-13"/>
        </w:rPr>
        <w:t> </w:t>
      </w:r>
      <w:r>
        <w:rPr/>
        <w:t>(atrás</w:t>
      </w:r>
      <w:r>
        <w:rPr>
          <w:spacing w:val="-13"/>
        </w:rPr>
        <w:t> </w:t>
      </w:r>
      <w:r>
        <w:rPr/>
        <w:t>del</w:t>
      </w:r>
      <w:r>
        <w:rPr>
          <w:spacing w:val="-13"/>
        </w:rPr>
        <w:t> </w:t>
      </w:r>
      <w:r>
        <w:rPr/>
        <w:t>fraccionamiento </w:t>
      </w:r>
      <w:r>
        <w:rPr>
          <w:spacing w:val="-6"/>
        </w:rPr>
        <w:t>Valle </w:t>
      </w:r>
      <w:r>
        <w:rPr/>
        <w:t>de Guadalupe, véase imágenes tituladas </w:t>
      </w:r>
      <w:r>
        <w:rPr>
          <w:i/>
        </w:rPr>
        <w:t>“Desarrollo de la PROVIH en </w:t>
      </w:r>
      <w:r>
        <w:rPr>
          <w:i/>
          <w:spacing w:val="-3"/>
        </w:rPr>
        <w:t>Tepeapulco</w:t>
      </w:r>
      <w:r>
        <w:rPr>
          <w:spacing w:val="-3"/>
        </w:rPr>
        <w:t>” </w:t>
      </w:r>
      <w:r>
        <w:rPr/>
        <w:t>en los </w:t>
      </w:r>
      <w:r>
        <w:rPr>
          <w:i/>
        </w:rPr>
        <w:t>“Anexos del Capítulo VI”</w:t>
      </w:r>
      <w:r>
        <w:rPr/>
        <w:t>), esas acciones evidencian que el gobierno estatal produjo vivienda social muy parecida a aquella que se ubica en los asentamientos irregulares del</w:t>
      </w:r>
      <w:r>
        <w:rPr>
          <w:spacing w:val="1"/>
        </w:rPr>
        <w:t> </w:t>
      </w:r>
      <w:r>
        <w:rPr/>
        <w:t>estado</w:t>
      </w:r>
      <w:r>
        <w:rPr>
          <w:position w:val="8"/>
          <w:sz w:val="13"/>
        </w:rPr>
        <w:t>226</w:t>
      </w:r>
      <w:r>
        <w:rPr/>
        <w:t>.</w:t>
      </w:r>
    </w:p>
    <w:p>
      <w:pPr>
        <w:pStyle w:val="BodyText"/>
        <w:rPr>
          <w:sz w:val="12"/>
        </w:rPr>
      </w:pPr>
      <w:r>
        <w:rPr/>
        <w:pict>
          <v:line style="position:absolute;mso-position-horizontal-relative:page;mso-position-vertical-relative:paragraph;z-index:5584;mso-wrap-distance-left:0;mso-wrap-distance-right:0" from="70.866096pt,9.388924pt" to="142.866096pt,9.388924pt" stroked="true" strokeweight="1pt" strokecolor="#000000">
            <w10:wrap type="topAndBottom"/>
          </v:line>
        </w:pict>
      </w:r>
    </w:p>
    <w:p>
      <w:pPr>
        <w:spacing w:line="200" w:lineRule="exact" w:before="1"/>
        <w:ind w:left="400" w:right="107" w:hanging="284"/>
        <w:jc w:val="both"/>
        <w:rPr>
          <w:sz w:val="18"/>
        </w:rPr>
      </w:pPr>
      <w:r>
        <w:rPr>
          <w:position w:val="7"/>
          <w:sz w:val="11"/>
        </w:rPr>
        <w:t>226 </w:t>
      </w:r>
      <w:r>
        <w:rPr>
          <w:sz w:val="18"/>
        </w:rPr>
        <w:t>Cabe señalar que si bien el gobierno estatal no está desarrollando actualmente acciones de vivienda terminada como lo hizo en el pasado, el esquema ha sido adaptado por un municipio adscrito a la Zona Metropolita del Valle de México. El fraccionamiento bicentenario fue desarrollado a iniciativa del presidente municipal de Tizayuca (2009-2012), para lo cual el municipio aportó un terreno de dos y media hectáreas (ubicado en la comunidad El Carmen), así como la electrificación y la pavimentación del desarrollo. De este modo, fueron edificados ciento sesenta y cuatro pies de casa de cuarenta metros cuadrados con el apoyo de fundación televisa (alianzas que construyen), FONHAPO y SEDESOL. Se tiene proyectado en el futuro un nuevo desarrollo de doscientas viviendas.</w:t>
      </w:r>
    </w:p>
    <w:p>
      <w:pPr>
        <w:spacing w:after="0" w:line="200" w:lineRule="exact"/>
        <w:jc w:val="both"/>
        <w:rPr>
          <w:sz w:val="18"/>
        </w:rPr>
        <w:sectPr>
          <w:pgSz w:w="9360" w:h="13040"/>
          <w:pgMar w:header="547" w:footer="507" w:top="940" w:bottom="700" w:left="1300" w:right="740"/>
        </w:sectPr>
      </w:pPr>
    </w:p>
    <w:p>
      <w:pPr>
        <w:pStyle w:val="BodyText"/>
        <w:rPr>
          <w:sz w:val="20"/>
        </w:rPr>
      </w:pPr>
    </w:p>
    <w:p>
      <w:pPr>
        <w:pStyle w:val="BodyText"/>
        <w:spacing w:before="1"/>
        <w:rPr>
          <w:sz w:val="29"/>
        </w:rPr>
      </w:pPr>
    </w:p>
    <w:p>
      <w:pPr>
        <w:spacing w:line="260" w:lineRule="exact" w:before="77"/>
        <w:ind w:left="110" w:right="111" w:firstLine="0"/>
        <w:jc w:val="both"/>
        <w:rPr>
          <w:sz w:val="23"/>
        </w:rPr>
      </w:pPr>
      <w:r>
        <w:rPr>
          <w:sz w:val="23"/>
        </w:rPr>
        <w:t>Otros apoyos asistenciales dispersos para vivienda social que este texto ha referido son: a) </w:t>
      </w:r>
      <w:r>
        <w:rPr>
          <w:i/>
          <w:sz w:val="23"/>
        </w:rPr>
        <w:t>has mi vida digna, </w:t>
      </w:r>
      <w:r>
        <w:rPr>
          <w:sz w:val="23"/>
        </w:rPr>
        <w:t>del Instituto para la Atención de Adul-   tos Mayores (IAAM); b) </w:t>
      </w:r>
      <w:r>
        <w:rPr>
          <w:i/>
          <w:sz w:val="23"/>
        </w:rPr>
        <w:t>subprogramas de mejoramiento de vivienda y de </w:t>
      </w:r>
      <w:r>
        <w:rPr>
          <w:i/>
          <w:sz w:val="23"/>
        </w:rPr>
        <w:t>piso</w:t>
      </w:r>
      <w:r>
        <w:rPr>
          <w:i/>
          <w:spacing w:val="14"/>
          <w:sz w:val="23"/>
        </w:rPr>
        <w:t> </w:t>
      </w:r>
      <w:r>
        <w:rPr>
          <w:i/>
          <w:sz w:val="23"/>
        </w:rPr>
        <w:t>digno</w:t>
      </w:r>
      <w:r>
        <w:rPr>
          <w:i/>
          <w:spacing w:val="14"/>
          <w:sz w:val="23"/>
        </w:rPr>
        <w:t> </w:t>
      </w:r>
      <w:r>
        <w:rPr>
          <w:i/>
          <w:sz w:val="23"/>
        </w:rPr>
        <w:t>para</w:t>
      </w:r>
      <w:r>
        <w:rPr>
          <w:i/>
          <w:spacing w:val="14"/>
          <w:sz w:val="23"/>
        </w:rPr>
        <w:t> </w:t>
      </w:r>
      <w:r>
        <w:rPr>
          <w:i/>
          <w:sz w:val="23"/>
        </w:rPr>
        <w:t>mi</w:t>
      </w:r>
      <w:r>
        <w:rPr>
          <w:i/>
          <w:spacing w:val="14"/>
          <w:sz w:val="23"/>
        </w:rPr>
        <w:t> </w:t>
      </w:r>
      <w:r>
        <w:rPr>
          <w:i/>
          <w:sz w:val="23"/>
        </w:rPr>
        <w:t>casa,</w:t>
      </w:r>
      <w:r>
        <w:rPr>
          <w:i/>
          <w:spacing w:val="14"/>
          <w:sz w:val="23"/>
        </w:rPr>
        <w:t> </w:t>
      </w:r>
      <w:r>
        <w:rPr>
          <w:sz w:val="23"/>
        </w:rPr>
        <w:t>de</w:t>
      </w:r>
      <w:r>
        <w:rPr>
          <w:spacing w:val="14"/>
          <w:sz w:val="23"/>
        </w:rPr>
        <w:t> </w:t>
      </w:r>
      <w:r>
        <w:rPr>
          <w:sz w:val="23"/>
        </w:rPr>
        <w:t>la</w:t>
      </w:r>
      <w:r>
        <w:rPr>
          <w:spacing w:val="14"/>
          <w:sz w:val="23"/>
        </w:rPr>
        <w:t> </w:t>
      </w:r>
      <w:r>
        <w:rPr>
          <w:sz w:val="23"/>
        </w:rPr>
        <w:t>SEDESO;</w:t>
      </w:r>
      <w:r>
        <w:rPr>
          <w:spacing w:val="15"/>
          <w:sz w:val="23"/>
        </w:rPr>
        <w:t> </w:t>
      </w:r>
      <w:r>
        <w:rPr>
          <w:sz w:val="23"/>
        </w:rPr>
        <w:t>c)</w:t>
      </w:r>
      <w:r>
        <w:rPr>
          <w:spacing w:val="14"/>
          <w:sz w:val="23"/>
        </w:rPr>
        <w:t> </w:t>
      </w:r>
      <w:r>
        <w:rPr>
          <w:i/>
          <w:sz w:val="23"/>
        </w:rPr>
        <w:t>nuevos</w:t>
      </w:r>
      <w:r>
        <w:rPr>
          <w:i/>
          <w:spacing w:val="14"/>
          <w:sz w:val="23"/>
        </w:rPr>
        <w:t> </w:t>
      </w:r>
      <w:r>
        <w:rPr>
          <w:i/>
          <w:sz w:val="23"/>
        </w:rPr>
        <w:t>hogares,</w:t>
      </w:r>
      <w:r>
        <w:rPr>
          <w:i/>
          <w:spacing w:val="14"/>
          <w:sz w:val="23"/>
        </w:rPr>
        <w:t> </w:t>
      </w:r>
      <w:r>
        <w:rPr>
          <w:sz w:val="23"/>
        </w:rPr>
        <w:t>del</w:t>
      </w:r>
      <w:r>
        <w:rPr>
          <w:spacing w:val="14"/>
          <w:sz w:val="23"/>
        </w:rPr>
        <w:t> </w:t>
      </w:r>
      <w:r>
        <w:rPr>
          <w:sz w:val="23"/>
        </w:rPr>
        <w:t>DIFEH;</w:t>
      </w:r>
      <w:r>
        <w:rPr>
          <w:spacing w:val="15"/>
          <w:sz w:val="23"/>
        </w:rPr>
        <w:t> </w:t>
      </w:r>
      <w:r>
        <w:rPr>
          <w:sz w:val="23"/>
        </w:rPr>
        <w:t>y</w:t>
      </w:r>
    </w:p>
    <w:p>
      <w:pPr>
        <w:pStyle w:val="ListParagraph"/>
        <w:numPr>
          <w:ilvl w:val="0"/>
          <w:numId w:val="16"/>
        </w:numPr>
        <w:tabs>
          <w:tab w:pos="380" w:val="left" w:leader="none"/>
        </w:tabs>
        <w:spacing w:line="235" w:lineRule="auto" w:before="0" w:after="0"/>
        <w:ind w:left="110" w:right="111" w:firstLine="0"/>
        <w:jc w:val="both"/>
        <w:rPr>
          <w:sz w:val="23"/>
        </w:rPr>
      </w:pPr>
      <w:r>
        <w:rPr>
          <w:i/>
          <w:sz w:val="23"/>
        </w:rPr>
        <w:t>Programa de Regularización de la Tenencia de la Tierra del Estado de </w:t>
      </w:r>
      <w:r>
        <w:rPr>
          <w:i/>
          <w:sz w:val="23"/>
        </w:rPr>
        <w:t>Hidalgo</w:t>
      </w:r>
      <w:r>
        <w:rPr>
          <w:sz w:val="23"/>
        </w:rPr>
        <w:t>, de la Coordinación Jurídica de la Secretaría General de Gobierno del Estado. Por otra parte, en paralelo a la indefinición de una estrategia </w:t>
      </w:r>
      <w:r>
        <w:rPr>
          <w:spacing w:val="2"/>
          <w:sz w:val="23"/>
        </w:rPr>
        <w:t>más </w:t>
      </w:r>
      <w:r>
        <w:rPr>
          <w:sz w:val="23"/>
        </w:rPr>
        <w:t>acabada de vivienda social, el gobierno estatal mantiene mayoritariamen-    te centralizada la emisión de autorizaciones de desarrollo urbano y esto le distrae de la proyección habitacional</w:t>
      </w:r>
      <w:r>
        <w:rPr>
          <w:position w:val="8"/>
          <w:sz w:val="13"/>
        </w:rPr>
        <w:t>227</w:t>
      </w:r>
      <w:r>
        <w:rPr>
          <w:sz w:val="23"/>
        </w:rPr>
        <w:t>. En tal sentido, únicamente el muni- cipio de Tepeji del Río ha celebrado convenio con el estado para recibir </w:t>
      </w:r>
      <w:r>
        <w:rPr>
          <w:spacing w:val="2"/>
          <w:sz w:val="23"/>
        </w:rPr>
        <w:t>las </w:t>
      </w:r>
      <w:r>
        <w:rPr>
          <w:sz w:val="23"/>
        </w:rPr>
        <w:t>facultades respectivas según la estrategia de desconcentración estatal; mien- tras que los municipios de Pachuca, Tizayuca, Atotonilco de Tula, Tula, Mi- neral de la Reforma y Tulancingo asumieron unilateralmente la expedición de las</w:t>
      </w:r>
      <w:r>
        <w:rPr>
          <w:spacing w:val="49"/>
          <w:sz w:val="23"/>
        </w:rPr>
        <w:t> </w:t>
      </w:r>
      <w:r>
        <w:rPr>
          <w:sz w:val="23"/>
        </w:rPr>
        <w:t>autorizaciones</w:t>
      </w:r>
      <w:r>
        <w:rPr>
          <w:position w:val="8"/>
          <w:sz w:val="13"/>
        </w:rPr>
        <w:t>228</w:t>
      </w:r>
      <w:r>
        <w:rPr>
          <w:sz w:val="23"/>
        </w:rPr>
        <w:t>.</w:t>
      </w:r>
    </w:p>
    <w:p>
      <w:pPr>
        <w:pStyle w:val="BodyText"/>
        <w:spacing w:before="10"/>
        <w:rPr>
          <w:sz w:val="22"/>
        </w:rPr>
      </w:pPr>
    </w:p>
    <w:p>
      <w:pPr>
        <w:pStyle w:val="BodyText"/>
        <w:spacing w:line="260" w:lineRule="exact"/>
        <w:ind w:left="110" w:right="114"/>
        <w:jc w:val="both"/>
      </w:pPr>
      <w:r>
        <w:rPr/>
        <w:t>Lo anterior significa que el gobierno estatal ejerce directamente las funciones que constitucionalmente le corresponden a los restantes setenta     y siete municipios. Pese a ello, la actual distribución de la administración urbana en el estado no se traduce en eficiencia, pues ambos esquemas (el descentralizado y el centralizado) se fundamentan en estatutos de suelo sumamente</w:t>
      </w:r>
      <w:r>
        <w:rPr>
          <w:spacing w:val="-8"/>
        </w:rPr>
        <w:t> </w:t>
      </w:r>
      <w:r>
        <w:rPr/>
        <w:t>desactualizados.</w:t>
      </w:r>
    </w:p>
    <w:p>
      <w:pPr>
        <w:pStyle w:val="BodyText"/>
        <w:rPr>
          <w:sz w:val="22"/>
        </w:rPr>
      </w:pPr>
    </w:p>
    <w:p>
      <w:pPr>
        <w:pStyle w:val="Heading3"/>
        <w:ind w:left="110"/>
      </w:pPr>
      <w:bookmarkStart w:name="_TOC_250011" w:id="32"/>
      <w:bookmarkEnd w:id="32"/>
      <w:r>
        <w:rPr/>
        <w:t>Conclusiones del Capítulo VI.</w:t>
      </w:r>
    </w:p>
    <w:p>
      <w:pPr>
        <w:pStyle w:val="BodyText"/>
        <w:spacing w:before="9"/>
        <w:rPr>
          <w:b/>
          <w:sz w:val="22"/>
        </w:rPr>
      </w:pPr>
    </w:p>
    <w:p>
      <w:pPr>
        <w:pStyle w:val="BodyText"/>
        <w:spacing w:line="260" w:lineRule="exact"/>
        <w:ind w:left="110" w:right="114"/>
        <w:jc w:val="both"/>
      </w:pPr>
      <w:r>
        <w:rPr/>
        <w:t>La valoración apoyada en la escala de evaluación correspondiente a este capítulo</w:t>
      </w:r>
      <w:r>
        <w:rPr>
          <w:spacing w:val="-7"/>
        </w:rPr>
        <w:t> </w:t>
      </w:r>
      <w:r>
        <w:rPr/>
        <w:t>coloca</w:t>
      </w:r>
      <w:r>
        <w:rPr>
          <w:spacing w:val="-7"/>
        </w:rPr>
        <w:t> </w:t>
      </w:r>
      <w:r>
        <w:rPr/>
        <w:t>a</w:t>
      </w:r>
      <w:r>
        <w:rPr>
          <w:spacing w:val="-7"/>
        </w:rPr>
        <w:t> </w:t>
      </w:r>
      <w:r>
        <w:rPr/>
        <w:t>la</w:t>
      </w:r>
      <w:r>
        <w:rPr>
          <w:spacing w:val="-7"/>
        </w:rPr>
        <w:t> </w:t>
      </w:r>
      <w:r>
        <w:rPr/>
        <w:t>entidad</w:t>
      </w:r>
      <w:r>
        <w:rPr>
          <w:spacing w:val="-7"/>
        </w:rPr>
        <w:t> </w:t>
      </w:r>
      <w:r>
        <w:rPr/>
        <w:t>por</w:t>
      </w:r>
      <w:r>
        <w:rPr>
          <w:spacing w:val="-7"/>
        </w:rPr>
        <w:t> </w:t>
      </w:r>
      <w:r>
        <w:rPr/>
        <w:t>debajo</w:t>
      </w:r>
      <w:r>
        <w:rPr>
          <w:spacing w:val="-7"/>
        </w:rPr>
        <w:t> </w:t>
      </w:r>
      <w:r>
        <w:rPr/>
        <w:t>de</w:t>
      </w:r>
      <w:r>
        <w:rPr>
          <w:spacing w:val="-7"/>
        </w:rPr>
        <w:t> </w:t>
      </w:r>
      <w:r>
        <w:rPr/>
        <w:t>la</w:t>
      </w:r>
      <w:r>
        <w:rPr>
          <w:spacing w:val="-7"/>
        </w:rPr>
        <w:t> </w:t>
      </w:r>
      <w:r>
        <w:rPr/>
        <w:t>media</w:t>
      </w:r>
      <w:r>
        <w:rPr>
          <w:spacing w:val="-7"/>
        </w:rPr>
        <w:t> </w:t>
      </w:r>
      <w:r>
        <w:rPr/>
        <w:t>lograda</w:t>
      </w:r>
      <w:r>
        <w:rPr>
          <w:spacing w:val="-8"/>
        </w:rPr>
        <w:t> </w:t>
      </w:r>
      <w:r>
        <w:rPr/>
        <w:t>en</w:t>
      </w:r>
      <w:r>
        <w:rPr>
          <w:spacing w:val="-7"/>
        </w:rPr>
        <w:t> </w:t>
      </w:r>
      <w:r>
        <w:rPr/>
        <w:t>investigaciones anteriores (3.50). Con una evaluación de 2.25, la articulación y evolución potenciales</w:t>
      </w:r>
      <w:r>
        <w:rPr>
          <w:spacing w:val="-26"/>
        </w:rPr>
        <w:t> </w:t>
      </w:r>
      <w:r>
        <w:rPr/>
        <w:t>de</w:t>
      </w:r>
      <w:r>
        <w:rPr>
          <w:spacing w:val="-26"/>
        </w:rPr>
        <w:t> </w:t>
      </w:r>
      <w:r>
        <w:rPr/>
        <w:t>los</w:t>
      </w:r>
      <w:r>
        <w:rPr>
          <w:spacing w:val="-26"/>
        </w:rPr>
        <w:t> </w:t>
      </w:r>
      <w:r>
        <w:rPr/>
        <w:t>esquemas</w:t>
      </w:r>
      <w:r>
        <w:rPr>
          <w:spacing w:val="-27"/>
        </w:rPr>
        <w:t> </w:t>
      </w:r>
      <w:r>
        <w:rPr/>
        <w:t>asistenciales</w:t>
      </w:r>
      <w:r>
        <w:rPr>
          <w:spacing w:val="-27"/>
        </w:rPr>
        <w:t> </w:t>
      </w:r>
      <w:r>
        <w:rPr/>
        <w:t>de</w:t>
      </w:r>
      <w:r>
        <w:rPr>
          <w:spacing w:val="-26"/>
        </w:rPr>
        <w:t> </w:t>
      </w:r>
      <w:r>
        <w:rPr/>
        <w:t>vivienda</w:t>
      </w:r>
      <w:r>
        <w:rPr>
          <w:spacing w:val="-26"/>
        </w:rPr>
        <w:t> </w:t>
      </w:r>
      <w:r>
        <w:rPr/>
        <w:t>social</w:t>
      </w:r>
      <w:r>
        <w:rPr>
          <w:spacing w:val="-26"/>
        </w:rPr>
        <w:t> </w:t>
      </w:r>
      <w:r>
        <w:rPr/>
        <w:t>y</w:t>
      </w:r>
      <w:r>
        <w:rPr>
          <w:spacing w:val="-26"/>
        </w:rPr>
        <w:t> </w:t>
      </w:r>
      <w:r>
        <w:rPr/>
        <w:t>de</w:t>
      </w:r>
      <w:r>
        <w:rPr>
          <w:spacing w:val="-26"/>
        </w:rPr>
        <w:t> </w:t>
      </w:r>
      <w:r>
        <w:rPr/>
        <w:t>regularización de la tenencia de la tierra establecen los insumos potenciales aún muy rezagados para el desarrollo de la esencia subsidiaria. La propuesta </w:t>
      </w:r>
      <w:r>
        <w:rPr>
          <w:spacing w:val="10"/>
        </w:rPr>
        <w:t> </w:t>
      </w:r>
      <w:r>
        <w:rPr/>
        <w:t>temática</w:t>
      </w:r>
    </w:p>
    <w:p>
      <w:pPr>
        <w:pStyle w:val="BodyText"/>
        <w:spacing w:before="3"/>
        <w:rPr>
          <w:sz w:val="13"/>
        </w:rPr>
      </w:pPr>
      <w:r>
        <w:rPr/>
        <w:pict>
          <v:line style="position:absolute;mso-position-horizontal-relative:page;mso-position-vertical-relative:paragraph;z-index:5608;mso-wrap-distance-left:0;mso-wrap-distance-right:0" from="42.519699pt,10.108094pt" to="114.519699pt,10.108094pt" stroked="true" strokeweight="1pt" strokecolor="#000000">
            <w10:wrap type="topAndBottom"/>
          </v:line>
        </w:pict>
      </w:r>
    </w:p>
    <w:p>
      <w:pPr>
        <w:spacing w:line="249" w:lineRule="auto" w:before="28"/>
        <w:ind w:left="393" w:right="115" w:hanging="284"/>
        <w:jc w:val="both"/>
        <w:rPr>
          <w:sz w:val="18"/>
        </w:rPr>
      </w:pPr>
      <w:r>
        <w:rPr>
          <w:position w:val="7"/>
          <w:sz w:val="11"/>
        </w:rPr>
        <w:t>227 </w:t>
      </w:r>
      <w:r>
        <w:rPr>
          <w:sz w:val="18"/>
        </w:rPr>
        <w:t>El término </w:t>
      </w:r>
      <w:r>
        <w:rPr>
          <w:i/>
          <w:sz w:val="18"/>
        </w:rPr>
        <w:t>autorizaciones de desarrollo urbano </w:t>
      </w:r>
      <w:r>
        <w:rPr>
          <w:sz w:val="18"/>
        </w:rPr>
        <w:t>se refiere genéricamente a las licencias, permisos, autorizaciones, constancias y dictámenes de uso del suelo, de construcción, fraccionamiento,</w:t>
      </w:r>
      <w:r>
        <w:rPr>
          <w:spacing w:val="-17"/>
          <w:sz w:val="18"/>
        </w:rPr>
        <w:t> </w:t>
      </w:r>
      <w:r>
        <w:rPr>
          <w:sz w:val="18"/>
        </w:rPr>
        <w:t>urbanización,</w:t>
      </w:r>
      <w:r>
        <w:rPr>
          <w:spacing w:val="-17"/>
          <w:sz w:val="18"/>
        </w:rPr>
        <w:t> </w:t>
      </w:r>
      <w:r>
        <w:rPr>
          <w:sz w:val="18"/>
        </w:rPr>
        <w:t>fusión,</w:t>
      </w:r>
      <w:r>
        <w:rPr>
          <w:spacing w:val="-17"/>
          <w:sz w:val="18"/>
        </w:rPr>
        <w:t> </w:t>
      </w:r>
      <w:r>
        <w:rPr>
          <w:sz w:val="18"/>
        </w:rPr>
        <w:t>subdivisión,</w:t>
      </w:r>
      <w:r>
        <w:rPr>
          <w:spacing w:val="-17"/>
          <w:sz w:val="18"/>
        </w:rPr>
        <w:t> </w:t>
      </w:r>
      <w:r>
        <w:rPr>
          <w:sz w:val="18"/>
        </w:rPr>
        <w:t>relotificación,</w:t>
      </w:r>
      <w:r>
        <w:rPr>
          <w:spacing w:val="-17"/>
          <w:sz w:val="18"/>
        </w:rPr>
        <w:t> </w:t>
      </w:r>
      <w:r>
        <w:rPr>
          <w:sz w:val="18"/>
        </w:rPr>
        <w:t>reagrupamiento</w:t>
      </w:r>
      <w:r>
        <w:rPr>
          <w:spacing w:val="-17"/>
          <w:sz w:val="18"/>
        </w:rPr>
        <w:t> </w:t>
      </w:r>
      <w:r>
        <w:rPr>
          <w:sz w:val="18"/>
        </w:rPr>
        <w:t>inmobiliario, cambio a régimen de propiedad en condominio y otros tendientes a la transformación, uso o aprovechamiento del suelo urbano, así como los permisos relacionados con la remodelación y urbanización.</w:t>
      </w:r>
    </w:p>
    <w:p>
      <w:pPr>
        <w:spacing w:line="249" w:lineRule="auto" w:before="20"/>
        <w:ind w:left="393" w:right="116" w:hanging="284"/>
        <w:jc w:val="both"/>
        <w:rPr>
          <w:sz w:val="18"/>
        </w:rPr>
      </w:pPr>
      <w:r>
        <w:rPr>
          <w:position w:val="7"/>
          <w:sz w:val="11"/>
        </w:rPr>
        <w:t>228</w:t>
      </w:r>
      <w:r>
        <w:rPr>
          <w:spacing w:val="25"/>
          <w:position w:val="7"/>
          <w:sz w:val="11"/>
        </w:rPr>
        <w:t> </w:t>
      </w:r>
      <w:r>
        <w:rPr>
          <w:sz w:val="18"/>
        </w:rPr>
        <w:t>Información</w:t>
      </w:r>
      <w:r>
        <w:rPr>
          <w:spacing w:val="-13"/>
          <w:sz w:val="18"/>
        </w:rPr>
        <w:t> </w:t>
      </w:r>
      <w:r>
        <w:rPr>
          <w:sz w:val="18"/>
        </w:rPr>
        <w:t>interpretada</w:t>
      </w:r>
      <w:r>
        <w:rPr>
          <w:spacing w:val="-14"/>
          <w:sz w:val="18"/>
        </w:rPr>
        <w:t> </w:t>
      </w:r>
      <w:r>
        <w:rPr>
          <w:sz w:val="18"/>
        </w:rPr>
        <w:t>por</w:t>
      </w:r>
      <w:r>
        <w:rPr>
          <w:spacing w:val="-13"/>
          <w:sz w:val="18"/>
        </w:rPr>
        <w:t> </w:t>
      </w:r>
      <w:r>
        <w:rPr>
          <w:sz w:val="18"/>
        </w:rPr>
        <w:t>el</w:t>
      </w:r>
      <w:r>
        <w:rPr>
          <w:spacing w:val="-13"/>
          <w:sz w:val="18"/>
        </w:rPr>
        <w:t> </w:t>
      </w:r>
      <w:r>
        <w:rPr>
          <w:sz w:val="18"/>
        </w:rPr>
        <w:t>autor</w:t>
      </w:r>
      <w:r>
        <w:rPr>
          <w:spacing w:val="-13"/>
          <w:sz w:val="18"/>
        </w:rPr>
        <w:t> </w:t>
      </w:r>
      <w:r>
        <w:rPr>
          <w:sz w:val="18"/>
        </w:rPr>
        <w:t>según</w:t>
      </w:r>
      <w:r>
        <w:rPr>
          <w:spacing w:val="-13"/>
          <w:sz w:val="18"/>
        </w:rPr>
        <w:t> </w:t>
      </w:r>
      <w:r>
        <w:rPr>
          <w:sz w:val="18"/>
        </w:rPr>
        <w:t>base</w:t>
      </w:r>
      <w:r>
        <w:rPr>
          <w:spacing w:val="-13"/>
          <w:sz w:val="18"/>
        </w:rPr>
        <w:t> </w:t>
      </w:r>
      <w:r>
        <w:rPr>
          <w:sz w:val="18"/>
        </w:rPr>
        <w:t>de</w:t>
      </w:r>
      <w:r>
        <w:rPr>
          <w:spacing w:val="-13"/>
          <w:sz w:val="18"/>
        </w:rPr>
        <w:t> </w:t>
      </w:r>
      <w:r>
        <w:rPr>
          <w:sz w:val="18"/>
        </w:rPr>
        <w:t>datos</w:t>
      </w:r>
      <w:r>
        <w:rPr>
          <w:spacing w:val="-13"/>
          <w:sz w:val="18"/>
        </w:rPr>
        <w:t> </w:t>
      </w:r>
      <w:r>
        <w:rPr>
          <w:sz w:val="18"/>
        </w:rPr>
        <w:t>indicada</w:t>
      </w:r>
      <w:r>
        <w:rPr>
          <w:spacing w:val="-13"/>
          <w:sz w:val="18"/>
        </w:rPr>
        <w:t> </w:t>
      </w:r>
      <w:r>
        <w:rPr>
          <w:sz w:val="18"/>
        </w:rPr>
        <w:t>por</w:t>
      </w:r>
      <w:r>
        <w:rPr>
          <w:spacing w:val="-13"/>
          <w:sz w:val="18"/>
        </w:rPr>
        <w:t> </w:t>
      </w:r>
      <w:r>
        <w:rPr>
          <w:sz w:val="18"/>
        </w:rPr>
        <w:t>la</w:t>
      </w:r>
      <w:r>
        <w:rPr>
          <w:spacing w:val="-13"/>
          <w:sz w:val="18"/>
        </w:rPr>
        <w:t> </w:t>
      </w:r>
      <w:r>
        <w:rPr>
          <w:sz w:val="18"/>
        </w:rPr>
        <w:t>Unidad</w:t>
      </w:r>
      <w:r>
        <w:rPr>
          <w:spacing w:val="-13"/>
          <w:sz w:val="18"/>
        </w:rPr>
        <w:t> </w:t>
      </w:r>
      <w:r>
        <w:rPr>
          <w:sz w:val="18"/>
        </w:rPr>
        <w:t>de</w:t>
      </w:r>
      <w:r>
        <w:rPr>
          <w:spacing w:val="-13"/>
          <w:sz w:val="18"/>
        </w:rPr>
        <w:t> </w:t>
      </w:r>
      <w:r>
        <w:rPr>
          <w:sz w:val="18"/>
        </w:rPr>
        <w:t>Información Pública Gubernamental del Poder Ejecutivo del Estado de Hidalgo, según solicitud con el número de expediente 00204710 del sistema INFOMEX Hidalgo, 4 de febrero del año</w:t>
      </w:r>
      <w:r>
        <w:rPr>
          <w:spacing w:val="-8"/>
          <w:sz w:val="18"/>
        </w:rPr>
        <w:t> </w:t>
      </w:r>
      <w:r>
        <w:rPr>
          <w:sz w:val="18"/>
        </w:rPr>
        <w:t>2011.</w:t>
      </w:r>
    </w:p>
    <w:p>
      <w:pPr>
        <w:spacing w:after="0" w:line="249" w:lineRule="auto"/>
        <w:jc w:val="both"/>
        <w:rPr>
          <w:sz w:val="18"/>
        </w:rPr>
        <w:sectPr>
          <w:pgSz w:w="9360" w:h="13040"/>
          <w:pgMar w:header="534" w:footer="515" w:top="720" w:bottom="700" w:left="740" w:right="1300"/>
        </w:sectPr>
      </w:pPr>
    </w:p>
    <w:p>
      <w:pPr>
        <w:pStyle w:val="BodyText"/>
        <w:spacing w:before="11"/>
        <w:rPr>
          <w:sz w:val="29"/>
        </w:rPr>
      </w:pPr>
    </w:p>
    <w:p>
      <w:pPr>
        <w:pStyle w:val="BodyText"/>
        <w:spacing w:line="260" w:lineRule="exact" w:before="77"/>
        <w:ind w:left="117" w:right="107"/>
        <w:jc w:val="both"/>
      </w:pPr>
      <w:r>
        <w:rPr/>
        <w:t>respectiva es análoga a aquella del capítulo anterior por coincidir en criterios de bienestar social.</w:t>
      </w:r>
    </w:p>
    <w:p>
      <w:pPr>
        <w:pStyle w:val="BodyText"/>
        <w:spacing w:before="7"/>
        <w:rPr>
          <w:sz w:val="22"/>
        </w:rPr>
      </w:pPr>
    </w:p>
    <w:p>
      <w:pPr>
        <w:pStyle w:val="BodyText"/>
        <w:spacing w:line="260" w:lineRule="exact"/>
        <w:ind w:left="117" w:right="107"/>
        <w:jc w:val="both"/>
      </w:pPr>
      <w:r>
        <w:rPr/>
        <w:t>Los énfasis necesarios son los siguientes: a) en la etapa más avanzada de depuración</w:t>
      </w:r>
      <w:r>
        <w:rPr>
          <w:spacing w:val="-20"/>
        </w:rPr>
        <w:t> </w:t>
      </w:r>
      <w:r>
        <w:rPr/>
        <w:t>asociativa</w:t>
      </w:r>
      <w:r>
        <w:rPr>
          <w:spacing w:val="-21"/>
        </w:rPr>
        <w:t> </w:t>
      </w:r>
      <w:r>
        <w:rPr/>
        <w:t>del</w:t>
      </w:r>
      <w:r>
        <w:rPr>
          <w:spacing w:val="-20"/>
        </w:rPr>
        <w:t> </w:t>
      </w:r>
      <w:r>
        <w:rPr/>
        <w:t>consejo</w:t>
      </w:r>
      <w:r>
        <w:rPr>
          <w:spacing w:val="-21"/>
        </w:rPr>
        <w:t> </w:t>
      </w:r>
      <w:r>
        <w:rPr/>
        <w:t>estatal</w:t>
      </w:r>
      <w:r>
        <w:rPr>
          <w:spacing w:val="-21"/>
        </w:rPr>
        <w:t> </w:t>
      </w:r>
      <w:r>
        <w:rPr/>
        <w:t>de</w:t>
      </w:r>
      <w:r>
        <w:rPr>
          <w:spacing w:val="-20"/>
        </w:rPr>
        <w:t> </w:t>
      </w:r>
      <w:r>
        <w:rPr/>
        <w:t>vivienda,</w:t>
      </w:r>
      <w:r>
        <w:rPr>
          <w:spacing w:val="-20"/>
        </w:rPr>
        <w:t> </w:t>
      </w:r>
      <w:r>
        <w:rPr/>
        <w:t>en</w:t>
      </w:r>
      <w:r>
        <w:rPr>
          <w:spacing w:val="-20"/>
        </w:rPr>
        <w:t> </w:t>
      </w:r>
      <w:r>
        <w:rPr/>
        <w:t>secuencia</w:t>
      </w:r>
      <w:r>
        <w:rPr>
          <w:spacing w:val="-20"/>
        </w:rPr>
        <w:t> </w:t>
      </w:r>
      <w:r>
        <w:rPr/>
        <w:t>y</w:t>
      </w:r>
      <w:r>
        <w:rPr>
          <w:spacing w:val="-20"/>
        </w:rPr>
        <w:t> </w:t>
      </w:r>
      <w:r>
        <w:rPr/>
        <w:t>funciones equivalentes a las del consejo de desarrollo  social,  la  colaboración entre  los órdenes federales de gobierno y los actores privados debe promoverse con especial relevancia, la razón obedece a que el sector estratégico es extraordinariamente complejo y los insumos de bienestar provienen de una costosa producción; b) se deberá reivindicar la capacidad de producción coordinada de pies de casa que caracterizó en el pasado a la PROVIH como dependencia especializada de bienestar, proyectando después una mejora continua</w:t>
      </w:r>
      <w:r>
        <w:rPr>
          <w:spacing w:val="-7"/>
        </w:rPr>
        <w:t> </w:t>
      </w:r>
      <w:r>
        <w:rPr/>
        <w:t>que</w:t>
      </w:r>
      <w:r>
        <w:rPr>
          <w:spacing w:val="-7"/>
        </w:rPr>
        <w:t> </w:t>
      </w:r>
      <w:r>
        <w:rPr/>
        <w:t>controle</w:t>
      </w:r>
      <w:r>
        <w:rPr>
          <w:spacing w:val="-7"/>
        </w:rPr>
        <w:t> </w:t>
      </w:r>
      <w:r>
        <w:rPr/>
        <w:t>efectivamente</w:t>
      </w:r>
      <w:r>
        <w:rPr>
          <w:spacing w:val="-7"/>
        </w:rPr>
        <w:t> </w:t>
      </w:r>
      <w:r>
        <w:rPr/>
        <w:t>el</w:t>
      </w:r>
      <w:r>
        <w:rPr>
          <w:spacing w:val="-7"/>
        </w:rPr>
        <w:t> </w:t>
      </w:r>
      <w:r>
        <w:rPr/>
        <w:t>rezago</w:t>
      </w:r>
      <w:r>
        <w:rPr>
          <w:spacing w:val="-7"/>
        </w:rPr>
        <w:t> </w:t>
      </w:r>
      <w:r>
        <w:rPr/>
        <w:t>de</w:t>
      </w:r>
      <w:r>
        <w:rPr>
          <w:spacing w:val="-7"/>
        </w:rPr>
        <w:t> </w:t>
      </w:r>
      <w:r>
        <w:rPr/>
        <w:t>vivienda</w:t>
      </w:r>
      <w:r>
        <w:rPr>
          <w:spacing w:val="-7"/>
        </w:rPr>
        <w:t> </w:t>
      </w:r>
      <w:r>
        <w:rPr/>
        <w:t>social</w:t>
      </w:r>
      <w:r>
        <w:rPr>
          <w:spacing w:val="-7"/>
        </w:rPr>
        <w:t> </w:t>
      </w:r>
      <w:r>
        <w:rPr/>
        <w:t>y</w:t>
      </w:r>
      <w:r>
        <w:rPr>
          <w:spacing w:val="-7"/>
        </w:rPr>
        <w:t> </w:t>
      </w:r>
      <w:r>
        <w:rPr/>
        <w:t>que</w:t>
      </w:r>
      <w:r>
        <w:rPr>
          <w:spacing w:val="-7"/>
        </w:rPr>
        <w:t> </w:t>
      </w:r>
      <w:r>
        <w:rPr/>
        <w:t>aporte hogares dignos; y c) vincular objetivamente el programa de regularización  de tenencia de la tierra y consumar la descentralización de la administración urbana hacia el orden municipal de gobierno, evitando así que éste último aspecto</w:t>
      </w:r>
      <w:r>
        <w:rPr>
          <w:spacing w:val="-13"/>
        </w:rPr>
        <w:t> </w:t>
      </w:r>
      <w:r>
        <w:rPr/>
        <w:t>siga</w:t>
      </w:r>
      <w:r>
        <w:rPr>
          <w:spacing w:val="-12"/>
        </w:rPr>
        <w:t> </w:t>
      </w:r>
      <w:r>
        <w:rPr/>
        <w:t>distrayendo</w:t>
      </w:r>
      <w:r>
        <w:rPr>
          <w:spacing w:val="-13"/>
        </w:rPr>
        <w:t> </w:t>
      </w:r>
      <w:r>
        <w:rPr/>
        <w:t>al</w:t>
      </w:r>
      <w:r>
        <w:rPr>
          <w:spacing w:val="-13"/>
        </w:rPr>
        <w:t> </w:t>
      </w:r>
      <w:r>
        <w:rPr/>
        <w:t>gobierno</w:t>
      </w:r>
      <w:r>
        <w:rPr>
          <w:spacing w:val="-13"/>
        </w:rPr>
        <w:t> </w:t>
      </w:r>
      <w:r>
        <w:rPr/>
        <w:t>estatal</w:t>
      </w:r>
      <w:r>
        <w:rPr>
          <w:spacing w:val="-13"/>
        </w:rPr>
        <w:t> </w:t>
      </w:r>
      <w:r>
        <w:rPr/>
        <w:t>de</w:t>
      </w:r>
      <w:r>
        <w:rPr>
          <w:spacing w:val="-13"/>
        </w:rPr>
        <w:t> </w:t>
      </w:r>
      <w:r>
        <w:rPr/>
        <w:t>la</w:t>
      </w:r>
      <w:r>
        <w:rPr>
          <w:spacing w:val="-13"/>
        </w:rPr>
        <w:t> </w:t>
      </w:r>
      <w:r>
        <w:rPr/>
        <w:t>labor</w:t>
      </w:r>
      <w:r>
        <w:rPr>
          <w:spacing w:val="-13"/>
        </w:rPr>
        <w:t> </w:t>
      </w:r>
      <w:r>
        <w:rPr/>
        <w:t>de</w:t>
      </w:r>
      <w:r>
        <w:rPr>
          <w:spacing w:val="-13"/>
        </w:rPr>
        <w:t> </w:t>
      </w:r>
      <w:r>
        <w:rPr/>
        <w:t>proyectar</w:t>
      </w:r>
      <w:r>
        <w:rPr>
          <w:spacing w:val="-13"/>
        </w:rPr>
        <w:t> </w:t>
      </w:r>
      <w:r>
        <w:rPr/>
        <w:t>resultados de verdadero valor</w:t>
      </w:r>
      <w:r>
        <w:rPr>
          <w:spacing w:val="-7"/>
        </w:rPr>
        <w:t> </w:t>
      </w:r>
      <w:r>
        <w:rPr/>
        <w:t>social.</w:t>
      </w:r>
    </w:p>
    <w:p>
      <w:pPr>
        <w:spacing w:after="0" w:line="260" w:lineRule="exact"/>
        <w:jc w:val="both"/>
        <w:sectPr>
          <w:pgSz w:w="9360" w:h="13040"/>
          <w:pgMar w:header="547" w:footer="507" w:top="940" w:bottom="700" w:left="1300" w:right="740"/>
        </w:sectPr>
      </w:pPr>
    </w:p>
    <w:p>
      <w:pPr>
        <w:pStyle w:val="BodyText"/>
        <w:rPr>
          <w:sz w:val="20"/>
        </w:rPr>
      </w:pPr>
    </w:p>
    <w:p>
      <w:pPr>
        <w:pStyle w:val="BodyText"/>
        <w:spacing w:before="9"/>
        <w:rPr>
          <w:sz w:val="28"/>
        </w:rPr>
      </w:pPr>
    </w:p>
    <w:p>
      <w:pPr>
        <w:pStyle w:val="Heading3"/>
        <w:spacing w:before="70"/>
        <w:ind w:left="2480"/>
        <w:jc w:val="left"/>
      </w:pPr>
      <w:bookmarkStart w:name="_TOC_250010" w:id="33"/>
      <w:bookmarkEnd w:id="33"/>
      <w:r>
        <w:rPr/>
        <w:t>Anexos del Capítulo VI.</w:t>
      </w:r>
    </w:p>
    <w:p>
      <w:pPr>
        <w:pStyle w:val="BodyText"/>
        <w:spacing w:before="9"/>
        <w:rPr>
          <w:b/>
          <w:sz w:val="10"/>
        </w:rPr>
      </w:pPr>
      <w:r>
        <w:rPr/>
        <w:drawing>
          <wp:anchor distT="0" distB="0" distL="0" distR="0" allowOverlap="1" layoutInCell="1" locked="0" behindDoc="0" simplePos="0" relativeHeight="5632">
            <wp:simplePos x="0" y="0"/>
            <wp:positionH relativeFrom="page">
              <wp:posOffset>540004</wp:posOffset>
            </wp:positionH>
            <wp:positionV relativeFrom="paragraph">
              <wp:posOffset>104031</wp:posOffset>
            </wp:positionV>
            <wp:extent cx="4543853" cy="2816352"/>
            <wp:effectExtent l="0" t="0" r="0" b="0"/>
            <wp:wrapTopAndBottom/>
            <wp:docPr id="133" name="image118.png" descr=""/>
            <wp:cNvGraphicFramePr>
              <a:graphicFrameLocks noChangeAspect="1"/>
            </wp:cNvGraphicFramePr>
            <a:graphic>
              <a:graphicData uri="http://schemas.openxmlformats.org/drawingml/2006/picture">
                <pic:pic>
                  <pic:nvPicPr>
                    <pic:cNvPr id="134" name="image118.png"/>
                    <pic:cNvPicPr/>
                  </pic:nvPicPr>
                  <pic:blipFill>
                    <a:blip r:embed="rId238" cstate="print"/>
                    <a:stretch>
                      <a:fillRect/>
                    </a:stretch>
                  </pic:blipFill>
                  <pic:spPr>
                    <a:xfrm>
                      <a:off x="0" y="0"/>
                      <a:ext cx="4543853" cy="2816352"/>
                    </a:xfrm>
                    <a:prstGeom prst="rect">
                      <a:avLst/>
                    </a:prstGeom>
                  </pic:spPr>
                </pic:pic>
              </a:graphicData>
            </a:graphic>
          </wp:anchor>
        </w:drawing>
      </w:r>
      <w:r>
        <w:rPr/>
        <w:drawing>
          <wp:anchor distT="0" distB="0" distL="0" distR="0" allowOverlap="1" layoutInCell="1" locked="0" behindDoc="0" simplePos="0" relativeHeight="5656">
            <wp:simplePos x="0" y="0"/>
            <wp:positionH relativeFrom="page">
              <wp:posOffset>544322</wp:posOffset>
            </wp:positionH>
            <wp:positionV relativeFrom="paragraph">
              <wp:posOffset>3020015</wp:posOffset>
            </wp:positionV>
            <wp:extent cx="4511825" cy="2798064"/>
            <wp:effectExtent l="0" t="0" r="0" b="0"/>
            <wp:wrapTopAndBottom/>
            <wp:docPr id="135" name="image119.png" descr=""/>
            <wp:cNvGraphicFramePr>
              <a:graphicFrameLocks noChangeAspect="1"/>
            </wp:cNvGraphicFramePr>
            <a:graphic>
              <a:graphicData uri="http://schemas.openxmlformats.org/drawingml/2006/picture">
                <pic:pic>
                  <pic:nvPicPr>
                    <pic:cNvPr id="136" name="image119.png"/>
                    <pic:cNvPicPr/>
                  </pic:nvPicPr>
                  <pic:blipFill>
                    <a:blip r:embed="rId239" cstate="print"/>
                    <a:stretch>
                      <a:fillRect/>
                    </a:stretch>
                  </pic:blipFill>
                  <pic:spPr>
                    <a:xfrm>
                      <a:off x="0" y="0"/>
                      <a:ext cx="4511825" cy="2798064"/>
                    </a:xfrm>
                    <a:prstGeom prst="rect">
                      <a:avLst/>
                    </a:prstGeom>
                  </pic:spPr>
                </pic:pic>
              </a:graphicData>
            </a:graphic>
          </wp:anchor>
        </w:drawing>
      </w:r>
    </w:p>
    <w:p>
      <w:pPr>
        <w:pStyle w:val="BodyText"/>
        <w:spacing w:before="8"/>
        <w:rPr>
          <w:b/>
          <w:sz w:val="7"/>
        </w:rPr>
      </w:pPr>
    </w:p>
    <w:p>
      <w:pPr>
        <w:pStyle w:val="BodyText"/>
        <w:spacing w:before="164"/>
        <w:ind w:left="1741"/>
      </w:pPr>
      <w:r>
        <w:rPr/>
        <w:t>Desarrollo de la PROVIH en Tepeapulco.</w:t>
      </w:r>
    </w:p>
    <w:p>
      <w:pPr>
        <w:spacing w:after="0"/>
        <w:sectPr>
          <w:pgSz w:w="9360" w:h="13040"/>
          <w:pgMar w:header="534" w:footer="515" w:top="72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p>
    <w:p>
      <w:pPr>
        <w:pStyle w:val="Heading1"/>
        <w:spacing w:before="54"/>
      </w:pPr>
      <w:bookmarkStart w:name="_TOC_250009" w:id="34"/>
      <w:bookmarkEnd w:id="34"/>
      <w:r>
        <w:rPr/>
        <w:t>TERCERA PARTE</w:t>
      </w:r>
    </w:p>
    <w:p>
      <w:pPr>
        <w:pStyle w:val="BodyText"/>
        <w:rPr>
          <w:b/>
          <w:sz w:val="37"/>
        </w:rPr>
      </w:pPr>
    </w:p>
    <w:p>
      <w:pPr>
        <w:spacing w:line="487" w:lineRule="auto" w:before="0"/>
        <w:ind w:left="739" w:right="732" w:firstLine="0"/>
        <w:jc w:val="center"/>
        <w:rPr>
          <w:b/>
          <w:sz w:val="36"/>
        </w:rPr>
      </w:pPr>
      <w:r>
        <w:rPr>
          <w:b/>
          <w:sz w:val="36"/>
        </w:rPr>
        <w:t>Sentido Ascendente o Clásico Organización Ciudadana</w:t>
      </w:r>
    </w:p>
    <w:p>
      <w:pPr>
        <w:spacing w:after="0" w:line="487" w:lineRule="auto"/>
        <w:jc w:val="center"/>
        <w:rPr>
          <w:sz w:val="36"/>
        </w:rPr>
        <w:sectPr>
          <w:headerReference w:type="default" r:id="rId240"/>
          <w:footerReference w:type="default" r:id="rId241"/>
          <w:pgSz w:w="9360" w:h="13040"/>
          <w:pgMar w:header="0" w:footer="515" w:top="1200" w:bottom="700" w:left="1300" w:right="740"/>
          <w:pgNumType w:start="163"/>
        </w:sectPr>
      </w:pPr>
    </w:p>
    <w:p>
      <w:pPr>
        <w:pStyle w:val="BodyText"/>
        <w:spacing w:before="4"/>
        <w:rPr>
          <w:sz w:val="17"/>
        </w:rPr>
      </w:pPr>
    </w:p>
    <w:p>
      <w:pPr>
        <w:spacing w:after="0"/>
        <w:rPr>
          <w:sz w:val="17"/>
        </w:rPr>
        <w:sectPr>
          <w:headerReference w:type="default" r:id="rId242"/>
          <w:footerReference w:type="default" r:id="rId243"/>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06"/>
        <w:rPr>
          <w:sz w:val="20"/>
        </w:rPr>
      </w:pPr>
      <w:r>
        <w:rPr>
          <w:sz w:val="20"/>
        </w:rPr>
        <w:drawing>
          <wp:inline distT="0" distB="0" distL="0" distR="0">
            <wp:extent cx="3752088" cy="5401056"/>
            <wp:effectExtent l="0" t="0" r="0" b="0"/>
            <wp:docPr id="137" name="image120.png" descr=""/>
            <wp:cNvGraphicFramePr>
              <a:graphicFrameLocks noChangeAspect="1"/>
            </wp:cNvGraphicFramePr>
            <a:graphic>
              <a:graphicData uri="http://schemas.openxmlformats.org/drawingml/2006/picture">
                <pic:pic>
                  <pic:nvPicPr>
                    <pic:cNvPr id="138" name="image120.png"/>
                    <pic:cNvPicPr/>
                  </pic:nvPicPr>
                  <pic:blipFill>
                    <a:blip r:embed="rId246" cstate="print"/>
                    <a:stretch>
                      <a:fillRect/>
                    </a:stretch>
                  </pic:blipFill>
                  <pic:spPr>
                    <a:xfrm>
                      <a:off x="0" y="0"/>
                      <a:ext cx="3752088" cy="5401056"/>
                    </a:xfrm>
                    <a:prstGeom prst="rect">
                      <a:avLst/>
                    </a:prstGeom>
                  </pic:spPr>
                </pic:pic>
              </a:graphicData>
            </a:graphic>
          </wp:inline>
        </w:drawing>
      </w:r>
      <w:r>
        <w:rPr>
          <w:sz w:val="20"/>
        </w:rPr>
      </w:r>
    </w:p>
    <w:p>
      <w:pPr>
        <w:pStyle w:val="BodyText"/>
        <w:rPr>
          <w:sz w:val="12"/>
        </w:rPr>
      </w:pPr>
    </w:p>
    <w:p>
      <w:pPr>
        <w:pStyle w:val="BodyText"/>
        <w:spacing w:before="71"/>
        <w:ind w:left="738" w:right="732"/>
        <w:jc w:val="center"/>
      </w:pPr>
      <w:r>
        <w:rPr/>
        <w:t>Tula de Allende.</w:t>
      </w:r>
    </w:p>
    <w:p>
      <w:pPr>
        <w:spacing w:after="0"/>
        <w:jc w:val="center"/>
        <w:sectPr>
          <w:headerReference w:type="default" r:id="rId244"/>
          <w:footerReference w:type="default" r:id="rId245"/>
          <w:pgSz w:w="9360" w:h="13040"/>
          <w:pgMar w:header="0" w:footer="515" w:top="1200" w:bottom="700" w:left="1300" w:right="740"/>
          <w:pgNumType w:start="165"/>
        </w:sectPr>
      </w:pPr>
    </w:p>
    <w:p>
      <w:pPr>
        <w:pStyle w:val="BodyText"/>
        <w:spacing w:before="4"/>
        <w:rPr>
          <w:sz w:val="17"/>
        </w:rPr>
      </w:pPr>
    </w:p>
    <w:p>
      <w:pPr>
        <w:spacing w:after="0"/>
        <w:rPr>
          <w:sz w:val="17"/>
        </w:rPr>
        <w:sectPr>
          <w:headerReference w:type="default" r:id="rId247"/>
          <w:footerReference w:type="default" r:id="rId248"/>
          <w:pgSz w:w="9360" w:h="13040"/>
          <w:pgMar w:header="0" w:footer="0" w:top="1200" w:bottom="280" w:left="1300" w:right="1300"/>
        </w:sectPr>
      </w:pPr>
    </w:p>
    <w:p>
      <w:pPr>
        <w:pStyle w:val="Heading2"/>
        <w:ind w:right="329"/>
      </w:pPr>
      <w:bookmarkStart w:name="_TOC_250008" w:id="35"/>
      <w:bookmarkEnd w:id="35"/>
      <w:r>
        <w:rPr/>
        <w:t>Capítulo VII.</w:t>
      </w:r>
    </w:p>
    <w:p>
      <w:pPr>
        <w:spacing w:before="4"/>
        <w:ind w:left="318" w:right="329" w:firstLine="0"/>
        <w:jc w:val="center"/>
        <w:rPr>
          <w:b/>
          <w:sz w:val="24"/>
        </w:rPr>
      </w:pPr>
      <w:bookmarkStart w:name="_TOC_250007" w:id="36"/>
      <w:bookmarkEnd w:id="36"/>
      <w:r>
        <w:rPr>
          <w:b/>
          <w:sz w:val="24"/>
        </w:rPr>
        <w:t>Las obras comunitarias en los municipios hidalguenses.</w:t>
      </w:r>
    </w:p>
    <w:p>
      <w:pPr>
        <w:pStyle w:val="BodyText"/>
        <w:rPr>
          <w:b/>
          <w:sz w:val="24"/>
        </w:rPr>
      </w:pPr>
    </w:p>
    <w:p>
      <w:pPr>
        <w:pStyle w:val="BodyText"/>
        <w:spacing w:before="7"/>
        <w:rPr>
          <w:b/>
          <w:sz w:val="20"/>
        </w:rPr>
      </w:pPr>
    </w:p>
    <w:p>
      <w:pPr>
        <w:pStyle w:val="Heading3"/>
      </w:pPr>
      <w:bookmarkStart w:name="_TOC_250006" w:id="37"/>
      <w:bookmarkEnd w:id="37"/>
      <w:r>
        <w:rPr/>
        <w:t>La sustitución del orden social municipal.</w:t>
      </w:r>
    </w:p>
    <w:p>
      <w:pPr>
        <w:pStyle w:val="BodyText"/>
        <w:spacing w:before="9"/>
        <w:rPr>
          <w:b/>
          <w:sz w:val="22"/>
        </w:rPr>
      </w:pPr>
    </w:p>
    <w:p>
      <w:pPr>
        <w:pStyle w:val="BodyText"/>
        <w:spacing w:line="260" w:lineRule="exact"/>
        <w:ind w:left="117" w:right="127"/>
        <w:jc w:val="both"/>
      </w:pPr>
      <w:r>
        <w:rPr/>
        <w:t>En la lógica subsidiaria, los individuos deberán procurar el financiamiento directo del desarrollo comunitario, o bien, las instituciones estatales podrán subsidiar esta función por tiempo y circunstancias determinadas. En la práctica,</w:t>
      </w:r>
      <w:r>
        <w:rPr>
          <w:spacing w:val="-10"/>
        </w:rPr>
        <w:t> </w:t>
      </w:r>
      <w:r>
        <w:rPr/>
        <w:t>el</w:t>
      </w:r>
      <w:r>
        <w:rPr>
          <w:spacing w:val="-10"/>
        </w:rPr>
        <w:t> </w:t>
      </w:r>
      <w:r>
        <w:rPr/>
        <w:t>incremento</w:t>
      </w:r>
      <w:r>
        <w:rPr>
          <w:spacing w:val="-10"/>
        </w:rPr>
        <w:t> </w:t>
      </w:r>
      <w:r>
        <w:rPr/>
        <w:t>a</w:t>
      </w:r>
      <w:r>
        <w:rPr>
          <w:spacing w:val="-10"/>
        </w:rPr>
        <w:t> </w:t>
      </w:r>
      <w:r>
        <w:rPr/>
        <w:t>los</w:t>
      </w:r>
      <w:r>
        <w:rPr>
          <w:spacing w:val="-10"/>
        </w:rPr>
        <w:t> </w:t>
      </w:r>
      <w:r>
        <w:rPr/>
        <w:t>subsidios</w:t>
      </w:r>
      <w:r>
        <w:rPr>
          <w:spacing w:val="-9"/>
        </w:rPr>
        <w:t> </w:t>
      </w:r>
      <w:r>
        <w:rPr/>
        <w:t>de</w:t>
      </w:r>
      <w:r>
        <w:rPr>
          <w:spacing w:val="-10"/>
        </w:rPr>
        <w:t> </w:t>
      </w:r>
      <w:r>
        <w:rPr/>
        <w:t>los</w:t>
      </w:r>
      <w:r>
        <w:rPr>
          <w:spacing w:val="-10"/>
        </w:rPr>
        <w:t> </w:t>
      </w:r>
      <w:r>
        <w:rPr/>
        <w:t>servicios</w:t>
      </w:r>
      <w:r>
        <w:rPr>
          <w:spacing w:val="-9"/>
        </w:rPr>
        <w:t> </w:t>
      </w:r>
      <w:r>
        <w:rPr/>
        <w:t>públicos</w:t>
      </w:r>
      <w:r>
        <w:rPr>
          <w:spacing w:val="-10"/>
        </w:rPr>
        <w:t> </w:t>
      </w:r>
      <w:r>
        <w:rPr/>
        <w:t>a</w:t>
      </w:r>
      <w:r>
        <w:rPr>
          <w:spacing w:val="-10"/>
        </w:rPr>
        <w:t> </w:t>
      </w:r>
      <w:r>
        <w:rPr/>
        <w:t>través</w:t>
      </w:r>
      <w:r>
        <w:rPr>
          <w:spacing w:val="-10"/>
        </w:rPr>
        <w:t> </w:t>
      </w:r>
      <w:r>
        <w:rPr/>
        <w:t>de</w:t>
      </w:r>
      <w:r>
        <w:rPr>
          <w:spacing w:val="-10"/>
        </w:rPr>
        <w:t> </w:t>
      </w:r>
      <w:r>
        <w:rPr/>
        <w:t>los diferentes órdenes de gobierno ha actuado en detrimento de la organización vecinal subsidiaria que la instancia municipal logró en el pasado. A partir de los ochentas, muchos programas federales de inversión coordinada se han orientado a la interacción coyuntural entre gobernantes y gobernados, sin  que ello pretenda reivindicar claramente un orden social que dé continuidad al éxito demostrado por la creatividad financiera sociedad-ayuntamiento. Para dimensionar la transición entre la proyección subsidiaria y la tendencia histórica referida se dispuso de la siguiente escala de</w:t>
      </w:r>
      <w:r>
        <w:rPr>
          <w:spacing w:val="-11"/>
        </w:rPr>
        <w:t> </w:t>
      </w:r>
      <w:r>
        <w:rPr/>
        <w:t>evaluación.</w:t>
      </w:r>
    </w:p>
    <w:p>
      <w:pPr>
        <w:pStyle w:val="BodyText"/>
        <w:spacing w:before="7"/>
        <w:rPr>
          <w:sz w:val="22"/>
        </w:rPr>
      </w:pPr>
    </w:p>
    <w:p>
      <w:pPr>
        <w:spacing w:line="260" w:lineRule="exact" w:before="0"/>
        <w:ind w:left="1682" w:right="1695" w:firstLine="0"/>
        <w:jc w:val="center"/>
        <w:rPr>
          <w:b/>
          <w:i/>
          <w:sz w:val="23"/>
        </w:rPr>
      </w:pPr>
      <w:r>
        <w:rPr>
          <w:b/>
          <w:sz w:val="23"/>
        </w:rPr>
        <w:t>Escala de Evaluación de la </w:t>
      </w:r>
      <w:r>
        <w:rPr>
          <w:b/>
          <w:i/>
          <w:sz w:val="23"/>
        </w:rPr>
        <w:t>Organización </w:t>
      </w:r>
      <w:r>
        <w:rPr>
          <w:b/>
          <w:i/>
          <w:sz w:val="23"/>
        </w:rPr>
        <w:t>Ciudadana y el Financiamiento Público.</w:t>
      </w:r>
    </w:p>
    <w:p>
      <w:pPr>
        <w:pStyle w:val="BodyText"/>
        <w:spacing w:before="1"/>
        <w:rPr>
          <w:b/>
          <w:i/>
          <w:sz w:val="2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788"/>
        <w:gridCol w:w="1587"/>
        <w:gridCol w:w="1644"/>
        <w:gridCol w:w="1587"/>
      </w:tblGrid>
      <w:tr>
        <w:trPr>
          <w:trHeight w:val="445" w:hRule="exact"/>
        </w:trPr>
        <w:tc>
          <w:tcPr>
            <w:tcW w:w="480" w:type="dxa"/>
            <w:shd w:val="clear" w:color="auto" w:fill="D1D3D4"/>
          </w:tcPr>
          <w:p>
            <w:pPr/>
          </w:p>
        </w:tc>
        <w:tc>
          <w:tcPr>
            <w:tcW w:w="1788" w:type="dxa"/>
            <w:shd w:val="clear" w:color="auto" w:fill="D1D3D4"/>
          </w:tcPr>
          <w:p>
            <w:pPr>
              <w:pStyle w:val="TableParagraph"/>
              <w:spacing w:line="242" w:lineRule="auto" w:before="5"/>
              <w:ind w:left="475" w:hanging="110"/>
              <w:rPr>
                <w:b/>
                <w:sz w:val="18"/>
              </w:rPr>
            </w:pPr>
            <w:r>
              <w:rPr>
                <w:b/>
                <w:sz w:val="18"/>
              </w:rPr>
              <w:t>Capacidad de asociación.</w:t>
            </w:r>
          </w:p>
        </w:tc>
        <w:tc>
          <w:tcPr>
            <w:tcW w:w="1587" w:type="dxa"/>
            <w:shd w:val="clear" w:color="auto" w:fill="D1D3D4"/>
          </w:tcPr>
          <w:p>
            <w:pPr>
              <w:pStyle w:val="TableParagraph"/>
              <w:spacing w:line="242" w:lineRule="auto" w:before="5"/>
              <w:ind w:left="266" w:firstLine="91"/>
              <w:rPr>
                <w:b/>
                <w:sz w:val="18"/>
              </w:rPr>
            </w:pPr>
            <w:r>
              <w:rPr>
                <w:b/>
                <w:sz w:val="18"/>
              </w:rPr>
              <w:t>Restricción competencial.</w:t>
            </w:r>
          </w:p>
        </w:tc>
        <w:tc>
          <w:tcPr>
            <w:tcW w:w="1644" w:type="dxa"/>
            <w:shd w:val="clear" w:color="auto" w:fill="D1D3D4"/>
          </w:tcPr>
          <w:p>
            <w:pPr>
              <w:pStyle w:val="TableParagraph"/>
              <w:spacing w:line="242" w:lineRule="auto" w:before="5"/>
              <w:ind w:left="374" w:firstLine="16"/>
              <w:rPr>
                <w:b/>
                <w:sz w:val="18"/>
              </w:rPr>
            </w:pPr>
            <w:r>
              <w:rPr>
                <w:b/>
                <w:sz w:val="18"/>
              </w:rPr>
              <w:t>Evaluación subsidiaria.</w:t>
            </w:r>
          </w:p>
        </w:tc>
        <w:tc>
          <w:tcPr>
            <w:tcW w:w="1587" w:type="dxa"/>
            <w:shd w:val="clear" w:color="auto" w:fill="D1D3D4"/>
          </w:tcPr>
          <w:p>
            <w:pPr>
              <w:pStyle w:val="TableParagraph"/>
              <w:spacing w:line="242" w:lineRule="auto" w:before="5"/>
              <w:ind w:left="250" w:right="241" w:firstLine="255"/>
              <w:rPr>
                <w:b/>
                <w:sz w:val="18"/>
              </w:rPr>
            </w:pPr>
            <w:r>
              <w:rPr>
                <w:b/>
                <w:sz w:val="18"/>
              </w:rPr>
              <w:t>Avance competencial.</w:t>
            </w:r>
          </w:p>
        </w:tc>
      </w:tr>
      <w:tr>
        <w:trPr>
          <w:trHeight w:val="1498" w:hRule="exact"/>
        </w:trPr>
        <w:tc>
          <w:tcPr>
            <w:tcW w:w="480" w:type="dxa"/>
          </w:tcPr>
          <w:p>
            <w:pPr>
              <w:pStyle w:val="TableParagraph"/>
              <w:spacing w:before="5"/>
              <w:ind w:left="189"/>
              <w:rPr>
                <w:b/>
                <w:sz w:val="18"/>
              </w:rPr>
            </w:pPr>
            <w:r>
              <w:rPr>
                <w:b/>
                <w:sz w:val="18"/>
              </w:rPr>
              <w:t>8</w:t>
            </w:r>
          </w:p>
        </w:tc>
        <w:tc>
          <w:tcPr>
            <w:tcW w:w="1788" w:type="dxa"/>
          </w:tcPr>
          <w:p>
            <w:pPr>
              <w:pStyle w:val="TableParagraph"/>
              <w:spacing w:line="242" w:lineRule="auto" w:before="8"/>
              <w:ind w:left="51" w:right="49"/>
              <w:jc w:val="both"/>
              <w:rPr>
                <w:sz w:val="18"/>
              </w:rPr>
            </w:pPr>
            <w:r>
              <w:rPr>
                <w:sz w:val="18"/>
              </w:rPr>
              <w:t>Los </w:t>
            </w:r>
            <w:r>
              <w:rPr>
                <w:spacing w:val="-3"/>
                <w:sz w:val="18"/>
              </w:rPr>
              <w:t>órganos </w:t>
            </w:r>
            <w:r>
              <w:rPr>
                <w:sz w:val="18"/>
              </w:rPr>
              <w:t>ciudada- nos son capaces de la </w:t>
            </w:r>
            <w:r>
              <w:rPr>
                <w:spacing w:val="-3"/>
                <w:sz w:val="18"/>
              </w:rPr>
              <w:t>auto-organización </w:t>
            </w:r>
            <w:r>
              <w:rPr>
                <w:sz w:val="18"/>
              </w:rPr>
              <w:t>y lo- gran una participación financiera y ejecutiva continua.</w:t>
            </w:r>
          </w:p>
        </w:tc>
        <w:tc>
          <w:tcPr>
            <w:tcW w:w="1587" w:type="dxa"/>
          </w:tcPr>
          <w:p>
            <w:pPr>
              <w:pStyle w:val="TableParagraph"/>
              <w:spacing w:line="242" w:lineRule="auto"/>
              <w:ind w:left="51" w:right="49"/>
              <w:jc w:val="both"/>
              <w:rPr>
                <w:sz w:val="18"/>
              </w:rPr>
            </w:pPr>
            <w:r>
              <w:rPr>
                <w:sz w:val="18"/>
              </w:rPr>
              <w:t>Existencia de </w:t>
            </w:r>
            <w:r>
              <w:rPr>
                <w:spacing w:val="-3"/>
                <w:sz w:val="18"/>
              </w:rPr>
              <w:t>nor- </w:t>
            </w:r>
            <w:r>
              <w:rPr>
                <w:sz w:val="18"/>
              </w:rPr>
              <w:t>matividad</w:t>
            </w:r>
            <w:r>
              <w:rPr>
                <w:spacing w:val="-20"/>
                <w:sz w:val="18"/>
              </w:rPr>
              <w:t> </w:t>
            </w:r>
            <w:r>
              <w:rPr>
                <w:sz w:val="18"/>
              </w:rPr>
              <w:t>y</w:t>
            </w:r>
            <w:r>
              <w:rPr>
                <w:spacing w:val="-20"/>
                <w:sz w:val="18"/>
              </w:rPr>
              <w:t> </w:t>
            </w:r>
            <w:r>
              <w:rPr>
                <w:sz w:val="18"/>
              </w:rPr>
              <w:t>políticas para la </w:t>
            </w:r>
            <w:r>
              <w:rPr>
                <w:spacing w:val="-3"/>
                <w:sz w:val="18"/>
              </w:rPr>
              <w:t>organización </w:t>
            </w:r>
            <w:r>
              <w:rPr>
                <w:sz w:val="18"/>
              </w:rPr>
              <w:t>social auto-gestiva</w:t>
            </w:r>
            <w:r>
              <w:rPr>
                <w:spacing w:val="-8"/>
                <w:sz w:val="18"/>
              </w:rPr>
              <w:t> </w:t>
            </w:r>
            <w:r>
              <w:rPr>
                <w:sz w:val="18"/>
              </w:rPr>
              <w:t>y para la ejecución</w:t>
            </w:r>
            <w:r>
              <w:rPr>
                <w:spacing w:val="-24"/>
                <w:sz w:val="18"/>
              </w:rPr>
              <w:t> </w:t>
            </w:r>
            <w:r>
              <w:rPr>
                <w:sz w:val="18"/>
              </w:rPr>
              <w:t>ve- cinal de la inversión cofinanciera.</w:t>
            </w:r>
          </w:p>
        </w:tc>
        <w:tc>
          <w:tcPr>
            <w:tcW w:w="1644" w:type="dxa"/>
          </w:tcPr>
          <w:p>
            <w:pPr>
              <w:pStyle w:val="TableParagraph"/>
              <w:spacing w:line="242" w:lineRule="auto"/>
              <w:ind w:left="51" w:right="49"/>
              <w:jc w:val="both"/>
              <w:rPr>
                <w:sz w:val="18"/>
              </w:rPr>
            </w:pPr>
            <w:r>
              <w:rPr>
                <w:sz w:val="18"/>
              </w:rPr>
              <w:t>Evaluación conti- nua e integral en la organización social auto-gestiva y en la ejecución vecinal de la inversión cofinan- ciera.</w:t>
            </w:r>
          </w:p>
        </w:tc>
        <w:tc>
          <w:tcPr>
            <w:tcW w:w="1587" w:type="dxa"/>
          </w:tcPr>
          <w:p>
            <w:pPr>
              <w:pStyle w:val="TableParagraph"/>
              <w:spacing w:line="242" w:lineRule="auto"/>
              <w:ind w:left="51" w:right="47"/>
              <w:jc w:val="both"/>
              <w:rPr>
                <w:sz w:val="18"/>
              </w:rPr>
            </w:pPr>
            <w:r>
              <w:rPr>
                <w:sz w:val="18"/>
              </w:rPr>
              <w:t>Participación social cofinanciera del 50%, o bien, eje- cución comunitaria directa de la obra pública con subsi- dio gubernamental.</w:t>
            </w:r>
          </w:p>
        </w:tc>
      </w:tr>
      <w:tr>
        <w:trPr>
          <w:trHeight w:val="1498" w:hRule="exact"/>
        </w:trPr>
        <w:tc>
          <w:tcPr>
            <w:tcW w:w="480" w:type="dxa"/>
            <w:shd w:val="clear" w:color="auto" w:fill="D1D3D4"/>
          </w:tcPr>
          <w:p>
            <w:pPr>
              <w:pStyle w:val="TableParagraph"/>
              <w:spacing w:before="7"/>
              <w:ind w:left="189"/>
              <w:rPr>
                <w:b/>
                <w:sz w:val="18"/>
              </w:rPr>
            </w:pPr>
            <w:r>
              <w:rPr>
                <w:b/>
                <w:sz w:val="18"/>
              </w:rPr>
              <w:t>7</w:t>
            </w:r>
          </w:p>
        </w:tc>
        <w:tc>
          <w:tcPr>
            <w:tcW w:w="1788" w:type="dxa"/>
            <w:shd w:val="clear" w:color="auto" w:fill="D1D3D4"/>
          </w:tcPr>
          <w:p>
            <w:pPr>
              <w:pStyle w:val="TableParagraph"/>
              <w:spacing w:line="242" w:lineRule="auto" w:before="10"/>
              <w:ind w:left="51" w:right="49"/>
              <w:jc w:val="both"/>
              <w:rPr>
                <w:sz w:val="18"/>
              </w:rPr>
            </w:pPr>
            <w:r>
              <w:rPr>
                <w:sz w:val="18"/>
              </w:rPr>
              <w:t>Los órganos ciudada- nos cuentan con una auto-organización de- ficiente, aunque aún se logra una participación financiera y ejecutiva continua.</w:t>
            </w:r>
          </w:p>
        </w:tc>
        <w:tc>
          <w:tcPr>
            <w:tcW w:w="1587" w:type="dxa"/>
            <w:shd w:val="clear" w:color="auto" w:fill="D1D3D4"/>
          </w:tcPr>
          <w:p>
            <w:pPr>
              <w:pStyle w:val="TableParagraph"/>
              <w:spacing w:line="242" w:lineRule="auto" w:before="10"/>
              <w:ind w:left="51" w:right="49"/>
              <w:jc w:val="both"/>
              <w:rPr>
                <w:sz w:val="18"/>
              </w:rPr>
            </w:pPr>
            <w:r>
              <w:rPr>
                <w:sz w:val="18"/>
              </w:rPr>
              <w:t>Existencia de nor- matividad para la organización social auto-gestiva y para la ejecución vecinal de la inversión cofi- nanciera.</w:t>
            </w:r>
          </w:p>
        </w:tc>
        <w:tc>
          <w:tcPr>
            <w:tcW w:w="1644" w:type="dxa"/>
            <w:shd w:val="clear" w:color="auto" w:fill="D1D3D4"/>
          </w:tcPr>
          <w:p>
            <w:pPr>
              <w:pStyle w:val="TableParagraph"/>
              <w:spacing w:line="242" w:lineRule="auto" w:before="10"/>
              <w:ind w:left="51" w:right="49"/>
              <w:jc w:val="both"/>
              <w:rPr>
                <w:sz w:val="18"/>
              </w:rPr>
            </w:pPr>
            <w:r>
              <w:rPr>
                <w:sz w:val="18"/>
              </w:rPr>
              <w:t>Evaluación continua en la </w:t>
            </w:r>
            <w:r>
              <w:rPr>
                <w:spacing w:val="-3"/>
                <w:sz w:val="18"/>
              </w:rPr>
              <w:t>organización</w:t>
            </w:r>
            <w:r>
              <w:rPr>
                <w:spacing w:val="-22"/>
                <w:sz w:val="18"/>
              </w:rPr>
              <w:t> </w:t>
            </w:r>
            <w:r>
              <w:rPr>
                <w:sz w:val="18"/>
              </w:rPr>
              <w:t>so- cial auto-gestiva o</w:t>
            </w:r>
            <w:r>
              <w:rPr>
                <w:spacing w:val="-9"/>
                <w:sz w:val="18"/>
              </w:rPr>
              <w:t> </w:t>
            </w:r>
            <w:r>
              <w:rPr>
                <w:sz w:val="18"/>
              </w:rPr>
              <w:t>en la ejecución vecinal de la inversión cofi- nanciera.</w:t>
            </w:r>
          </w:p>
        </w:tc>
        <w:tc>
          <w:tcPr>
            <w:tcW w:w="1587" w:type="dxa"/>
            <w:shd w:val="clear" w:color="auto" w:fill="D1D3D4"/>
          </w:tcPr>
          <w:p>
            <w:pPr>
              <w:pStyle w:val="TableParagraph"/>
              <w:spacing w:line="242" w:lineRule="auto" w:before="11"/>
              <w:ind w:left="51" w:right="47"/>
              <w:jc w:val="both"/>
              <w:rPr>
                <w:sz w:val="18"/>
              </w:rPr>
            </w:pPr>
            <w:r>
              <w:rPr>
                <w:sz w:val="18"/>
              </w:rPr>
              <w:t>Participación social cofinanciera del 43.75%.</w:t>
            </w:r>
          </w:p>
        </w:tc>
      </w:tr>
      <w:tr>
        <w:trPr>
          <w:trHeight w:val="1078" w:hRule="exact"/>
        </w:trPr>
        <w:tc>
          <w:tcPr>
            <w:tcW w:w="480" w:type="dxa"/>
          </w:tcPr>
          <w:p>
            <w:pPr>
              <w:pStyle w:val="TableParagraph"/>
              <w:spacing w:before="8"/>
              <w:ind w:left="189"/>
              <w:rPr>
                <w:b/>
                <w:sz w:val="18"/>
              </w:rPr>
            </w:pPr>
            <w:r>
              <w:rPr>
                <w:b/>
                <w:sz w:val="18"/>
              </w:rPr>
              <w:t>6</w:t>
            </w:r>
          </w:p>
        </w:tc>
        <w:tc>
          <w:tcPr>
            <w:tcW w:w="1788" w:type="dxa"/>
          </w:tcPr>
          <w:p>
            <w:pPr>
              <w:pStyle w:val="TableParagraph"/>
              <w:spacing w:line="242" w:lineRule="auto" w:before="11"/>
              <w:ind w:left="51" w:right="49"/>
              <w:jc w:val="both"/>
              <w:rPr>
                <w:sz w:val="18"/>
              </w:rPr>
            </w:pPr>
            <w:r>
              <w:rPr>
                <w:sz w:val="18"/>
              </w:rPr>
              <w:t>La interacción socie- dad-gobierno logra </w:t>
            </w:r>
            <w:r>
              <w:rPr>
                <w:spacing w:val="-2"/>
                <w:sz w:val="18"/>
              </w:rPr>
              <w:t>una </w:t>
            </w:r>
            <w:r>
              <w:rPr>
                <w:sz w:val="18"/>
              </w:rPr>
              <w:t>participación </w:t>
            </w:r>
            <w:r>
              <w:rPr>
                <w:spacing w:val="-2"/>
                <w:sz w:val="18"/>
              </w:rPr>
              <w:t>social </w:t>
            </w:r>
            <w:r>
              <w:rPr>
                <w:sz w:val="18"/>
              </w:rPr>
              <w:t>financiera y ejecutiva continua.</w:t>
            </w:r>
          </w:p>
        </w:tc>
        <w:tc>
          <w:tcPr>
            <w:tcW w:w="1587" w:type="dxa"/>
          </w:tcPr>
          <w:p>
            <w:pPr>
              <w:pStyle w:val="TableParagraph"/>
              <w:spacing w:line="242" w:lineRule="auto" w:before="11"/>
              <w:ind w:left="51" w:right="49"/>
              <w:jc w:val="both"/>
              <w:rPr>
                <w:sz w:val="18"/>
              </w:rPr>
            </w:pPr>
            <w:r>
              <w:rPr>
                <w:sz w:val="18"/>
              </w:rPr>
              <w:t>Existencia de </w:t>
            </w:r>
            <w:r>
              <w:rPr>
                <w:spacing w:val="-3"/>
                <w:sz w:val="18"/>
              </w:rPr>
              <w:t>nor- </w:t>
            </w:r>
            <w:r>
              <w:rPr>
                <w:sz w:val="18"/>
              </w:rPr>
              <w:t>matividad para la ejecución vecinal de la inversión</w:t>
            </w:r>
            <w:r>
              <w:rPr>
                <w:spacing w:val="-18"/>
                <w:sz w:val="18"/>
              </w:rPr>
              <w:t> </w:t>
            </w:r>
            <w:r>
              <w:rPr>
                <w:sz w:val="18"/>
              </w:rPr>
              <w:t>cofinan- </w:t>
            </w:r>
            <w:r>
              <w:rPr>
                <w:spacing w:val="-2"/>
                <w:sz w:val="18"/>
              </w:rPr>
              <w:t>ciera.</w:t>
            </w:r>
          </w:p>
        </w:tc>
        <w:tc>
          <w:tcPr>
            <w:tcW w:w="1644" w:type="dxa"/>
          </w:tcPr>
          <w:p>
            <w:pPr>
              <w:pStyle w:val="TableParagraph"/>
              <w:spacing w:line="242" w:lineRule="auto" w:before="11"/>
              <w:ind w:left="51" w:right="49"/>
              <w:jc w:val="both"/>
              <w:rPr>
                <w:sz w:val="18"/>
              </w:rPr>
            </w:pPr>
            <w:r>
              <w:rPr>
                <w:sz w:val="18"/>
              </w:rPr>
              <w:t>Evaluación continua e integral en la</w:t>
            </w:r>
            <w:r>
              <w:rPr>
                <w:spacing w:val="-23"/>
                <w:sz w:val="18"/>
              </w:rPr>
              <w:t> </w:t>
            </w:r>
            <w:r>
              <w:rPr>
                <w:sz w:val="18"/>
              </w:rPr>
              <w:t>ejecu- ción vecinal de la in- </w:t>
            </w:r>
            <w:r>
              <w:rPr>
                <w:spacing w:val="-1"/>
                <w:w w:val="95"/>
                <w:sz w:val="18"/>
              </w:rPr>
              <w:t>versión</w:t>
            </w:r>
            <w:r>
              <w:rPr>
                <w:spacing w:val="32"/>
                <w:w w:val="95"/>
                <w:sz w:val="18"/>
              </w:rPr>
              <w:t> </w:t>
            </w:r>
            <w:r>
              <w:rPr>
                <w:w w:val="95"/>
                <w:sz w:val="18"/>
              </w:rPr>
              <w:t>cofinanciera.</w:t>
            </w:r>
          </w:p>
        </w:tc>
        <w:tc>
          <w:tcPr>
            <w:tcW w:w="1587" w:type="dxa"/>
          </w:tcPr>
          <w:p>
            <w:pPr>
              <w:pStyle w:val="TableParagraph"/>
              <w:spacing w:line="242" w:lineRule="auto" w:before="11"/>
              <w:ind w:left="51" w:right="47"/>
              <w:jc w:val="both"/>
              <w:rPr>
                <w:sz w:val="18"/>
              </w:rPr>
            </w:pPr>
            <w:r>
              <w:rPr>
                <w:sz w:val="18"/>
              </w:rPr>
              <w:t>Participación social cofinanciera del 37.50%.</w:t>
            </w:r>
          </w:p>
        </w:tc>
      </w:tr>
    </w:tbl>
    <w:p>
      <w:pPr>
        <w:spacing w:after="0" w:line="242" w:lineRule="auto"/>
        <w:jc w:val="both"/>
        <w:rPr>
          <w:sz w:val="18"/>
        </w:rPr>
        <w:sectPr>
          <w:headerReference w:type="default" r:id="rId249"/>
          <w:footerReference w:type="default" r:id="rId250"/>
          <w:footerReference w:type="even" r:id="rId251"/>
          <w:pgSz w:w="9360" w:h="13040"/>
          <w:pgMar w:header="0" w:footer="511" w:top="1200" w:bottom="700" w:left="1300" w:right="720"/>
          <w:pgNumType w:start="167"/>
        </w:sectPr>
      </w:pPr>
    </w:p>
    <w:p>
      <w:pPr>
        <w:pStyle w:val="BodyText"/>
        <w:rPr>
          <w:b/>
          <w:i/>
          <w:sz w:val="20"/>
        </w:rPr>
      </w:pPr>
    </w:p>
    <w:p>
      <w:pPr>
        <w:pStyle w:val="BodyText"/>
        <w:rPr>
          <w:b/>
          <w:i/>
          <w:sz w:val="20"/>
        </w:rPr>
      </w:pPr>
    </w:p>
    <w:p>
      <w:pPr>
        <w:pStyle w:val="BodyText"/>
        <w:rPr>
          <w:b/>
          <w:i/>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0"/>
        <w:gridCol w:w="1788"/>
        <w:gridCol w:w="1587"/>
        <w:gridCol w:w="1644"/>
        <w:gridCol w:w="1587"/>
      </w:tblGrid>
      <w:tr>
        <w:trPr>
          <w:trHeight w:val="1288" w:hRule="exact"/>
        </w:trPr>
        <w:tc>
          <w:tcPr>
            <w:tcW w:w="480" w:type="dxa"/>
            <w:shd w:val="clear" w:color="auto" w:fill="D1D3D4"/>
          </w:tcPr>
          <w:p>
            <w:pPr>
              <w:pStyle w:val="TableParagraph"/>
              <w:spacing w:before="5"/>
              <w:ind w:left="190"/>
              <w:rPr>
                <w:b/>
                <w:sz w:val="18"/>
              </w:rPr>
            </w:pPr>
            <w:r>
              <w:rPr>
                <w:b/>
                <w:sz w:val="18"/>
              </w:rPr>
              <w:t>5</w:t>
            </w:r>
          </w:p>
        </w:tc>
        <w:tc>
          <w:tcPr>
            <w:tcW w:w="1788" w:type="dxa"/>
            <w:shd w:val="clear" w:color="auto" w:fill="D1D3D4"/>
          </w:tcPr>
          <w:p>
            <w:pPr>
              <w:pStyle w:val="TableParagraph"/>
              <w:spacing w:line="242" w:lineRule="auto" w:before="8"/>
              <w:ind w:left="51" w:right="49"/>
              <w:jc w:val="both"/>
              <w:rPr>
                <w:sz w:val="18"/>
              </w:rPr>
            </w:pPr>
            <w:r>
              <w:rPr>
                <w:sz w:val="18"/>
              </w:rPr>
              <w:t>La interacción socie- dad-gobierno logra </w:t>
            </w:r>
            <w:r>
              <w:rPr>
                <w:spacing w:val="-2"/>
                <w:sz w:val="18"/>
              </w:rPr>
              <w:t>una </w:t>
            </w:r>
            <w:r>
              <w:rPr>
                <w:sz w:val="18"/>
              </w:rPr>
              <w:t>participación social fi- nanciera</w:t>
            </w:r>
            <w:r>
              <w:rPr>
                <w:spacing w:val="-17"/>
                <w:sz w:val="18"/>
              </w:rPr>
              <w:t> </w:t>
            </w:r>
            <w:r>
              <w:rPr>
                <w:sz w:val="18"/>
              </w:rPr>
              <w:t>y</w:t>
            </w:r>
            <w:r>
              <w:rPr>
                <w:spacing w:val="-17"/>
                <w:sz w:val="18"/>
              </w:rPr>
              <w:t> </w:t>
            </w:r>
            <w:r>
              <w:rPr>
                <w:sz w:val="18"/>
              </w:rPr>
              <w:t>ejecutiva</w:t>
            </w:r>
            <w:r>
              <w:rPr>
                <w:spacing w:val="-17"/>
                <w:sz w:val="18"/>
              </w:rPr>
              <w:t> </w:t>
            </w:r>
            <w:r>
              <w:rPr>
                <w:spacing w:val="-2"/>
                <w:sz w:val="18"/>
              </w:rPr>
              <w:t>por </w:t>
            </w:r>
            <w:r>
              <w:rPr>
                <w:sz w:val="18"/>
              </w:rPr>
              <w:t>acción.</w:t>
            </w:r>
          </w:p>
        </w:tc>
        <w:tc>
          <w:tcPr>
            <w:tcW w:w="1587" w:type="dxa"/>
            <w:shd w:val="clear" w:color="auto" w:fill="D1D3D4"/>
          </w:tcPr>
          <w:p>
            <w:pPr>
              <w:pStyle w:val="TableParagraph"/>
              <w:spacing w:line="242" w:lineRule="auto" w:before="8"/>
              <w:ind w:left="51" w:right="49"/>
              <w:jc w:val="both"/>
              <w:rPr>
                <w:sz w:val="18"/>
              </w:rPr>
            </w:pPr>
            <w:r>
              <w:rPr>
                <w:sz w:val="18"/>
              </w:rPr>
              <w:t>Existencia de con- venios   específicos y políticas para la ejecución vecinal de la inversión</w:t>
            </w:r>
            <w:r>
              <w:rPr>
                <w:spacing w:val="-18"/>
                <w:sz w:val="18"/>
              </w:rPr>
              <w:t> </w:t>
            </w:r>
            <w:r>
              <w:rPr>
                <w:sz w:val="18"/>
              </w:rPr>
              <w:t>cofinan- </w:t>
            </w:r>
            <w:r>
              <w:rPr>
                <w:spacing w:val="-2"/>
                <w:sz w:val="18"/>
              </w:rPr>
              <w:t>ciera.</w:t>
            </w:r>
          </w:p>
        </w:tc>
        <w:tc>
          <w:tcPr>
            <w:tcW w:w="1644" w:type="dxa"/>
            <w:shd w:val="clear" w:color="auto" w:fill="D1D3D4"/>
          </w:tcPr>
          <w:p>
            <w:pPr>
              <w:pStyle w:val="TableParagraph"/>
              <w:spacing w:line="242" w:lineRule="auto"/>
              <w:ind w:left="51" w:right="49"/>
              <w:jc w:val="both"/>
              <w:rPr>
                <w:sz w:val="18"/>
              </w:rPr>
            </w:pPr>
            <w:r>
              <w:rPr>
                <w:sz w:val="18"/>
              </w:rPr>
              <w:t>Evaluación continua en la ejecución ve- cinal de la inversión cofinanciera.</w:t>
            </w:r>
          </w:p>
        </w:tc>
        <w:tc>
          <w:tcPr>
            <w:tcW w:w="1587" w:type="dxa"/>
            <w:shd w:val="clear" w:color="auto" w:fill="D1D3D4"/>
          </w:tcPr>
          <w:p>
            <w:pPr>
              <w:pStyle w:val="TableParagraph"/>
              <w:spacing w:line="242" w:lineRule="auto"/>
              <w:ind w:left="51" w:right="47"/>
              <w:jc w:val="both"/>
              <w:rPr>
                <w:sz w:val="18"/>
              </w:rPr>
            </w:pPr>
            <w:r>
              <w:rPr>
                <w:sz w:val="18"/>
              </w:rPr>
              <w:t>Participación social cofinanciera del 31.25%.</w:t>
            </w:r>
          </w:p>
        </w:tc>
      </w:tr>
      <w:tr>
        <w:trPr>
          <w:trHeight w:val="1288" w:hRule="exact"/>
        </w:trPr>
        <w:tc>
          <w:tcPr>
            <w:tcW w:w="480" w:type="dxa"/>
          </w:tcPr>
          <w:p>
            <w:pPr>
              <w:pStyle w:val="TableParagraph"/>
              <w:spacing w:before="6"/>
              <w:ind w:left="190"/>
              <w:rPr>
                <w:b/>
                <w:sz w:val="18"/>
              </w:rPr>
            </w:pPr>
            <w:r>
              <w:rPr>
                <w:b/>
                <w:sz w:val="18"/>
              </w:rPr>
              <w:t>4</w:t>
            </w:r>
          </w:p>
        </w:tc>
        <w:tc>
          <w:tcPr>
            <w:tcW w:w="1788" w:type="dxa"/>
          </w:tcPr>
          <w:p>
            <w:pPr>
              <w:pStyle w:val="TableParagraph"/>
              <w:spacing w:line="242" w:lineRule="auto"/>
              <w:ind w:left="51" w:right="49"/>
              <w:jc w:val="both"/>
              <w:rPr>
                <w:sz w:val="18"/>
              </w:rPr>
            </w:pPr>
            <w:r>
              <w:rPr>
                <w:sz w:val="18"/>
              </w:rPr>
              <w:t>La interacción socie- dad-gobierno es de- ficiente, aunque aún logra una participación social financiera y eje- cutiva por acción.</w:t>
            </w:r>
          </w:p>
        </w:tc>
        <w:tc>
          <w:tcPr>
            <w:tcW w:w="1587" w:type="dxa"/>
          </w:tcPr>
          <w:p>
            <w:pPr>
              <w:pStyle w:val="TableParagraph"/>
              <w:spacing w:line="242" w:lineRule="auto"/>
              <w:ind w:left="51" w:right="49"/>
              <w:jc w:val="both"/>
              <w:rPr>
                <w:sz w:val="18"/>
              </w:rPr>
            </w:pPr>
            <w:r>
              <w:rPr>
                <w:sz w:val="18"/>
              </w:rPr>
              <w:t>Existencia de</w:t>
            </w:r>
            <w:r>
              <w:rPr>
                <w:spacing w:val="-28"/>
                <w:sz w:val="18"/>
              </w:rPr>
              <w:t> </w:t>
            </w:r>
            <w:r>
              <w:rPr>
                <w:sz w:val="18"/>
              </w:rPr>
              <w:t>conve- nios específicos</w:t>
            </w:r>
            <w:r>
              <w:rPr>
                <w:spacing w:val="-28"/>
                <w:sz w:val="18"/>
              </w:rPr>
              <w:t> </w:t>
            </w:r>
            <w:r>
              <w:rPr>
                <w:sz w:val="18"/>
              </w:rPr>
              <w:t>para la ejecución vecinal de la inversión cofi- nanciera.</w:t>
            </w:r>
          </w:p>
        </w:tc>
        <w:tc>
          <w:tcPr>
            <w:tcW w:w="1644" w:type="dxa"/>
          </w:tcPr>
          <w:p>
            <w:pPr>
              <w:pStyle w:val="TableParagraph"/>
              <w:spacing w:line="242" w:lineRule="auto"/>
              <w:ind w:left="51" w:right="49"/>
              <w:jc w:val="both"/>
              <w:rPr>
                <w:sz w:val="18"/>
              </w:rPr>
            </w:pPr>
            <w:r>
              <w:rPr>
                <w:sz w:val="18"/>
              </w:rPr>
              <w:t>Evaluación coyuntu- ral</w:t>
            </w:r>
            <w:r>
              <w:rPr>
                <w:spacing w:val="-16"/>
                <w:sz w:val="18"/>
              </w:rPr>
              <w:t> </w:t>
            </w:r>
            <w:r>
              <w:rPr>
                <w:sz w:val="18"/>
              </w:rPr>
              <w:t>en</w:t>
            </w:r>
            <w:r>
              <w:rPr>
                <w:spacing w:val="-16"/>
                <w:sz w:val="18"/>
              </w:rPr>
              <w:t> </w:t>
            </w:r>
            <w:r>
              <w:rPr>
                <w:sz w:val="18"/>
              </w:rPr>
              <w:t>la</w:t>
            </w:r>
            <w:r>
              <w:rPr>
                <w:spacing w:val="-16"/>
                <w:sz w:val="18"/>
              </w:rPr>
              <w:t> </w:t>
            </w:r>
            <w:r>
              <w:rPr>
                <w:sz w:val="18"/>
              </w:rPr>
              <w:t>ejecución</w:t>
            </w:r>
            <w:r>
              <w:rPr>
                <w:spacing w:val="-16"/>
                <w:sz w:val="18"/>
              </w:rPr>
              <w:t> </w:t>
            </w:r>
            <w:r>
              <w:rPr>
                <w:sz w:val="18"/>
              </w:rPr>
              <w:t>ve- cinal de la inversión cofinanciera.</w:t>
            </w:r>
          </w:p>
        </w:tc>
        <w:tc>
          <w:tcPr>
            <w:tcW w:w="1587" w:type="dxa"/>
          </w:tcPr>
          <w:p>
            <w:pPr>
              <w:pStyle w:val="TableParagraph"/>
              <w:spacing w:line="242" w:lineRule="auto" w:before="10"/>
              <w:ind w:left="51" w:right="47"/>
              <w:jc w:val="both"/>
              <w:rPr>
                <w:sz w:val="18"/>
              </w:rPr>
            </w:pPr>
            <w:r>
              <w:rPr>
                <w:sz w:val="18"/>
              </w:rPr>
              <w:t>Participación social cofinanciera del 25%.</w:t>
            </w:r>
          </w:p>
        </w:tc>
      </w:tr>
      <w:tr>
        <w:trPr>
          <w:trHeight w:val="1288" w:hRule="exact"/>
        </w:trPr>
        <w:tc>
          <w:tcPr>
            <w:tcW w:w="480" w:type="dxa"/>
            <w:shd w:val="clear" w:color="auto" w:fill="D1D3D4"/>
          </w:tcPr>
          <w:p>
            <w:pPr>
              <w:pStyle w:val="TableParagraph"/>
              <w:spacing w:before="7"/>
              <w:ind w:left="190"/>
              <w:rPr>
                <w:b/>
                <w:sz w:val="18"/>
              </w:rPr>
            </w:pPr>
            <w:r>
              <w:rPr>
                <w:b/>
                <w:sz w:val="18"/>
              </w:rPr>
              <w:t>3</w:t>
            </w:r>
          </w:p>
        </w:tc>
        <w:tc>
          <w:tcPr>
            <w:tcW w:w="1788" w:type="dxa"/>
            <w:shd w:val="clear" w:color="auto" w:fill="D1D3D4"/>
          </w:tcPr>
          <w:p>
            <w:pPr>
              <w:pStyle w:val="TableParagraph"/>
              <w:spacing w:line="242" w:lineRule="auto" w:before="10"/>
              <w:ind w:left="51" w:right="49"/>
              <w:jc w:val="both"/>
              <w:rPr>
                <w:sz w:val="18"/>
              </w:rPr>
            </w:pPr>
            <w:r>
              <w:rPr>
                <w:sz w:val="18"/>
              </w:rPr>
              <w:t>La interacción socie- dad-gobierno logra </w:t>
            </w:r>
            <w:r>
              <w:rPr>
                <w:spacing w:val="-2"/>
                <w:sz w:val="18"/>
              </w:rPr>
              <w:t>una </w:t>
            </w:r>
            <w:r>
              <w:rPr>
                <w:sz w:val="18"/>
              </w:rPr>
              <w:t>participación social fi- nanciera por acción.</w:t>
            </w:r>
          </w:p>
        </w:tc>
        <w:tc>
          <w:tcPr>
            <w:tcW w:w="1587" w:type="dxa"/>
            <w:shd w:val="clear" w:color="auto" w:fill="D1D3D4"/>
          </w:tcPr>
          <w:p>
            <w:pPr>
              <w:pStyle w:val="TableParagraph"/>
              <w:spacing w:line="242" w:lineRule="auto" w:before="10"/>
              <w:ind w:left="51" w:right="49"/>
              <w:jc w:val="both"/>
              <w:rPr>
                <w:sz w:val="18"/>
              </w:rPr>
            </w:pPr>
            <w:r>
              <w:rPr>
                <w:sz w:val="18"/>
              </w:rPr>
              <w:t>Existencia de con- venios   específicos y políticas para la participación </w:t>
            </w:r>
            <w:r>
              <w:rPr>
                <w:spacing w:val="-2"/>
                <w:sz w:val="18"/>
              </w:rPr>
              <w:t>social </w:t>
            </w:r>
            <w:r>
              <w:rPr>
                <w:sz w:val="18"/>
              </w:rPr>
              <w:t>cofinanciera</w:t>
            </w:r>
            <w:r>
              <w:rPr>
                <w:spacing w:val="-18"/>
                <w:sz w:val="18"/>
              </w:rPr>
              <w:t> </w:t>
            </w:r>
            <w:r>
              <w:rPr>
                <w:sz w:val="18"/>
              </w:rPr>
              <w:t>en</w:t>
            </w:r>
            <w:r>
              <w:rPr>
                <w:spacing w:val="-18"/>
                <w:sz w:val="18"/>
              </w:rPr>
              <w:t> </w:t>
            </w:r>
            <w:r>
              <w:rPr>
                <w:sz w:val="18"/>
              </w:rPr>
              <w:t>la</w:t>
            </w:r>
            <w:r>
              <w:rPr>
                <w:spacing w:val="-18"/>
                <w:sz w:val="18"/>
              </w:rPr>
              <w:t> </w:t>
            </w:r>
            <w:r>
              <w:rPr>
                <w:sz w:val="18"/>
              </w:rPr>
              <w:t>in- </w:t>
            </w:r>
            <w:r>
              <w:rPr>
                <w:spacing w:val="-1"/>
                <w:sz w:val="18"/>
              </w:rPr>
              <w:t>versión</w:t>
            </w:r>
            <w:r>
              <w:rPr>
                <w:spacing w:val="-25"/>
                <w:sz w:val="18"/>
              </w:rPr>
              <w:t> </w:t>
            </w:r>
            <w:r>
              <w:rPr>
                <w:sz w:val="18"/>
              </w:rPr>
              <w:t>pública.</w:t>
            </w:r>
          </w:p>
        </w:tc>
        <w:tc>
          <w:tcPr>
            <w:tcW w:w="1644" w:type="dxa"/>
            <w:shd w:val="clear" w:color="auto" w:fill="D1D3D4"/>
          </w:tcPr>
          <w:p>
            <w:pPr>
              <w:pStyle w:val="TableParagraph"/>
              <w:spacing w:line="242" w:lineRule="auto" w:before="10"/>
              <w:ind w:left="51" w:right="49"/>
              <w:jc w:val="both"/>
              <w:rPr>
                <w:sz w:val="18"/>
              </w:rPr>
            </w:pPr>
            <w:r>
              <w:rPr>
                <w:sz w:val="18"/>
              </w:rPr>
              <w:t>Evaluación continua e integral de la parti- cipación social cofi- nanciera en la inver- sión pública.</w:t>
            </w:r>
          </w:p>
        </w:tc>
        <w:tc>
          <w:tcPr>
            <w:tcW w:w="1587" w:type="dxa"/>
            <w:shd w:val="clear" w:color="auto" w:fill="D1D3D4"/>
          </w:tcPr>
          <w:p>
            <w:pPr>
              <w:pStyle w:val="TableParagraph"/>
              <w:spacing w:line="242" w:lineRule="auto" w:before="10"/>
              <w:ind w:left="51" w:right="47"/>
              <w:jc w:val="both"/>
              <w:rPr>
                <w:sz w:val="18"/>
              </w:rPr>
            </w:pPr>
            <w:r>
              <w:rPr>
                <w:sz w:val="18"/>
              </w:rPr>
              <w:t>Participación social cofinanciera del 18.75%.</w:t>
            </w:r>
          </w:p>
        </w:tc>
      </w:tr>
      <w:tr>
        <w:trPr>
          <w:trHeight w:val="1288" w:hRule="exact"/>
        </w:trPr>
        <w:tc>
          <w:tcPr>
            <w:tcW w:w="480" w:type="dxa"/>
          </w:tcPr>
          <w:p>
            <w:pPr>
              <w:pStyle w:val="TableParagraph"/>
              <w:spacing w:before="8"/>
              <w:ind w:left="190"/>
              <w:rPr>
                <w:b/>
                <w:sz w:val="18"/>
              </w:rPr>
            </w:pPr>
            <w:r>
              <w:rPr>
                <w:b/>
                <w:sz w:val="18"/>
              </w:rPr>
              <w:t>2</w:t>
            </w:r>
          </w:p>
        </w:tc>
        <w:tc>
          <w:tcPr>
            <w:tcW w:w="1788" w:type="dxa"/>
          </w:tcPr>
          <w:p>
            <w:pPr>
              <w:pStyle w:val="TableParagraph"/>
              <w:spacing w:line="242" w:lineRule="auto" w:before="11"/>
              <w:ind w:left="51" w:right="49"/>
              <w:jc w:val="both"/>
              <w:rPr>
                <w:sz w:val="18"/>
              </w:rPr>
            </w:pPr>
            <w:r>
              <w:rPr>
                <w:sz w:val="18"/>
              </w:rPr>
              <w:t>La interacción socie- dad-gobierno es de- ficiente, aunque aun logra una participación social financiera por acción.</w:t>
            </w:r>
          </w:p>
        </w:tc>
        <w:tc>
          <w:tcPr>
            <w:tcW w:w="1587" w:type="dxa"/>
          </w:tcPr>
          <w:p>
            <w:pPr>
              <w:pStyle w:val="TableParagraph"/>
              <w:spacing w:line="242" w:lineRule="auto" w:before="11"/>
              <w:ind w:left="51" w:right="49"/>
              <w:jc w:val="both"/>
              <w:rPr>
                <w:sz w:val="18"/>
              </w:rPr>
            </w:pPr>
            <w:r>
              <w:rPr>
                <w:sz w:val="18"/>
              </w:rPr>
              <w:t>Existencia de</w:t>
            </w:r>
            <w:r>
              <w:rPr>
                <w:spacing w:val="-28"/>
                <w:sz w:val="18"/>
              </w:rPr>
              <w:t> </w:t>
            </w:r>
            <w:r>
              <w:rPr>
                <w:sz w:val="18"/>
              </w:rPr>
              <w:t>conve- nios específicos</w:t>
            </w:r>
            <w:r>
              <w:rPr>
                <w:spacing w:val="-28"/>
                <w:sz w:val="18"/>
              </w:rPr>
              <w:t> </w:t>
            </w:r>
            <w:r>
              <w:rPr>
                <w:sz w:val="18"/>
              </w:rPr>
              <w:t>para la participación so- cial cofinanciera en la</w:t>
            </w:r>
            <w:r>
              <w:rPr>
                <w:spacing w:val="-22"/>
                <w:sz w:val="18"/>
              </w:rPr>
              <w:t> </w:t>
            </w:r>
            <w:r>
              <w:rPr>
                <w:sz w:val="18"/>
              </w:rPr>
              <w:t>inversión</w:t>
            </w:r>
            <w:r>
              <w:rPr>
                <w:spacing w:val="-22"/>
                <w:sz w:val="18"/>
              </w:rPr>
              <w:t> </w:t>
            </w:r>
            <w:r>
              <w:rPr>
                <w:sz w:val="18"/>
              </w:rPr>
              <w:t>pública.</w:t>
            </w:r>
          </w:p>
        </w:tc>
        <w:tc>
          <w:tcPr>
            <w:tcW w:w="1644" w:type="dxa"/>
          </w:tcPr>
          <w:p>
            <w:pPr>
              <w:pStyle w:val="TableParagraph"/>
              <w:spacing w:line="242" w:lineRule="auto" w:before="11"/>
              <w:ind w:left="51" w:right="51"/>
              <w:jc w:val="both"/>
              <w:rPr>
                <w:sz w:val="18"/>
              </w:rPr>
            </w:pPr>
            <w:r>
              <w:rPr>
                <w:sz w:val="18"/>
              </w:rPr>
              <w:t>Evaluación continua de la participación social</w:t>
            </w:r>
            <w:r>
              <w:rPr>
                <w:spacing w:val="-21"/>
                <w:sz w:val="18"/>
              </w:rPr>
              <w:t> </w:t>
            </w:r>
            <w:r>
              <w:rPr>
                <w:sz w:val="18"/>
              </w:rPr>
              <w:t>cofinanciera</w:t>
            </w:r>
            <w:r>
              <w:rPr>
                <w:spacing w:val="-21"/>
                <w:sz w:val="18"/>
              </w:rPr>
              <w:t> </w:t>
            </w:r>
            <w:r>
              <w:rPr>
                <w:sz w:val="18"/>
              </w:rPr>
              <w:t>en la</w:t>
            </w:r>
            <w:r>
              <w:rPr>
                <w:spacing w:val="-22"/>
                <w:sz w:val="18"/>
              </w:rPr>
              <w:t> </w:t>
            </w:r>
            <w:r>
              <w:rPr>
                <w:sz w:val="18"/>
              </w:rPr>
              <w:t>inversión</w:t>
            </w:r>
            <w:r>
              <w:rPr>
                <w:spacing w:val="-22"/>
                <w:sz w:val="18"/>
              </w:rPr>
              <w:t> </w:t>
            </w:r>
            <w:r>
              <w:rPr>
                <w:sz w:val="18"/>
              </w:rPr>
              <w:t>pública.</w:t>
            </w:r>
          </w:p>
        </w:tc>
        <w:tc>
          <w:tcPr>
            <w:tcW w:w="1587" w:type="dxa"/>
          </w:tcPr>
          <w:p>
            <w:pPr>
              <w:pStyle w:val="TableParagraph"/>
              <w:spacing w:line="242" w:lineRule="auto" w:before="11"/>
              <w:ind w:left="51" w:right="47"/>
              <w:jc w:val="both"/>
              <w:rPr>
                <w:sz w:val="18"/>
              </w:rPr>
            </w:pPr>
            <w:r>
              <w:rPr>
                <w:sz w:val="18"/>
              </w:rPr>
              <w:t>Participación social cofinanciera del 13%.</w:t>
            </w:r>
          </w:p>
        </w:tc>
      </w:tr>
      <w:tr>
        <w:trPr>
          <w:trHeight w:val="1288" w:hRule="exact"/>
        </w:trPr>
        <w:tc>
          <w:tcPr>
            <w:tcW w:w="480" w:type="dxa"/>
            <w:shd w:val="clear" w:color="auto" w:fill="D1D3D4"/>
          </w:tcPr>
          <w:p>
            <w:pPr>
              <w:pStyle w:val="TableParagraph"/>
              <w:spacing w:before="8"/>
              <w:ind w:left="190"/>
              <w:rPr>
                <w:b/>
                <w:sz w:val="18"/>
              </w:rPr>
            </w:pPr>
            <w:r>
              <w:rPr>
                <w:b/>
                <w:sz w:val="18"/>
              </w:rPr>
              <w:t>1</w:t>
            </w:r>
          </w:p>
        </w:tc>
        <w:tc>
          <w:tcPr>
            <w:tcW w:w="1788" w:type="dxa"/>
            <w:shd w:val="clear" w:color="auto" w:fill="D1D3D4"/>
          </w:tcPr>
          <w:p>
            <w:pPr>
              <w:pStyle w:val="TableParagraph"/>
              <w:spacing w:line="242" w:lineRule="auto" w:before="11"/>
              <w:ind w:left="51" w:right="49"/>
              <w:jc w:val="both"/>
              <w:rPr>
                <w:sz w:val="18"/>
              </w:rPr>
            </w:pPr>
            <w:r>
              <w:rPr>
                <w:sz w:val="18"/>
              </w:rPr>
              <w:t>La interacción socie- dad-gobierno tiende a la inoperatividad del cofinanciamiento so- cial.</w:t>
            </w:r>
          </w:p>
        </w:tc>
        <w:tc>
          <w:tcPr>
            <w:tcW w:w="1587" w:type="dxa"/>
            <w:shd w:val="clear" w:color="auto" w:fill="D1D3D4"/>
          </w:tcPr>
          <w:p>
            <w:pPr>
              <w:pStyle w:val="TableParagraph"/>
              <w:spacing w:line="242" w:lineRule="auto" w:before="11"/>
              <w:ind w:left="51" w:right="49"/>
              <w:jc w:val="both"/>
              <w:rPr>
                <w:sz w:val="18"/>
              </w:rPr>
            </w:pPr>
            <w:r>
              <w:rPr>
                <w:sz w:val="18"/>
              </w:rPr>
              <w:t>Existencia de pro- gramas decadentes para la participación social cofinanciera en la inversión pú- blica.</w:t>
            </w:r>
          </w:p>
        </w:tc>
        <w:tc>
          <w:tcPr>
            <w:tcW w:w="1644" w:type="dxa"/>
            <w:shd w:val="clear" w:color="auto" w:fill="D1D3D4"/>
          </w:tcPr>
          <w:p>
            <w:pPr>
              <w:pStyle w:val="TableParagraph"/>
              <w:spacing w:line="242" w:lineRule="auto" w:before="12"/>
              <w:ind w:left="51" w:right="49"/>
              <w:jc w:val="both"/>
              <w:rPr>
                <w:sz w:val="18"/>
              </w:rPr>
            </w:pPr>
            <w:r>
              <w:rPr>
                <w:sz w:val="18"/>
              </w:rPr>
              <w:t>Evaluación coyuntu- ral</w:t>
            </w:r>
            <w:r>
              <w:rPr>
                <w:spacing w:val="-13"/>
                <w:sz w:val="18"/>
              </w:rPr>
              <w:t> </w:t>
            </w:r>
            <w:r>
              <w:rPr>
                <w:sz w:val="18"/>
              </w:rPr>
              <w:t>de</w:t>
            </w:r>
            <w:r>
              <w:rPr>
                <w:spacing w:val="-13"/>
                <w:sz w:val="18"/>
              </w:rPr>
              <w:t> </w:t>
            </w:r>
            <w:r>
              <w:rPr>
                <w:sz w:val="18"/>
              </w:rPr>
              <w:t>la</w:t>
            </w:r>
            <w:r>
              <w:rPr>
                <w:spacing w:val="-13"/>
                <w:sz w:val="18"/>
              </w:rPr>
              <w:t> </w:t>
            </w:r>
            <w:r>
              <w:rPr>
                <w:sz w:val="18"/>
              </w:rPr>
              <w:t>participación social</w:t>
            </w:r>
            <w:r>
              <w:rPr>
                <w:spacing w:val="-20"/>
                <w:sz w:val="18"/>
              </w:rPr>
              <w:t> </w:t>
            </w:r>
            <w:r>
              <w:rPr>
                <w:sz w:val="18"/>
              </w:rPr>
              <w:t>cofinanciera</w:t>
            </w:r>
            <w:r>
              <w:rPr>
                <w:spacing w:val="-20"/>
                <w:sz w:val="18"/>
              </w:rPr>
              <w:t> </w:t>
            </w:r>
            <w:r>
              <w:rPr>
                <w:sz w:val="18"/>
              </w:rPr>
              <w:t>en la</w:t>
            </w:r>
            <w:r>
              <w:rPr>
                <w:spacing w:val="-22"/>
                <w:sz w:val="18"/>
              </w:rPr>
              <w:t> </w:t>
            </w:r>
            <w:r>
              <w:rPr>
                <w:sz w:val="18"/>
              </w:rPr>
              <w:t>inversión</w:t>
            </w:r>
            <w:r>
              <w:rPr>
                <w:spacing w:val="-22"/>
                <w:sz w:val="18"/>
              </w:rPr>
              <w:t> </w:t>
            </w:r>
            <w:r>
              <w:rPr>
                <w:sz w:val="18"/>
              </w:rPr>
              <w:t>pública.</w:t>
            </w:r>
          </w:p>
        </w:tc>
        <w:tc>
          <w:tcPr>
            <w:tcW w:w="1587" w:type="dxa"/>
            <w:shd w:val="clear" w:color="auto" w:fill="D1D3D4"/>
          </w:tcPr>
          <w:p>
            <w:pPr>
              <w:pStyle w:val="TableParagraph"/>
              <w:spacing w:line="242" w:lineRule="auto" w:before="12"/>
              <w:ind w:left="51" w:right="47"/>
              <w:jc w:val="both"/>
              <w:rPr>
                <w:sz w:val="18"/>
              </w:rPr>
            </w:pPr>
            <w:r>
              <w:rPr>
                <w:sz w:val="18"/>
              </w:rPr>
              <w:t>Participación social cofinanciera del 6.25%.</w:t>
            </w:r>
          </w:p>
        </w:tc>
      </w:tr>
      <w:tr>
        <w:trPr>
          <w:trHeight w:val="1078" w:hRule="exact"/>
        </w:trPr>
        <w:tc>
          <w:tcPr>
            <w:tcW w:w="480" w:type="dxa"/>
          </w:tcPr>
          <w:p>
            <w:pPr>
              <w:pStyle w:val="TableParagraph"/>
              <w:ind w:left="190"/>
              <w:rPr>
                <w:b/>
                <w:sz w:val="18"/>
              </w:rPr>
            </w:pPr>
            <w:r>
              <w:rPr>
                <w:b/>
                <w:sz w:val="18"/>
              </w:rPr>
              <w:t>0</w:t>
            </w:r>
          </w:p>
        </w:tc>
        <w:tc>
          <w:tcPr>
            <w:tcW w:w="1788" w:type="dxa"/>
          </w:tcPr>
          <w:p>
            <w:pPr>
              <w:pStyle w:val="TableParagraph"/>
              <w:spacing w:line="242" w:lineRule="auto" w:before="12"/>
              <w:ind w:left="51"/>
              <w:rPr>
                <w:sz w:val="18"/>
              </w:rPr>
            </w:pPr>
            <w:r>
              <w:rPr>
                <w:sz w:val="18"/>
              </w:rPr>
              <w:t>Financiamiento guber- namental exclusivo.</w:t>
            </w:r>
          </w:p>
        </w:tc>
        <w:tc>
          <w:tcPr>
            <w:tcW w:w="1587" w:type="dxa"/>
          </w:tcPr>
          <w:p>
            <w:pPr>
              <w:pStyle w:val="TableParagraph"/>
              <w:spacing w:line="242" w:lineRule="auto" w:before="12"/>
              <w:ind w:left="51" w:right="49"/>
              <w:jc w:val="both"/>
              <w:rPr>
                <w:sz w:val="18"/>
              </w:rPr>
            </w:pPr>
            <w:r>
              <w:rPr>
                <w:sz w:val="18"/>
              </w:rPr>
              <w:t>Omisión</w:t>
            </w:r>
            <w:r>
              <w:rPr>
                <w:spacing w:val="-28"/>
                <w:sz w:val="18"/>
              </w:rPr>
              <w:t> </w:t>
            </w:r>
            <w:r>
              <w:rPr>
                <w:sz w:val="18"/>
              </w:rPr>
              <w:t>del</w:t>
            </w:r>
            <w:r>
              <w:rPr>
                <w:spacing w:val="-28"/>
                <w:sz w:val="18"/>
              </w:rPr>
              <w:t> </w:t>
            </w:r>
            <w:r>
              <w:rPr>
                <w:sz w:val="18"/>
              </w:rPr>
              <w:t>cofinan- ciamiento social en la</w:t>
            </w:r>
            <w:r>
              <w:rPr>
                <w:spacing w:val="-22"/>
                <w:sz w:val="18"/>
              </w:rPr>
              <w:t> </w:t>
            </w:r>
            <w:r>
              <w:rPr>
                <w:sz w:val="18"/>
              </w:rPr>
              <w:t>inversión</w:t>
            </w:r>
            <w:r>
              <w:rPr>
                <w:spacing w:val="-22"/>
                <w:sz w:val="18"/>
              </w:rPr>
              <w:t> </w:t>
            </w:r>
            <w:r>
              <w:rPr>
                <w:sz w:val="18"/>
              </w:rPr>
              <w:t>pública.</w:t>
            </w:r>
          </w:p>
        </w:tc>
        <w:tc>
          <w:tcPr>
            <w:tcW w:w="1644" w:type="dxa"/>
          </w:tcPr>
          <w:p>
            <w:pPr>
              <w:pStyle w:val="TableParagraph"/>
              <w:spacing w:line="242" w:lineRule="auto" w:before="12"/>
              <w:ind w:left="51" w:right="49"/>
              <w:jc w:val="both"/>
              <w:rPr>
                <w:sz w:val="18"/>
              </w:rPr>
            </w:pPr>
            <w:r>
              <w:rPr>
                <w:sz w:val="18"/>
              </w:rPr>
              <w:t>La evaluación del</w:t>
            </w:r>
            <w:r>
              <w:rPr>
                <w:spacing w:val="-27"/>
                <w:sz w:val="18"/>
              </w:rPr>
              <w:t> </w:t>
            </w:r>
            <w:r>
              <w:rPr>
                <w:sz w:val="18"/>
              </w:rPr>
              <w:t>co- financiamiento</w:t>
            </w:r>
            <w:r>
              <w:rPr>
                <w:spacing w:val="-4"/>
                <w:sz w:val="18"/>
              </w:rPr>
              <w:t> </w:t>
            </w:r>
            <w:r>
              <w:rPr>
                <w:spacing w:val="-2"/>
                <w:sz w:val="18"/>
              </w:rPr>
              <w:t>social </w:t>
            </w:r>
            <w:r>
              <w:rPr>
                <w:sz w:val="18"/>
              </w:rPr>
              <w:t>no es factor para la depuración del</w:t>
            </w:r>
            <w:r>
              <w:rPr>
                <w:spacing w:val="-10"/>
                <w:sz w:val="18"/>
              </w:rPr>
              <w:t> </w:t>
            </w:r>
            <w:r>
              <w:rPr>
                <w:sz w:val="18"/>
              </w:rPr>
              <w:t>finan- </w:t>
            </w:r>
            <w:r>
              <w:rPr>
                <w:spacing w:val="-1"/>
                <w:sz w:val="18"/>
              </w:rPr>
              <w:t>ciamiento</w:t>
            </w:r>
            <w:r>
              <w:rPr>
                <w:spacing w:val="-27"/>
                <w:sz w:val="18"/>
              </w:rPr>
              <w:t> </w:t>
            </w:r>
            <w:r>
              <w:rPr>
                <w:sz w:val="18"/>
              </w:rPr>
              <w:t>público.</w:t>
            </w:r>
          </w:p>
        </w:tc>
        <w:tc>
          <w:tcPr>
            <w:tcW w:w="1587" w:type="dxa"/>
          </w:tcPr>
          <w:p>
            <w:pPr>
              <w:pStyle w:val="TableParagraph"/>
              <w:spacing w:line="242" w:lineRule="auto" w:before="12"/>
              <w:ind w:left="51" w:right="47"/>
              <w:jc w:val="both"/>
              <w:rPr>
                <w:sz w:val="18"/>
              </w:rPr>
            </w:pPr>
            <w:r>
              <w:rPr>
                <w:sz w:val="18"/>
              </w:rPr>
              <w:t>Participación social cofinanciera   del 0%.</w:t>
            </w:r>
          </w:p>
        </w:tc>
      </w:tr>
    </w:tbl>
    <w:p>
      <w:pPr>
        <w:pStyle w:val="BodyText"/>
        <w:spacing w:before="11"/>
        <w:rPr>
          <w:b/>
          <w:i/>
          <w:sz w:val="13"/>
        </w:rPr>
      </w:pPr>
    </w:p>
    <w:p>
      <w:pPr>
        <w:pStyle w:val="BodyText"/>
        <w:spacing w:before="70"/>
        <w:ind w:left="110" w:right="114"/>
        <w:jc w:val="both"/>
      </w:pPr>
      <w:r>
        <w:rPr/>
        <w:t>Los resultados de evaluación relativos a un estudio antecedente basado en el contraste</w:t>
      </w:r>
      <w:r>
        <w:rPr>
          <w:spacing w:val="-6"/>
        </w:rPr>
        <w:t> </w:t>
      </w:r>
      <w:r>
        <w:rPr/>
        <w:t>de</w:t>
      </w:r>
      <w:r>
        <w:rPr>
          <w:spacing w:val="-6"/>
        </w:rPr>
        <w:t> </w:t>
      </w:r>
      <w:r>
        <w:rPr/>
        <w:t>los</w:t>
      </w:r>
      <w:r>
        <w:rPr>
          <w:spacing w:val="-6"/>
        </w:rPr>
        <w:t> </w:t>
      </w:r>
      <w:r>
        <w:rPr/>
        <w:t>elementos</w:t>
      </w:r>
      <w:r>
        <w:rPr>
          <w:spacing w:val="-6"/>
        </w:rPr>
        <w:t> </w:t>
      </w:r>
      <w:r>
        <w:rPr/>
        <w:t>subsidiarios</w:t>
      </w:r>
      <w:r>
        <w:rPr>
          <w:spacing w:val="-5"/>
        </w:rPr>
        <w:t> </w:t>
      </w:r>
      <w:r>
        <w:rPr/>
        <w:t>en</w:t>
      </w:r>
      <w:r>
        <w:rPr>
          <w:spacing w:val="-6"/>
        </w:rPr>
        <w:t> </w:t>
      </w:r>
      <w:r>
        <w:rPr/>
        <w:t>una</w:t>
      </w:r>
      <w:r>
        <w:rPr>
          <w:spacing w:val="-6"/>
        </w:rPr>
        <w:t> </w:t>
      </w:r>
      <w:r>
        <w:rPr/>
        <w:t>muestra</w:t>
      </w:r>
      <w:r>
        <w:rPr>
          <w:spacing w:val="-6"/>
        </w:rPr>
        <w:t> </w:t>
      </w:r>
      <w:r>
        <w:rPr/>
        <w:t>de</w:t>
      </w:r>
      <w:r>
        <w:rPr>
          <w:spacing w:val="-6"/>
        </w:rPr>
        <w:t> </w:t>
      </w:r>
      <w:r>
        <w:rPr/>
        <w:t>los</w:t>
      </w:r>
      <w:r>
        <w:rPr>
          <w:spacing w:val="-6"/>
        </w:rPr>
        <w:t> </w:t>
      </w:r>
      <w:r>
        <w:rPr/>
        <w:t>municipios</w:t>
      </w:r>
      <w:r>
        <w:rPr>
          <w:spacing w:val="-7"/>
        </w:rPr>
        <w:t> </w:t>
      </w:r>
      <w:r>
        <w:rPr/>
        <w:t>más representativos de seis estados (Aguascalientes, Baja California, Guanajuato, Jalisco, Morelos y Querétaro)</w:t>
      </w:r>
      <w:r>
        <w:rPr>
          <w:position w:val="8"/>
          <w:sz w:val="13"/>
        </w:rPr>
        <w:t>229</w:t>
      </w:r>
      <w:r>
        <w:rPr/>
        <w:t>, arrojan lo</w:t>
      </w:r>
      <w:r>
        <w:rPr>
          <w:spacing w:val="-28"/>
        </w:rPr>
        <w:t> </w:t>
      </w:r>
      <w:r>
        <w:rPr/>
        <w:t>siguiente:</w:t>
      </w:r>
    </w:p>
    <w:p>
      <w:pPr>
        <w:pStyle w:val="BodyText"/>
        <w:spacing w:before="2"/>
      </w:pPr>
    </w:p>
    <w:p>
      <w:pPr>
        <w:pStyle w:val="ListParagraph"/>
        <w:numPr>
          <w:ilvl w:val="1"/>
          <w:numId w:val="16"/>
        </w:numPr>
        <w:tabs>
          <w:tab w:pos="678" w:val="left" w:leader="none"/>
        </w:tabs>
        <w:spacing w:line="240" w:lineRule="auto" w:before="0" w:after="0"/>
        <w:ind w:left="677" w:right="115" w:hanging="284"/>
        <w:jc w:val="left"/>
        <w:rPr>
          <w:sz w:val="23"/>
        </w:rPr>
      </w:pPr>
      <w:r>
        <w:rPr/>
        <w:pict>
          <v:line style="position:absolute;mso-position-horizontal-relative:page;mso-position-vertical-relative:paragraph;z-index:5680;mso-wrap-distance-left:0;mso-wrap-distance-right:0" from="42.519699pt,32.915825pt" to="114.519699pt,32.915825pt" stroked="true" strokeweight="1pt" strokecolor="#000000">
            <w10:wrap type="topAndBottom"/>
          </v:line>
        </w:pict>
      </w:r>
      <w:r>
        <w:rPr>
          <w:sz w:val="23"/>
        </w:rPr>
        <w:t>Con relación a la </w:t>
      </w:r>
      <w:r>
        <w:rPr>
          <w:i/>
          <w:sz w:val="23"/>
        </w:rPr>
        <w:t>capacidad sociedad-gobierno de asociación </w:t>
      </w:r>
      <w:r>
        <w:rPr>
          <w:i/>
          <w:sz w:val="23"/>
        </w:rPr>
        <w:t>estratégica</w:t>
      </w:r>
      <w:r>
        <w:rPr>
          <w:sz w:val="23"/>
        </w:rPr>
        <w:t>. La proyección subsidiaria implica que se deberá  </w:t>
      </w:r>
      <w:r>
        <w:rPr>
          <w:spacing w:val="34"/>
          <w:sz w:val="23"/>
        </w:rPr>
        <w:t> </w:t>
      </w:r>
      <w:r>
        <w:rPr>
          <w:sz w:val="23"/>
        </w:rPr>
        <w:t>reforzar</w:t>
      </w:r>
    </w:p>
    <w:p>
      <w:pPr>
        <w:spacing w:line="249" w:lineRule="auto" w:before="28"/>
        <w:ind w:left="393" w:right="140" w:hanging="284"/>
        <w:jc w:val="left"/>
        <w:rPr>
          <w:sz w:val="18"/>
        </w:rPr>
      </w:pPr>
      <w:r>
        <w:rPr>
          <w:position w:val="7"/>
          <w:sz w:val="11"/>
        </w:rPr>
        <w:t>229 </w:t>
      </w:r>
      <w:r>
        <w:rPr>
          <w:sz w:val="18"/>
        </w:rPr>
        <w:t>Los resultados de la investigación anterior pueden consultarse en: Mendoza Ruiz, Joel; </w:t>
      </w:r>
      <w:r>
        <w:rPr>
          <w:i/>
          <w:sz w:val="18"/>
        </w:rPr>
        <w:t>Op. </w:t>
      </w:r>
      <w:r>
        <w:rPr>
          <w:i/>
          <w:sz w:val="18"/>
        </w:rPr>
        <w:t>Cit.</w:t>
      </w:r>
      <w:r>
        <w:rPr>
          <w:sz w:val="18"/>
        </w:rPr>
        <w:t>, pp.</w:t>
      </w:r>
      <w:r>
        <w:rPr>
          <w:spacing w:val="-7"/>
          <w:sz w:val="18"/>
        </w:rPr>
        <w:t> </w:t>
      </w:r>
      <w:r>
        <w:rPr>
          <w:sz w:val="18"/>
        </w:rPr>
        <w:t>210-211.</w:t>
      </w:r>
    </w:p>
    <w:p>
      <w:pPr>
        <w:spacing w:after="0" w:line="249" w:lineRule="auto"/>
        <w:jc w:val="left"/>
        <w:rPr>
          <w:sz w:val="18"/>
        </w:rPr>
        <w:sectPr>
          <w:headerReference w:type="default" r:id="rId252"/>
          <w:headerReference w:type="even" r:id="rId253"/>
          <w:pgSz w:w="9360" w:h="13040"/>
          <w:pgMar w:header="527" w:footer="511" w:top="720" w:bottom="700" w:left="740" w:right="1300"/>
        </w:sectPr>
      </w:pPr>
    </w:p>
    <w:p>
      <w:pPr>
        <w:pStyle w:val="BodyText"/>
        <w:spacing w:before="11"/>
        <w:rPr>
          <w:sz w:val="29"/>
        </w:rPr>
      </w:pPr>
    </w:p>
    <w:p>
      <w:pPr>
        <w:pStyle w:val="BodyText"/>
        <w:spacing w:before="70"/>
        <w:ind w:left="684" w:right="107"/>
        <w:jc w:val="both"/>
      </w:pPr>
      <w:r>
        <w:rPr/>
        <w:t>preferentemente el financiamiento comunitario que ejerzan los individuos a través de su organización directa, promoviendo así la autonomía social en la construcción del bien común comunitario. En</w:t>
      </w:r>
      <w:r>
        <w:rPr>
          <w:spacing w:val="-27"/>
        </w:rPr>
        <w:t> </w:t>
      </w:r>
      <w:r>
        <w:rPr/>
        <w:t>el análisis</w:t>
      </w:r>
      <w:r>
        <w:rPr>
          <w:spacing w:val="-14"/>
        </w:rPr>
        <w:t> </w:t>
      </w:r>
      <w:r>
        <w:rPr/>
        <w:t>específico</w:t>
      </w:r>
      <w:r>
        <w:rPr>
          <w:spacing w:val="-14"/>
        </w:rPr>
        <w:t> </w:t>
      </w:r>
      <w:r>
        <w:rPr/>
        <w:t>de</w:t>
      </w:r>
      <w:r>
        <w:rPr>
          <w:spacing w:val="-14"/>
        </w:rPr>
        <w:t> </w:t>
      </w:r>
      <w:r>
        <w:rPr/>
        <w:t>la</w:t>
      </w:r>
      <w:r>
        <w:rPr>
          <w:spacing w:val="-14"/>
        </w:rPr>
        <w:t> </w:t>
      </w:r>
      <w:r>
        <w:rPr/>
        <w:t>muestra</w:t>
      </w:r>
      <w:r>
        <w:rPr>
          <w:spacing w:val="-14"/>
        </w:rPr>
        <w:t> </w:t>
      </w:r>
      <w:r>
        <w:rPr/>
        <w:t>de</w:t>
      </w:r>
      <w:r>
        <w:rPr>
          <w:spacing w:val="-14"/>
        </w:rPr>
        <w:t> </w:t>
      </w:r>
      <w:r>
        <w:rPr/>
        <w:t>municipios,</w:t>
      </w:r>
      <w:r>
        <w:rPr>
          <w:spacing w:val="-14"/>
        </w:rPr>
        <w:t> </w:t>
      </w:r>
      <w:r>
        <w:rPr/>
        <w:t>se</w:t>
      </w:r>
      <w:r>
        <w:rPr>
          <w:spacing w:val="-14"/>
        </w:rPr>
        <w:t> </w:t>
      </w:r>
      <w:r>
        <w:rPr/>
        <w:t>encontró</w:t>
      </w:r>
      <w:r>
        <w:rPr>
          <w:spacing w:val="-14"/>
        </w:rPr>
        <w:t> </w:t>
      </w:r>
      <w:r>
        <w:rPr/>
        <w:t>que</w:t>
      </w:r>
      <w:r>
        <w:rPr>
          <w:spacing w:val="-14"/>
        </w:rPr>
        <w:t> </w:t>
      </w:r>
      <w:r>
        <w:rPr/>
        <w:t>existían programas de organización y financiamiento comunitario en cuatro de los seis casos. En los ayuntamientos de León, Zapopan y Cuernavaca; las obras por cooperación representaban una organización coyuntural por cada obra o acción, sin la delegación de facultades ejecutivas       en el primer caso dado que las reglas del programa privilegiaban la contratación privada de las obras sobre la organización vecinal. Por su parte, los programas de Zapopan y Cuernavaca si incluían facultades ejecutivas delegadas a los comités de obra, sin embargo, el esquema  de Cuernavaca tendía a desaparecer por la competición presupuestal al interior</w:t>
      </w:r>
      <w:r>
        <w:rPr>
          <w:spacing w:val="-23"/>
        </w:rPr>
        <w:t> </w:t>
      </w:r>
      <w:r>
        <w:rPr/>
        <w:t>de</w:t>
      </w:r>
      <w:r>
        <w:rPr>
          <w:spacing w:val="-23"/>
        </w:rPr>
        <w:t> </w:t>
      </w:r>
      <w:r>
        <w:rPr/>
        <w:t>la</w:t>
      </w:r>
      <w:r>
        <w:rPr>
          <w:spacing w:val="-23"/>
        </w:rPr>
        <w:t> </w:t>
      </w:r>
      <w:r>
        <w:rPr/>
        <w:t>dependencia</w:t>
      </w:r>
      <w:r>
        <w:rPr>
          <w:spacing w:val="-23"/>
        </w:rPr>
        <w:t> </w:t>
      </w:r>
      <w:r>
        <w:rPr/>
        <w:t>ejecutora,</w:t>
      </w:r>
      <w:r>
        <w:rPr>
          <w:spacing w:val="-23"/>
        </w:rPr>
        <w:t> </w:t>
      </w:r>
      <w:r>
        <w:rPr/>
        <w:t>y</w:t>
      </w:r>
      <w:r>
        <w:rPr>
          <w:spacing w:val="-23"/>
        </w:rPr>
        <w:t> </w:t>
      </w:r>
      <w:r>
        <w:rPr/>
        <w:t>en</w:t>
      </w:r>
      <w:r>
        <w:rPr>
          <w:spacing w:val="-23"/>
        </w:rPr>
        <w:t> </w:t>
      </w:r>
      <w:r>
        <w:rPr/>
        <w:t>el</w:t>
      </w:r>
      <w:r>
        <w:rPr>
          <w:spacing w:val="-23"/>
        </w:rPr>
        <w:t> </w:t>
      </w:r>
      <w:r>
        <w:rPr/>
        <w:t>caso</w:t>
      </w:r>
      <w:r>
        <w:rPr>
          <w:spacing w:val="-23"/>
        </w:rPr>
        <w:t> </w:t>
      </w:r>
      <w:r>
        <w:rPr/>
        <w:t>de</w:t>
      </w:r>
      <w:r>
        <w:rPr>
          <w:spacing w:val="-23"/>
        </w:rPr>
        <w:t> </w:t>
      </w:r>
      <w:r>
        <w:rPr/>
        <w:t>Zapopan</w:t>
      </w:r>
      <w:r>
        <w:rPr>
          <w:spacing w:val="-23"/>
        </w:rPr>
        <w:t> </w:t>
      </w:r>
      <w:r>
        <w:rPr/>
        <w:t>el</w:t>
      </w:r>
      <w:r>
        <w:rPr>
          <w:spacing w:val="-23"/>
        </w:rPr>
        <w:t> </w:t>
      </w:r>
      <w:r>
        <w:rPr/>
        <w:t>programa seguía una propensión creciente. Sin embargo, el modelo de Tijuana</w:t>
      </w:r>
      <w:r>
        <w:rPr>
          <w:spacing w:val="-35"/>
        </w:rPr>
        <w:t> </w:t>
      </w:r>
      <w:r>
        <w:rPr/>
        <w:t>se considera</w:t>
      </w:r>
      <w:r>
        <w:rPr>
          <w:spacing w:val="-13"/>
        </w:rPr>
        <w:t> </w:t>
      </w:r>
      <w:r>
        <w:rPr/>
        <w:t>que</w:t>
      </w:r>
      <w:r>
        <w:rPr>
          <w:spacing w:val="-12"/>
        </w:rPr>
        <w:t> </w:t>
      </w:r>
      <w:r>
        <w:rPr/>
        <w:t>contenía</w:t>
      </w:r>
      <w:r>
        <w:rPr>
          <w:spacing w:val="-12"/>
        </w:rPr>
        <w:t> </w:t>
      </w:r>
      <w:r>
        <w:rPr/>
        <w:t>la</w:t>
      </w:r>
      <w:r>
        <w:rPr>
          <w:spacing w:val="-12"/>
        </w:rPr>
        <w:t> </w:t>
      </w:r>
      <w:r>
        <w:rPr/>
        <w:t>mayor</w:t>
      </w:r>
      <w:r>
        <w:rPr>
          <w:spacing w:val="-12"/>
        </w:rPr>
        <w:t> </w:t>
      </w:r>
      <w:r>
        <w:rPr/>
        <w:t>potencialidad</w:t>
      </w:r>
      <w:r>
        <w:rPr>
          <w:spacing w:val="-12"/>
        </w:rPr>
        <w:t> </w:t>
      </w:r>
      <w:r>
        <w:rPr/>
        <w:t>socio-organizativa,</w:t>
      </w:r>
      <w:r>
        <w:rPr>
          <w:spacing w:val="-12"/>
        </w:rPr>
        <w:t> </w:t>
      </w:r>
      <w:r>
        <w:rPr/>
        <w:t>dado que la implementación delegada mediante la asignación de un techo financiero anual podía evolucionar hacia una asociación contributiva sistemática entre el municipio y los</w:t>
      </w:r>
      <w:r>
        <w:rPr>
          <w:spacing w:val="-12"/>
        </w:rPr>
        <w:t> </w:t>
      </w:r>
      <w:r>
        <w:rPr/>
        <w:t>vecinos.</w:t>
      </w:r>
    </w:p>
    <w:p>
      <w:pPr>
        <w:pStyle w:val="BodyText"/>
        <w:spacing w:before="3"/>
      </w:pPr>
    </w:p>
    <w:p>
      <w:pPr>
        <w:pStyle w:val="ListParagraph"/>
        <w:numPr>
          <w:ilvl w:val="1"/>
          <w:numId w:val="16"/>
        </w:numPr>
        <w:tabs>
          <w:tab w:pos="685" w:val="left" w:leader="none"/>
        </w:tabs>
        <w:spacing w:line="240" w:lineRule="auto" w:before="0" w:after="0"/>
        <w:ind w:left="684" w:right="107" w:hanging="284"/>
        <w:jc w:val="both"/>
        <w:rPr>
          <w:sz w:val="23"/>
        </w:rPr>
      </w:pPr>
      <w:r>
        <w:rPr>
          <w:sz w:val="23"/>
        </w:rPr>
        <w:t>Sobre la </w:t>
      </w:r>
      <w:r>
        <w:rPr>
          <w:i/>
          <w:sz w:val="23"/>
        </w:rPr>
        <w:t>restricción competencial de las formaciones sociales más </w:t>
      </w:r>
      <w:r>
        <w:rPr>
          <w:i/>
          <w:sz w:val="23"/>
        </w:rPr>
        <w:t>complejas</w:t>
      </w:r>
      <w:r>
        <w:rPr>
          <w:sz w:val="23"/>
        </w:rPr>
        <w:t>. El modelo subsidiario restringe a las instituciones estatales en relación al financiamiento exclusivo del desarrollo comunitario. No obstante, pese a que las normas correspondientes mencionan como salvaguarda la participación ciudadana en la estructura financiera de distintos programas, en la práctica diferentes grados de desacato son evidencia de que no se constituye realmente una garantía de carácter general.</w:t>
      </w:r>
      <w:r>
        <w:rPr>
          <w:spacing w:val="-15"/>
          <w:sz w:val="23"/>
        </w:rPr>
        <w:t> </w:t>
      </w:r>
      <w:r>
        <w:rPr>
          <w:spacing w:val="-6"/>
          <w:sz w:val="23"/>
        </w:rPr>
        <w:t>Tal</w:t>
      </w:r>
      <w:r>
        <w:rPr>
          <w:spacing w:val="-10"/>
          <w:sz w:val="23"/>
        </w:rPr>
        <w:t> </w:t>
      </w:r>
      <w:r>
        <w:rPr>
          <w:sz w:val="23"/>
        </w:rPr>
        <w:t>es</w:t>
      </w:r>
      <w:r>
        <w:rPr>
          <w:spacing w:val="-11"/>
          <w:sz w:val="23"/>
        </w:rPr>
        <w:t> </w:t>
      </w:r>
      <w:r>
        <w:rPr>
          <w:sz w:val="23"/>
        </w:rPr>
        <w:t>el</w:t>
      </w:r>
      <w:r>
        <w:rPr>
          <w:spacing w:val="-10"/>
          <w:sz w:val="23"/>
        </w:rPr>
        <w:t> </w:t>
      </w:r>
      <w:r>
        <w:rPr>
          <w:sz w:val="23"/>
        </w:rPr>
        <w:t>caso</w:t>
      </w:r>
      <w:r>
        <w:rPr>
          <w:spacing w:val="-11"/>
          <w:sz w:val="23"/>
        </w:rPr>
        <w:t> </w:t>
      </w:r>
      <w:r>
        <w:rPr>
          <w:sz w:val="23"/>
        </w:rPr>
        <w:t>de</w:t>
      </w:r>
      <w:r>
        <w:rPr>
          <w:spacing w:val="-10"/>
          <w:sz w:val="23"/>
        </w:rPr>
        <w:t> </w:t>
      </w:r>
      <w:r>
        <w:rPr>
          <w:sz w:val="23"/>
        </w:rPr>
        <w:t>los</w:t>
      </w:r>
      <w:r>
        <w:rPr>
          <w:spacing w:val="-11"/>
          <w:sz w:val="23"/>
        </w:rPr>
        <w:t> </w:t>
      </w:r>
      <w:r>
        <w:rPr>
          <w:sz w:val="23"/>
        </w:rPr>
        <w:t>municipios</w:t>
      </w:r>
      <w:r>
        <w:rPr>
          <w:spacing w:val="-11"/>
          <w:sz w:val="23"/>
        </w:rPr>
        <w:t> </w:t>
      </w:r>
      <w:r>
        <w:rPr>
          <w:sz w:val="23"/>
        </w:rPr>
        <w:t>de</w:t>
      </w:r>
      <w:r>
        <w:rPr>
          <w:spacing w:val="-23"/>
          <w:sz w:val="23"/>
        </w:rPr>
        <w:t> </w:t>
      </w:r>
      <w:r>
        <w:rPr>
          <w:sz w:val="23"/>
        </w:rPr>
        <w:t>Aguascalientes,</w:t>
      </w:r>
      <w:r>
        <w:rPr>
          <w:spacing w:val="-11"/>
          <w:sz w:val="23"/>
        </w:rPr>
        <w:t> </w:t>
      </w:r>
      <w:r>
        <w:rPr>
          <w:sz w:val="23"/>
        </w:rPr>
        <w:t>Cuernavaca y Querétaro. En cambio, el </w:t>
      </w:r>
      <w:r>
        <w:rPr>
          <w:i/>
          <w:sz w:val="23"/>
        </w:rPr>
        <w:t>reglamento interno del ayuntamiento y de </w:t>
      </w:r>
      <w:r>
        <w:rPr>
          <w:i/>
          <w:sz w:val="23"/>
        </w:rPr>
        <w:t>la</w:t>
      </w:r>
      <w:r>
        <w:rPr>
          <w:i/>
          <w:spacing w:val="-12"/>
          <w:sz w:val="23"/>
        </w:rPr>
        <w:t> </w:t>
      </w:r>
      <w:r>
        <w:rPr>
          <w:i/>
          <w:spacing w:val="-3"/>
          <w:sz w:val="23"/>
        </w:rPr>
        <w:t>administración</w:t>
      </w:r>
      <w:r>
        <w:rPr>
          <w:i/>
          <w:spacing w:val="-11"/>
          <w:sz w:val="23"/>
        </w:rPr>
        <w:t> </w:t>
      </w:r>
      <w:r>
        <w:rPr>
          <w:i/>
          <w:spacing w:val="-3"/>
          <w:sz w:val="23"/>
        </w:rPr>
        <w:t>pública</w:t>
      </w:r>
      <w:r>
        <w:rPr>
          <w:i/>
          <w:spacing w:val="-11"/>
          <w:sz w:val="23"/>
        </w:rPr>
        <w:t> </w:t>
      </w:r>
      <w:r>
        <w:rPr>
          <w:i/>
          <w:spacing w:val="-3"/>
          <w:sz w:val="23"/>
        </w:rPr>
        <w:t>municipal</w:t>
      </w:r>
      <w:r>
        <w:rPr>
          <w:i/>
          <w:spacing w:val="-11"/>
          <w:sz w:val="23"/>
        </w:rPr>
        <w:t> </w:t>
      </w:r>
      <w:r>
        <w:rPr>
          <w:i/>
          <w:sz w:val="23"/>
        </w:rPr>
        <w:t>de</w:t>
      </w:r>
      <w:r>
        <w:rPr>
          <w:i/>
          <w:spacing w:val="-11"/>
          <w:sz w:val="23"/>
        </w:rPr>
        <w:t> </w:t>
      </w:r>
      <w:r>
        <w:rPr>
          <w:i/>
          <w:spacing w:val="-3"/>
          <w:sz w:val="23"/>
        </w:rPr>
        <w:t>Zapopan</w:t>
      </w:r>
      <w:r>
        <w:rPr>
          <w:i/>
          <w:spacing w:val="-11"/>
          <w:sz w:val="23"/>
        </w:rPr>
        <w:t> </w:t>
      </w:r>
      <w:r>
        <w:rPr>
          <w:sz w:val="23"/>
        </w:rPr>
        <w:t>es</w:t>
      </w:r>
      <w:r>
        <w:rPr>
          <w:spacing w:val="-12"/>
          <w:sz w:val="23"/>
        </w:rPr>
        <w:t> </w:t>
      </w:r>
      <w:r>
        <w:rPr>
          <w:sz w:val="23"/>
        </w:rPr>
        <w:t>una</w:t>
      </w:r>
      <w:r>
        <w:rPr>
          <w:spacing w:val="-11"/>
          <w:sz w:val="23"/>
        </w:rPr>
        <w:t> </w:t>
      </w:r>
      <w:r>
        <w:rPr>
          <w:spacing w:val="-3"/>
          <w:sz w:val="23"/>
        </w:rPr>
        <w:t>base</w:t>
      </w:r>
      <w:r>
        <w:rPr>
          <w:spacing w:val="-11"/>
          <w:sz w:val="23"/>
        </w:rPr>
        <w:t> </w:t>
      </w:r>
      <w:r>
        <w:rPr>
          <w:spacing w:val="-3"/>
          <w:sz w:val="23"/>
        </w:rPr>
        <w:t>jurídica</w:t>
      </w:r>
      <w:r>
        <w:rPr>
          <w:spacing w:val="-12"/>
          <w:sz w:val="23"/>
        </w:rPr>
        <w:t> </w:t>
      </w:r>
      <w:r>
        <w:rPr>
          <w:spacing w:val="-3"/>
          <w:sz w:val="23"/>
        </w:rPr>
        <w:t>mí- </w:t>
      </w:r>
      <w:r>
        <w:rPr>
          <w:sz w:val="23"/>
        </w:rPr>
        <w:t>nima que motiva uno de los mejores programas de la muestra. En la mayor congruencia subsidiaria se posiciona la coordinación normativa y</w:t>
      </w:r>
      <w:r>
        <w:rPr>
          <w:spacing w:val="-17"/>
          <w:sz w:val="23"/>
        </w:rPr>
        <w:t> </w:t>
      </w:r>
      <w:r>
        <w:rPr>
          <w:sz w:val="23"/>
        </w:rPr>
        <w:t>financiera</w:t>
      </w:r>
      <w:r>
        <w:rPr>
          <w:spacing w:val="-17"/>
          <w:sz w:val="23"/>
        </w:rPr>
        <w:t> </w:t>
      </w:r>
      <w:r>
        <w:rPr>
          <w:sz w:val="23"/>
        </w:rPr>
        <w:t>entre</w:t>
      </w:r>
      <w:r>
        <w:rPr>
          <w:spacing w:val="-17"/>
          <w:sz w:val="23"/>
        </w:rPr>
        <w:t> </w:t>
      </w:r>
      <w:r>
        <w:rPr>
          <w:sz w:val="23"/>
        </w:rPr>
        <w:t>sociedad</w:t>
      </w:r>
      <w:r>
        <w:rPr>
          <w:spacing w:val="-17"/>
          <w:sz w:val="23"/>
        </w:rPr>
        <w:t> </w:t>
      </w:r>
      <w:r>
        <w:rPr>
          <w:sz w:val="23"/>
        </w:rPr>
        <w:t>y</w:t>
      </w:r>
      <w:r>
        <w:rPr>
          <w:spacing w:val="-17"/>
          <w:sz w:val="23"/>
        </w:rPr>
        <w:t> </w:t>
      </w:r>
      <w:r>
        <w:rPr>
          <w:sz w:val="23"/>
        </w:rPr>
        <w:t>ayuntamiento</w:t>
      </w:r>
      <w:r>
        <w:rPr>
          <w:spacing w:val="-17"/>
          <w:sz w:val="23"/>
        </w:rPr>
        <w:t> </w:t>
      </w:r>
      <w:r>
        <w:rPr>
          <w:sz w:val="23"/>
        </w:rPr>
        <w:t>que</w:t>
      </w:r>
      <w:r>
        <w:rPr>
          <w:spacing w:val="-17"/>
          <w:sz w:val="23"/>
        </w:rPr>
        <w:t> </w:t>
      </w:r>
      <w:r>
        <w:rPr>
          <w:sz w:val="23"/>
        </w:rPr>
        <w:t>establece</w:t>
      </w:r>
      <w:r>
        <w:rPr>
          <w:spacing w:val="-17"/>
          <w:sz w:val="23"/>
        </w:rPr>
        <w:t> </w:t>
      </w:r>
      <w:r>
        <w:rPr>
          <w:sz w:val="23"/>
        </w:rPr>
        <w:t>el</w:t>
      </w:r>
      <w:r>
        <w:rPr>
          <w:spacing w:val="-17"/>
          <w:sz w:val="23"/>
        </w:rPr>
        <w:t> </w:t>
      </w:r>
      <w:r>
        <w:rPr>
          <w:i/>
          <w:sz w:val="23"/>
        </w:rPr>
        <w:t>Fideicomiso </w:t>
      </w:r>
      <w:r>
        <w:rPr>
          <w:i/>
          <w:sz w:val="23"/>
        </w:rPr>
        <w:t>de Obra Pública por Cooperación </w:t>
      </w:r>
      <w:r>
        <w:rPr>
          <w:sz w:val="23"/>
        </w:rPr>
        <w:t>(FIDOC) de</w:t>
      </w:r>
      <w:r>
        <w:rPr>
          <w:spacing w:val="-7"/>
          <w:sz w:val="23"/>
        </w:rPr>
        <w:t> </w:t>
      </w:r>
      <w:r>
        <w:rPr>
          <w:sz w:val="23"/>
        </w:rPr>
        <w:t>León.</w:t>
      </w:r>
    </w:p>
    <w:p>
      <w:pPr>
        <w:pStyle w:val="BodyText"/>
        <w:spacing w:before="3"/>
      </w:pPr>
    </w:p>
    <w:p>
      <w:pPr>
        <w:pStyle w:val="ListParagraph"/>
        <w:numPr>
          <w:ilvl w:val="1"/>
          <w:numId w:val="16"/>
        </w:numPr>
        <w:tabs>
          <w:tab w:pos="685" w:val="left" w:leader="none"/>
        </w:tabs>
        <w:spacing w:line="240" w:lineRule="auto" w:before="0" w:after="0"/>
        <w:ind w:left="684" w:right="108" w:hanging="284"/>
        <w:jc w:val="both"/>
        <w:rPr>
          <w:sz w:val="23"/>
        </w:rPr>
      </w:pPr>
      <w:r>
        <w:rPr>
          <w:sz w:val="23"/>
        </w:rPr>
        <w:t>Con respecto a la </w:t>
      </w:r>
      <w:r>
        <w:rPr>
          <w:i/>
          <w:sz w:val="23"/>
        </w:rPr>
        <w:t>evaluación de las sociedades más simples para el </w:t>
      </w:r>
      <w:r>
        <w:rPr>
          <w:i/>
          <w:sz w:val="23"/>
        </w:rPr>
        <w:t>ejercicio subsidiario</w:t>
      </w:r>
      <w:r>
        <w:rPr>
          <w:sz w:val="23"/>
        </w:rPr>
        <w:t>, cuya función es impulsar la valoración de la eficiencia financiera comunitaria, se destaca únicamente al FIDOC </w:t>
      </w:r>
      <w:r>
        <w:rPr>
          <w:spacing w:val="29"/>
          <w:sz w:val="23"/>
        </w:rPr>
        <w:t> </w:t>
      </w:r>
      <w:r>
        <w:rPr>
          <w:sz w:val="23"/>
        </w:rPr>
        <w:t>de</w:t>
      </w:r>
    </w:p>
    <w:p>
      <w:pPr>
        <w:spacing w:after="0" w:line="240" w:lineRule="auto"/>
        <w:jc w:val="both"/>
        <w:rPr>
          <w:sz w:val="23"/>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before="70"/>
        <w:ind w:left="677" w:right="32"/>
      </w:pPr>
      <w:r>
        <w:rPr/>
        <w:t>León por su función de evaluar las capacidades vecinales a través de un área administrativa de trabajo social.</w:t>
      </w:r>
    </w:p>
    <w:p>
      <w:pPr>
        <w:pStyle w:val="BodyText"/>
        <w:spacing w:before="9"/>
        <w:rPr>
          <w:sz w:val="22"/>
        </w:rPr>
      </w:pPr>
    </w:p>
    <w:p>
      <w:pPr>
        <w:pStyle w:val="ListParagraph"/>
        <w:numPr>
          <w:ilvl w:val="1"/>
          <w:numId w:val="16"/>
        </w:numPr>
        <w:tabs>
          <w:tab w:pos="678" w:val="left" w:leader="none"/>
        </w:tabs>
        <w:spacing w:line="260" w:lineRule="exact" w:before="0" w:after="0"/>
        <w:ind w:left="677" w:right="114" w:hanging="284"/>
        <w:jc w:val="both"/>
        <w:rPr>
          <w:sz w:val="23"/>
        </w:rPr>
      </w:pPr>
      <w:r>
        <w:rPr>
          <w:sz w:val="23"/>
        </w:rPr>
        <w:t>Con relación al </w:t>
      </w:r>
      <w:r>
        <w:rPr>
          <w:i/>
          <w:sz w:val="23"/>
        </w:rPr>
        <w:t>avance competencial de las sociedades más simples</w:t>
      </w:r>
      <w:r>
        <w:rPr>
          <w:sz w:val="23"/>
        </w:rPr>
        <w:t>,  se considera que únicamente el modelo de Zapopan posibilita</w:t>
      </w:r>
      <w:r>
        <w:rPr>
          <w:spacing w:val="-20"/>
          <w:sz w:val="23"/>
        </w:rPr>
        <w:t> </w:t>
      </w:r>
      <w:r>
        <w:rPr>
          <w:sz w:val="23"/>
        </w:rPr>
        <w:t>derechos ciudadanos cofinancieros y ejecutivos por obra o acción. Con una evaluación menos favorable estarían los municipios de Tijuana, León  y Cuernavaca por incluir mecanismos de cofinanciamiento pero sin posibilidad de ejecución directa. Los porcentajes de las contribuciones ciudadanas son: Zapopan con el 12% del costo de la obra más representativa; Tijuana con el 20% en su mayoría, aunque se ejercen 30%</w:t>
      </w:r>
      <w:r>
        <w:rPr>
          <w:spacing w:val="-3"/>
          <w:sz w:val="23"/>
        </w:rPr>
        <w:t> </w:t>
      </w:r>
      <w:r>
        <w:rPr>
          <w:sz w:val="23"/>
        </w:rPr>
        <w:t>y</w:t>
      </w:r>
      <w:r>
        <w:rPr>
          <w:spacing w:val="-3"/>
          <w:sz w:val="23"/>
        </w:rPr>
        <w:t> </w:t>
      </w:r>
      <w:r>
        <w:rPr>
          <w:sz w:val="23"/>
        </w:rPr>
        <w:t>40%;</w:t>
      </w:r>
      <w:r>
        <w:rPr>
          <w:spacing w:val="-3"/>
          <w:sz w:val="23"/>
        </w:rPr>
        <w:t> </w:t>
      </w:r>
      <w:r>
        <w:rPr>
          <w:sz w:val="23"/>
        </w:rPr>
        <w:t>y</w:t>
      </w:r>
      <w:r>
        <w:rPr>
          <w:spacing w:val="-3"/>
          <w:sz w:val="23"/>
        </w:rPr>
        <w:t> </w:t>
      </w:r>
      <w:r>
        <w:rPr>
          <w:sz w:val="23"/>
        </w:rPr>
        <w:t>León</w:t>
      </w:r>
      <w:r>
        <w:rPr>
          <w:spacing w:val="-3"/>
          <w:sz w:val="23"/>
        </w:rPr>
        <w:t> </w:t>
      </w:r>
      <w:r>
        <w:rPr>
          <w:sz w:val="23"/>
        </w:rPr>
        <w:t>con</w:t>
      </w:r>
      <w:r>
        <w:rPr>
          <w:spacing w:val="-3"/>
          <w:sz w:val="23"/>
        </w:rPr>
        <w:t> </w:t>
      </w:r>
      <w:r>
        <w:rPr>
          <w:sz w:val="23"/>
        </w:rPr>
        <w:t>el</w:t>
      </w:r>
      <w:r>
        <w:rPr>
          <w:spacing w:val="-3"/>
          <w:sz w:val="23"/>
        </w:rPr>
        <w:t> </w:t>
      </w:r>
      <w:r>
        <w:rPr>
          <w:sz w:val="23"/>
        </w:rPr>
        <w:t>50%</w:t>
      </w:r>
      <w:r>
        <w:rPr>
          <w:spacing w:val="-3"/>
          <w:sz w:val="23"/>
        </w:rPr>
        <w:t> </w:t>
      </w:r>
      <w:r>
        <w:rPr>
          <w:sz w:val="23"/>
        </w:rPr>
        <w:t>para</w:t>
      </w:r>
      <w:r>
        <w:rPr>
          <w:spacing w:val="-3"/>
          <w:sz w:val="23"/>
        </w:rPr>
        <w:t> </w:t>
      </w:r>
      <w:r>
        <w:rPr>
          <w:sz w:val="23"/>
        </w:rPr>
        <w:t>la</w:t>
      </w:r>
      <w:r>
        <w:rPr>
          <w:spacing w:val="-3"/>
          <w:sz w:val="23"/>
        </w:rPr>
        <w:t> </w:t>
      </w:r>
      <w:r>
        <w:rPr>
          <w:sz w:val="23"/>
        </w:rPr>
        <w:t>mayoría</w:t>
      </w:r>
      <w:r>
        <w:rPr>
          <w:spacing w:val="-4"/>
          <w:sz w:val="23"/>
        </w:rPr>
        <w:t> </w:t>
      </w:r>
      <w:r>
        <w:rPr>
          <w:sz w:val="23"/>
        </w:rPr>
        <w:t>de</w:t>
      </w:r>
      <w:r>
        <w:rPr>
          <w:spacing w:val="-3"/>
          <w:sz w:val="23"/>
        </w:rPr>
        <w:t> </w:t>
      </w:r>
      <w:r>
        <w:rPr>
          <w:sz w:val="23"/>
        </w:rPr>
        <w:t>obras</w:t>
      </w:r>
      <w:r>
        <w:rPr>
          <w:spacing w:val="-3"/>
          <w:sz w:val="23"/>
        </w:rPr>
        <w:t> </w:t>
      </w:r>
      <w:r>
        <w:rPr>
          <w:sz w:val="23"/>
        </w:rPr>
        <w:t>programadas.</w:t>
      </w:r>
    </w:p>
    <w:p>
      <w:pPr>
        <w:pStyle w:val="BodyText"/>
        <w:spacing w:before="7"/>
        <w:rPr>
          <w:sz w:val="22"/>
        </w:rPr>
      </w:pPr>
    </w:p>
    <w:p>
      <w:pPr>
        <w:pStyle w:val="BodyText"/>
        <w:spacing w:line="260" w:lineRule="exact"/>
        <w:ind w:left="110" w:right="114"/>
        <w:jc w:val="both"/>
      </w:pPr>
      <w:r>
        <w:rPr/>
        <w:t>En suma, el promedio general del estudio referido anteriormente fue de 2.28. Como rasgo especial con respecto a las evaluaciones presentadas en los otros capítulos del presente libro, la evaluación más destacada en tres de los cuatro elementos subsidiarios no coinciden en un solo programa municipal sino en tres distintos: destacó por su potencialidad socio-organizativa el esquema de Tijuana, mientras que los de León y Zapopan lo hicieron por su restricción gubernamental y por la proyección ejecutiva vecinal respectivamente.</w:t>
      </w:r>
    </w:p>
    <w:p>
      <w:pPr>
        <w:pStyle w:val="BodyText"/>
        <w:spacing w:before="7"/>
        <w:rPr>
          <w:sz w:val="22"/>
        </w:rPr>
      </w:pPr>
    </w:p>
    <w:p>
      <w:pPr>
        <w:pStyle w:val="Heading3"/>
        <w:spacing w:line="260" w:lineRule="exact"/>
        <w:ind w:left="110" w:right="115"/>
      </w:pPr>
      <w:r>
        <w:rPr/>
        <w:t>El carácter coyuntural de la acción comunitaria en los municipios hidalguenses.</w:t>
      </w:r>
    </w:p>
    <w:p>
      <w:pPr>
        <w:pStyle w:val="BodyText"/>
        <w:spacing w:before="7"/>
        <w:rPr>
          <w:b/>
          <w:sz w:val="22"/>
        </w:rPr>
      </w:pPr>
    </w:p>
    <w:p>
      <w:pPr>
        <w:pStyle w:val="BodyText"/>
        <w:spacing w:line="260" w:lineRule="exact"/>
        <w:ind w:left="110" w:right="115"/>
        <w:jc w:val="both"/>
      </w:pPr>
      <w:r>
        <w:rPr/>
        <w:t>Para este análisis se tomó una muestra de diez municipios representativos</w:t>
      </w:r>
      <w:r>
        <w:rPr>
          <w:spacing w:val="-36"/>
        </w:rPr>
        <w:t> </w:t>
      </w:r>
      <w:r>
        <w:rPr/>
        <w:t>del Estado de Hidalgo, de tal modo que se detectó la existencia de programas de </w:t>
      </w:r>
      <w:r>
        <w:rPr>
          <w:spacing w:val="2"/>
        </w:rPr>
        <w:t>financiamientocomunitarioencuatrodeesosmunicipios. </w:t>
      </w:r>
      <w:r>
        <w:rPr>
          <w:spacing w:val="3"/>
        </w:rPr>
        <w:t>Enlosseismunicipios </w:t>
      </w:r>
      <w:r>
        <w:rPr/>
        <w:t>que</w:t>
      </w:r>
      <w:r>
        <w:rPr>
          <w:spacing w:val="-19"/>
        </w:rPr>
        <w:t> </w:t>
      </w:r>
      <w:r>
        <w:rPr/>
        <w:t>no</w:t>
      </w:r>
      <w:r>
        <w:rPr>
          <w:spacing w:val="-19"/>
        </w:rPr>
        <w:t> </w:t>
      </w:r>
      <w:r>
        <w:rPr/>
        <w:t>contaron</w:t>
      </w:r>
      <w:r>
        <w:rPr>
          <w:spacing w:val="-20"/>
        </w:rPr>
        <w:t> </w:t>
      </w:r>
      <w:r>
        <w:rPr/>
        <w:t>con</w:t>
      </w:r>
      <w:r>
        <w:rPr>
          <w:spacing w:val="-19"/>
        </w:rPr>
        <w:t> </w:t>
      </w:r>
      <w:r>
        <w:rPr/>
        <w:t>esquemas</w:t>
      </w:r>
      <w:r>
        <w:rPr>
          <w:spacing w:val="-20"/>
        </w:rPr>
        <w:t> </w:t>
      </w:r>
      <w:r>
        <w:rPr/>
        <w:t>similares,</w:t>
      </w:r>
      <w:r>
        <w:rPr>
          <w:spacing w:val="-19"/>
        </w:rPr>
        <w:t> </w:t>
      </w:r>
      <w:r>
        <w:rPr/>
        <w:t>los</w:t>
      </w:r>
      <w:r>
        <w:rPr>
          <w:spacing w:val="-20"/>
        </w:rPr>
        <w:t> </w:t>
      </w:r>
      <w:r>
        <w:rPr/>
        <w:t>argumentos</w:t>
      </w:r>
      <w:r>
        <w:rPr>
          <w:spacing w:val="-20"/>
        </w:rPr>
        <w:t> </w:t>
      </w:r>
      <w:r>
        <w:rPr/>
        <w:t>fueron</w:t>
      </w:r>
      <w:r>
        <w:rPr>
          <w:spacing w:val="-19"/>
        </w:rPr>
        <w:t> </w:t>
      </w:r>
      <w:r>
        <w:rPr/>
        <w:t>los</w:t>
      </w:r>
      <w:r>
        <w:rPr>
          <w:spacing w:val="-20"/>
        </w:rPr>
        <w:t> </w:t>
      </w:r>
      <w:r>
        <w:rPr/>
        <w:t>siguientes:</w:t>
      </w:r>
    </w:p>
    <w:p>
      <w:pPr>
        <w:spacing w:line="235" w:lineRule="auto" w:before="0"/>
        <w:ind w:left="110" w:right="115" w:firstLine="0"/>
        <w:jc w:val="both"/>
        <w:rPr>
          <w:sz w:val="23"/>
        </w:rPr>
      </w:pPr>
      <w:r>
        <w:rPr>
          <w:sz w:val="23"/>
        </w:rPr>
        <w:t>a) en Huejutla, </w:t>
      </w:r>
      <w:r>
        <w:rPr>
          <w:i/>
          <w:sz w:val="23"/>
        </w:rPr>
        <w:t>se acostumbra que las obras se financien al 100% con ramo </w:t>
      </w:r>
      <w:r>
        <w:rPr>
          <w:i/>
          <w:sz w:val="23"/>
        </w:rPr>
        <w:t>20 y ramo 33</w:t>
      </w:r>
      <w:r>
        <w:rPr>
          <w:sz w:val="23"/>
        </w:rPr>
        <w:t>, por lo que se intuye que la oferta de financiamiento público  ha sustituido tácitamente al cofinanciamiento sociedad-ayuntamiento</w:t>
      </w:r>
      <w:r>
        <w:rPr>
          <w:position w:val="8"/>
          <w:sz w:val="13"/>
        </w:rPr>
        <w:t>230</w:t>
      </w:r>
      <w:r>
        <w:rPr>
          <w:sz w:val="23"/>
        </w:rPr>
        <w:t>; b) en Pachuca, sin referir explicaciones, la información otorgada a la presente investigación</w:t>
      </w:r>
      <w:r>
        <w:rPr>
          <w:spacing w:val="-15"/>
          <w:sz w:val="23"/>
        </w:rPr>
        <w:t> </w:t>
      </w:r>
      <w:r>
        <w:rPr>
          <w:sz w:val="23"/>
        </w:rPr>
        <w:t>fue:</w:t>
      </w:r>
      <w:r>
        <w:rPr>
          <w:spacing w:val="-15"/>
          <w:sz w:val="23"/>
        </w:rPr>
        <w:t> </w:t>
      </w:r>
      <w:r>
        <w:rPr>
          <w:i/>
          <w:sz w:val="23"/>
        </w:rPr>
        <w:t>no</w:t>
      </w:r>
      <w:r>
        <w:rPr>
          <w:i/>
          <w:spacing w:val="-14"/>
          <w:sz w:val="23"/>
        </w:rPr>
        <w:t> </w:t>
      </w:r>
      <w:r>
        <w:rPr>
          <w:i/>
          <w:sz w:val="23"/>
        </w:rPr>
        <w:t>manejamos…</w:t>
      </w:r>
      <w:r>
        <w:rPr>
          <w:i/>
          <w:spacing w:val="-14"/>
          <w:sz w:val="23"/>
        </w:rPr>
        <w:t> </w:t>
      </w:r>
      <w:r>
        <w:rPr>
          <w:i/>
          <w:sz w:val="23"/>
        </w:rPr>
        <w:t>programas</w:t>
      </w:r>
      <w:r>
        <w:rPr>
          <w:i/>
          <w:spacing w:val="-14"/>
          <w:sz w:val="23"/>
        </w:rPr>
        <w:t> </w:t>
      </w:r>
      <w:r>
        <w:rPr>
          <w:i/>
          <w:sz w:val="23"/>
        </w:rPr>
        <w:t>ayuntamiento-beneficiarios</w:t>
      </w:r>
      <w:r>
        <w:rPr>
          <w:position w:val="8"/>
          <w:sz w:val="13"/>
        </w:rPr>
        <w:t>231</w:t>
      </w:r>
      <w:r>
        <w:rPr>
          <w:sz w:val="23"/>
        </w:rPr>
        <w:t>;</w:t>
      </w:r>
    </w:p>
    <w:p>
      <w:pPr>
        <w:pStyle w:val="ListParagraph"/>
        <w:numPr>
          <w:ilvl w:val="0"/>
          <w:numId w:val="17"/>
        </w:numPr>
        <w:tabs>
          <w:tab w:pos="370" w:val="left" w:leader="none"/>
        </w:tabs>
        <w:spacing w:line="261" w:lineRule="exact" w:before="0" w:after="0"/>
        <w:ind w:left="369" w:right="0" w:hanging="259"/>
        <w:jc w:val="both"/>
        <w:rPr>
          <w:sz w:val="23"/>
        </w:rPr>
      </w:pPr>
      <w:r>
        <w:rPr/>
        <w:pict>
          <v:line style="position:absolute;mso-position-horizontal-relative:page;mso-position-vertical-relative:paragraph;z-index:5704;mso-wrap-distance-left:0;mso-wrap-distance-right:0" from="42.519699pt,16.334801pt" to="114.519699pt,16.334801pt" stroked="true" strokeweight="1pt" strokecolor="#000000">
            <w10:wrap type="topAndBottom"/>
          </v:line>
        </w:pict>
      </w:r>
      <w:r>
        <w:rPr>
          <w:sz w:val="23"/>
        </w:rPr>
        <w:t>en Tepeapulco, los ejercicios presupuestales inician con la formación   </w:t>
      </w:r>
      <w:r>
        <w:rPr>
          <w:spacing w:val="4"/>
          <w:sz w:val="23"/>
        </w:rPr>
        <w:t> </w:t>
      </w:r>
      <w:r>
        <w:rPr>
          <w:sz w:val="23"/>
        </w:rPr>
        <w:t>de</w:t>
      </w:r>
    </w:p>
    <w:p>
      <w:pPr>
        <w:spacing w:line="249" w:lineRule="auto" w:before="28"/>
        <w:ind w:left="393" w:right="114" w:hanging="284"/>
        <w:jc w:val="both"/>
        <w:rPr>
          <w:sz w:val="18"/>
        </w:rPr>
      </w:pPr>
      <w:r>
        <w:rPr>
          <w:position w:val="7"/>
          <w:sz w:val="11"/>
        </w:rPr>
        <w:t>230 </w:t>
      </w:r>
      <w:r>
        <w:rPr>
          <w:sz w:val="18"/>
        </w:rPr>
        <w:t>Información proporcionada para esta investigación por la unidad de información pública gubernamental del ayuntamiento de Huejutla, según solicitud con el número de expediente 00183310 del sistema INFOMEX Hidalgo, 19 de octubre del año 2010.</w:t>
      </w:r>
    </w:p>
    <w:p>
      <w:pPr>
        <w:spacing w:line="249" w:lineRule="auto" w:before="20"/>
        <w:ind w:left="393" w:right="115" w:hanging="284"/>
        <w:jc w:val="both"/>
        <w:rPr>
          <w:sz w:val="18"/>
        </w:rPr>
      </w:pPr>
      <w:r>
        <w:rPr>
          <w:position w:val="7"/>
          <w:sz w:val="11"/>
        </w:rPr>
        <w:t>231 </w:t>
      </w:r>
      <w:r>
        <w:rPr>
          <w:sz w:val="18"/>
        </w:rPr>
        <w:t>Información proporcionada para esta investigación por la unidad de información pública gubernamental del ayuntamiento de Pachuca de Soto, según solicitud con el número de expediente 00183610 del sistema INFOMEX Hidalgo, 7 de noviembre del año 2010.</w:t>
      </w:r>
    </w:p>
    <w:p>
      <w:pPr>
        <w:spacing w:after="0" w:line="249" w:lineRule="auto"/>
        <w:jc w:val="both"/>
        <w:rPr>
          <w:sz w:val="18"/>
        </w:rPr>
        <w:sectPr>
          <w:pgSz w:w="9360" w:h="13040"/>
          <w:pgMar w:header="527" w:footer="511" w:top="720" w:bottom="700" w:left="740" w:right="1300"/>
        </w:sectPr>
      </w:pPr>
    </w:p>
    <w:p>
      <w:pPr>
        <w:pStyle w:val="BodyText"/>
        <w:spacing w:before="11"/>
        <w:rPr>
          <w:sz w:val="29"/>
        </w:rPr>
      </w:pPr>
    </w:p>
    <w:p>
      <w:pPr>
        <w:pStyle w:val="BodyText"/>
        <w:spacing w:line="235" w:lineRule="auto" w:before="75"/>
        <w:ind w:left="117" w:right="107"/>
        <w:jc w:val="both"/>
      </w:pPr>
      <w:r>
        <w:rPr/>
        <w:t>comités</w:t>
      </w:r>
      <w:r>
        <w:rPr>
          <w:spacing w:val="-12"/>
        </w:rPr>
        <w:t> </w:t>
      </w:r>
      <w:r>
        <w:rPr/>
        <w:t>vecinales</w:t>
      </w:r>
      <w:r>
        <w:rPr>
          <w:spacing w:val="-12"/>
        </w:rPr>
        <w:t> </w:t>
      </w:r>
      <w:r>
        <w:rPr/>
        <w:t>y</w:t>
      </w:r>
      <w:r>
        <w:rPr>
          <w:spacing w:val="-11"/>
        </w:rPr>
        <w:t> </w:t>
      </w:r>
      <w:r>
        <w:rPr/>
        <w:t>con</w:t>
      </w:r>
      <w:r>
        <w:rPr>
          <w:spacing w:val="-12"/>
        </w:rPr>
        <w:t> </w:t>
      </w:r>
      <w:r>
        <w:rPr/>
        <w:t>el</w:t>
      </w:r>
      <w:r>
        <w:rPr>
          <w:spacing w:val="-12"/>
        </w:rPr>
        <w:t> </w:t>
      </w:r>
      <w:r>
        <w:rPr/>
        <w:t>informe</w:t>
      </w:r>
      <w:r>
        <w:rPr>
          <w:spacing w:val="-12"/>
        </w:rPr>
        <w:t> </w:t>
      </w:r>
      <w:r>
        <w:rPr/>
        <w:t>de</w:t>
      </w:r>
      <w:r>
        <w:rPr>
          <w:spacing w:val="-12"/>
        </w:rPr>
        <w:t> </w:t>
      </w:r>
      <w:r>
        <w:rPr/>
        <w:t>las</w:t>
      </w:r>
      <w:r>
        <w:rPr>
          <w:spacing w:val="-12"/>
        </w:rPr>
        <w:t> </w:t>
      </w:r>
      <w:r>
        <w:rPr/>
        <w:t>condiciones</w:t>
      </w:r>
      <w:r>
        <w:rPr>
          <w:spacing w:val="-12"/>
        </w:rPr>
        <w:t> </w:t>
      </w:r>
      <w:r>
        <w:rPr/>
        <w:t>técnicas</w:t>
      </w:r>
      <w:r>
        <w:rPr>
          <w:spacing w:val="-12"/>
        </w:rPr>
        <w:t> </w:t>
      </w:r>
      <w:r>
        <w:rPr/>
        <w:t>de</w:t>
      </w:r>
      <w:r>
        <w:rPr>
          <w:spacing w:val="-12"/>
        </w:rPr>
        <w:t> </w:t>
      </w:r>
      <w:r>
        <w:rPr/>
        <w:t>la</w:t>
      </w:r>
      <w:r>
        <w:rPr>
          <w:spacing w:val="-12"/>
        </w:rPr>
        <w:t> </w:t>
      </w:r>
      <w:r>
        <w:rPr/>
        <w:t>obra,</w:t>
      </w:r>
      <w:r>
        <w:rPr>
          <w:spacing w:val="-12"/>
        </w:rPr>
        <w:t> </w:t>
      </w:r>
      <w:r>
        <w:rPr/>
        <w:t>para continuar</w:t>
      </w:r>
      <w:r>
        <w:rPr>
          <w:spacing w:val="-5"/>
        </w:rPr>
        <w:t> </w:t>
      </w:r>
      <w:r>
        <w:rPr/>
        <w:t>con</w:t>
      </w:r>
      <w:r>
        <w:rPr>
          <w:spacing w:val="-4"/>
        </w:rPr>
        <w:t> </w:t>
      </w:r>
      <w:r>
        <w:rPr/>
        <w:t>la</w:t>
      </w:r>
      <w:r>
        <w:rPr>
          <w:spacing w:val="-5"/>
        </w:rPr>
        <w:t> </w:t>
      </w:r>
      <w:r>
        <w:rPr/>
        <w:t>espera</w:t>
      </w:r>
      <w:r>
        <w:rPr>
          <w:spacing w:val="-5"/>
        </w:rPr>
        <w:t> </w:t>
      </w:r>
      <w:r>
        <w:rPr/>
        <w:t>del</w:t>
      </w:r>
      <w:r>
        <w:rPr>
          <w:spacing w:val="-5"/>
        </w:rPr>
        <w:t> </w:t>
      </w:r>
      <w:r>
        <w:rPr/>
        <w:t>recurso</w:t>
      </w:r>
      <w:r>
        <w:rPr>
          <w:spacing w:val="-4"/>
        </w:rPr>
        <w:t> </w:t>
      </w:r>
      <w:r>
        <w:rPr/>
        <w:t>fiscal,</w:t>
      </w:r>
      <w:r>
        <w:rPr>
          <w:spacing w:val="-5"/>
        </w:rPr>
        <w:t> </w:t>
      </w:r>
      <w:r>
        <w:rPr/>
        <w:t>en</w:t>
      </w:r>
      <w:r>
        <w:rPr>
          <w:spacing w:val="-5"/>
        </w:rPr>
        <w:t> </w:t>
      </w:r>
      <w:r>
        <w:rPr/>
        <w:t>cuya</w:t>
      </w:r>
      <w:r>
        <w:rPr>
          <w:spacing w:val="-5"/>
        </w:rPr>
        <w:t> </w:t>
      </w:r>
      <w:r>
        <w:rPr/>
        <w:t>larga</w:t>
      </w:r>
      <w:r>
        <w:rPr>
          <w:spacing w:val="-4"/>
        </w:rPr>
        <w:t> </w:t>
      </w:r>
      <w:r>
        <w:rPr/>
        <w:t>secuencia,</w:t>
      </w:r>
      <w:r>
        <w:rPr>
          <w:spacing w:val="-5"/>
        </w:rPr>
        <w:t> </w:t>
      </w:r>
      <w:r>
        <w:rPr/>
        <w:t>la</w:t>
      </w:r>
      <w:r>
        <w:rPr>
          <w:spacing w:val="-5"/>
        </w:rPr>
        <w:t> </w:t>
      </w:r>
      <w:r>
        <w:rPr/>
        <w:t>realidad es que los beneficiarios no pagan la suma que les corresponde</w:t>
      </w:r>
      <w:r>
        <w:rPr>
          <w:position w:val="8"/>
          <w:sz w:val="13"/>
        </w:rPr>
        <w:t>232</w:t>
      </w:r>
      <w:r>
        <w:rPr/>
        <w:t>, mientras que la autoridad municipal centra sus esfuerzos en los aspectos técnicos y burocráticos; d) en Tizayuca, el presidente municipal ha decidido </w:t>
      </w:r>
      <w:r>
        <w:rPr>
          <w:i/>
        </w:rPr>
        <w:t>favorecer </w:t>
      </w:r>
      <w:r>
        <w:rPr>
          <w:i/>
        </w:rPr>
        <w:t>la economía de la población</w:t>
      </w:r>
      <w:r>
        <w:rPr>
          <w:position w:val="8"/>
          <w:sz w:val="13"/>
        </w:rPr>
        <w:t>233</w:t>
      </w:r>
      <w:r>
        <w:rPr/>
        <w:t>, por lo que la falta de cofinanciamiento sociedad-ayuntamiento en las obras públicas se ha otorgado como subsidio universal</w:t>
      </w:r>
      <w:r>
        <w:rPr>
          <w:spacing w:val="-4"/>
        </w:rPr>
        <w:t> </w:t>
      </w:r>
      <w:r>
        <w:rPr/>
        <w:t>o</w:t>
      </w:r>
      <w:r>
        <w:rPr>
          <w:spacing w:val="-5"/>
        </w:rPr>
        <w:t> </w:t>
      </w:r>
      <w:r>
        <w:rPr/>
        <w:t>bien</w:t>
      </w:r>
      <w:r>
        <w:rPr>
          <w:spacing w:val="-4"/>
        </w:rPr>
        <w:t> </w:t>
      </w:r>
      <w:r>
        <w:rPr/>
        <w:t>dádiva</w:t>
      </w:r>
      <w:r>
        <w:rPr>
          <w:spacing w:val="-4"/>
        </w:rPr>
        <w:t> </w:t>
      </w:r>
      <w:r>
        <w:rPr/>
        <w:t>política;</w:t>
      </w:r>
      <w:r>
        <w:rPr>
          <w:spacing w:val="-5"/>
        </w:rPr>
        <w:t> </w:t>
      </w:r>
      <w:r>
        <w:rPr/>
        <w:t>e)</w:t>
      </w:r>
      <w:r>
        <w:rPr>
          <w:spacing w:val="-5"/>
        </w:rPr>
        <w:t> </w:t>
      </w:r>
      <w:r>
        <w:rPr/>
        <w:t>en</w:t>
      </w:r>
      <w:r>
        <w:rPr>
          <w:spacing w:val="-8"/>
        </w:rPr>
        <w:t> </w:t>
      </w:r>
      <w:r>
        <w:rPr/>
        <w:t>Tula,</w:t>
      </w:r>
      <w:r>
        <w:rPr>
          <w:spacing w:val="-4"/>
        </w:rPr>
        <w:t> </w:t>
      </w:r>
      <w:r>
        <w:rPr/>
        <w:t>al</w:t>
      </w:r>
      <w:r>
        <w:rPr>
          <w:spacing w:val="-5"/>
        </w:rPr>
        <w:t> </w:t>
      </w:r>
      <w:r>
        <w:rPr/>
        <w:t>igual</w:t>
      </w:r>
      <w:r>
        <w:rPr>
          <w:spacing w:val="-5"/>
        </w:rPr>
        <w:t> </w:t>
      </w:r>
      <w:r>
        <w:rPr/>
        <w:t>que</w:t>
      </w:r>
      <w:r>
        <w:rPr>
          <w:spacing w:val="-5"/>
        </w:rPr>
        <w:t> </w:t>
      </w:r>
      <w:r>
        <w:rPr/>
        <w:t>en</w:t>
      </w:r>
      <w:r>
        <w:rPr>
          <w:spacing w:val="-5"/>
        </w:rPr>
        <w:t> </w:t>
      </w:r>
      <w:r>
        <w:rPr/>
        <w:t>Huejutla,</w:t>
      </w:r>
      <w:r>
        <w:rPr>
          <w:spacing w:val="-4"/>
        </w:rPr>
        <w:t> </w:t>
      </w:r>
      <w:r>
        <w:rPr/>
        <w:t>la</w:t>
      </w:r>
      <w:r>
        <w:rPr>
          <w:spacing w:val="-5"/>
        </w:rPr>
        <w:t> </w:t>
      </w:r>
      <w:r>
        <w:rPr/>
        <w:t>oferta de financiamiento público ha sustituido tácitamente al cofinanciamiento sociedad-ayuntamiento,</w:t>
      </w:r>
      <w:r>
        <w:rPr>
          <w:spacing w:val="-7"/>
        </w:rPr>
        <w:t> </w:t>
      </w:r>
      <w:r>
        <w:rPr/>
        <w:t>los</w:t>
      </w:r>
      <w:r>
        <w:rPr>
          <w:spacing w:val="-7"/>
        </w:rPr>
        <w:t> </w:t>
      </w:r>
      <w:r>
        <w:rPr/>
        <w:t>recursos</w:t>
      </w:r>
      <w:r>
        <w:rPr>
          <w:spacing w:val="-7"/>
        </w:rPr>
        <w:t> </w:t>
      </w:r>
      <w:r>
        <w:rPr/>
        <w:t>de</w:t>
      </w:r>
      <w:r>
        <w:rPr>
          <w:spacing w:val="-7"/>
        </w:rPr>
        <w:t> </w:t>
      </w:r>
      <w:r>
        <w:rPr/>
        <w:t>inversión</w:t>
      </w:r>
      <w:r>
        <w:rPr>
          <w:spacing w:val="-7"/>
        </w:rPr>
        <w:t> </w:t>
      </w:r>
      <w:r>
        <w:rPr/>
        <w:t>se</w:t>
      </w:r>
      <w:r>
        <w:rPr>
          <w:spacing w:val="-7"/>
        </w:rPr>
        <w:t> </w:t>
      </w:r>
      <w:r>
        <w:rPr/>
        <w:t>han</w:t>
      </w:r>
      <w:r>
        <w:rPr>
          <w:spacing w:val="-7"/>
        </w:rPr>
        <w:t> </w:t>
      </w:r>
      <w:r>
        <w:rPr/>
        <w:t>diversificado</w:t>
      </w:r>
      <w:r>
        <w:rPr>
          <w:spacing w:val="-7"/>
        </w:rPr>
        <w:t> </w:t>
      </w:r>
      <w:r>
        <w:rPr/>
        <w:t>gracias a los apoyos de la paraestatal PEMEX</w:t>
      </w:r>
      <w:r>
        <w:rPr>
          <w:position w:val="8"/>
          <w:sz w:val="13"/>
        </w:rPr>
        <w:t>234</w:t>
      </w:r>
      <w:r>
        <w:rPr/>
        <w:t>; y f) en Zimapán, el financiamiento ciudadano está reservado para el programa federal 3 x 1 migrantes que ejecuta la dirección de desarrollo social</w:t>
      </w:r>
      <w:r>
        <w:rPr>
          <w:position w:val="8"/>
          <w:sz w:val="13"/>
        </w:rPr>
        <w:t>235</w:t>
      </w:r>
      <w:r>
        <w:rPr/>
        <w:t>, por lo que la dirección de obras públicas percibe ajena la función de organizar el cofinanciamiento sociedad- ayuntamiento, esto es, el cofinanciamiento social se pierde la especialización sectorial.</w:t>
      </w:r>
    </w:p>
    <w:p>
      <w:pPr>
        <w:pStyle w:val="BodyText"/>
        <w:spacing w:before="7"/>
        <w:rPr>
          <w:sz w:val="22"/>
        </w:rPr>
      </w:pPr>
    </w:p>
    <w:p>
      <w:pPr>
        <w:pStyle w:val="BodyText"/>
        <w:spacing w:line="235" w:lineRule="auto" w:before="1"/>
        <w:ind w:left="117" w:right="107"/>
        <w:jc w:val="both"/>
      </w:pPr>
      <w:r>
        <w:rPr/>
        <w:t>En los cuatro municipios hidalguenses que resultó afirmativo el desarrollo  de acciones de financiamiento comunitario, el fundamento de estas no </w:t>
      </w:r>
      <w:r>
        <w:rPr>
          <w:i/>
        </w:rPr>
        <w:t>restringe competencialmente a las formaciones sociales más  complejas</w:t>
      </w:r>
      <w:r>
        <w:rPr/>
        <w:t>. Con relación a la </w:t>
      </w:r>
      <w:r>
        <w:rPr>
          <w:i/>
        </w:rPr>
        <w:t>capacidad sociedad-gobierno de asociación estratégica </w:t>
      </w:r>
      <w:r>
        <w:rPr/>
        <w:t>se encontró cierta potencialidad en el municipio de</w:t>
      </w:r>
      <w:r>
        <w:rPr>
          <w:spacing w:val="-41"/>
        </w:rPr>
        <w:t> </w:t>
      </w:r>
      <w:r>
        <w:rPr/>
        <w:t>Actopan, en cuyo Comité de Planeación para el Desarrollo Municipal (COPLADEM) los representantes de setenta localidades, la asamblea municipal, las asociaciones registradas, las asociaciones de profesionistas y los clubes sociales (leones, rotarios); se reúnen anualmente para seleccionar democráticamente doscientas cincuenta obras y para establecer porcentajes de participación social cofinanciera</w:t>
      </w:r>
      <w:r>
        <w:rPr>
          <w:position w:val="8"/>
          <w:sz w:val="13"/>
        </w:rPr>
        <w:t>236</w:t>
      </w:r>
      <w:r>
        <w:rPr/>
        <w:t>.</w:t>
      </w:r>
      <w:r>
        <w:rPr>
          <w:spacing w:val="-35"/>
        </w:rPr>
        <w:t> </w:t>
      </w:r>
      <w:r>
        <w:rPr/>
        <w:t>No obstante,</w:t>
      </w:r>
      <w:r>
        <w:rPr>
          <w:spacing w:val="-14"/>
        </w:rPr>
        <w:t> </w:t>
      </w:r>
      <w:r>
        <w:rPr/>
        <w:t>una</w:t>
      </w:r>
      <w:r>
        <w:rPr>
          <w:spacing w:val="-14"/>
        </w:rPr>
        <w:t> </w:t>
      </w:r>
      <w:r>
        <w:rPr/>
        <w:t>mayor</w:t>
      </w:r>
      <w:r>
        <w:rPr>
          <w:spacing w:val="-14"/>
        </w:rPr>
        <w:t> </w:t>
      </w:r>
      <w:r>
        <w:rPr/>
        <w:t>viabilidad</w:t>
      </w:r>
      <w:r>
        <w:rPr>
          <w:spacing w:val="-14"/>
        </w:rPr>
        <w:t> </w:t>
      </w:r>
      <w:r>
        <w:rPr/>
        <w:t>socio-organizativa</w:t>
      </w:r>
      <w:r>
        <w:rPr>
          <w:spacing w:val="-14"/>
        </w:rPr>
        <w:t> </w:t>
      </w:r>
      <w:r>
        <w:rPr/>
        <w:t>se</w:t>
      </w:r>
      <w:r>
        <w:rPr>
          <w:spacing w:val="-14"/>
        </w:rPr>
        <w:t> </w:t>
      </w:r>
      <w:r>
        <w:rPr/>
        <w:t>encontró</w:t>
      </w:r>
      <w:r>
        <w:rPr>
          <w:spacing w:val="-14"/>
        </w:rPr>
        <w:t> </w:t>
      </w:r>
      <w:r>
        <w:rPr/>
        <w:t>en</w:t>
      </w:r>
      <w:r>
        <w:rPr>
          <w:spacing w:val="-14"/>
        </w:rPr>
        <w:t> </w:t>
      </w:r>
      <w:r>
        <w:rPr/>
        <w:t>el</w:t>
      </w:r>
      <w:r>
        <w:rPr>
          <w:spacing w:val="-14"/>
        </w:rPr>
        <w:t> </w:t>
      </w:r>
      <w:r>
        <w:rPr/>
        <w:t>municipio de Huichapan, en donde los registros de inversión pública revelan que existe una organización comunitaria permanente en cuarenta y cinco localidades  </w:t>
      </w:r>
      <w:r>
        <w:rPr>
          <w:spacing w:val="10"/>
        </w:rPr>
        <w:t> </w:t>
      </w:r>
      <w:r>
        <w:rPr/>
        <w:t>a</w:t>
      </w:r>
    </w:p>
    <w:p>
      <w:pPr>
        <w:pStyle w:val="BodyText"/>
        <w:spacing w:before="1"/>
        <w:rPr>
          <w:sz w:val="11"/>
        </w:rPr>
      </w:pPr>
      <w:r>
        <w:rPr/>
        <w:pict>
          <v:line style="position:absolute;mso-position-horizontal-relative:page;mso-position-vertical-relative:paragraph;z-index:5728;mso-wrap-distance-left:0;mso-wrap-distance-right:0" from="70.866096pt,8.839809pt" to="142.866096pt,8.839809pt" stroked="true" strokeweight="1pt" strokecolor="#000000">
            <w10:wrap type="topAndBottom"/>
          </v:line>
        </w:pict>
      </w:r>
    </w:p>
    <w:p>
      <w:pPr>
        <w:spacing w:line="249" w:lineRule="auto" w:before="28"/>
        <w:ind w:left="400" w:right="101" w:hanging="284"/>
        <w:jc w:val="left"/>
        <w:rPr>
          <w:sz w:val="18"/>
        </w:rPr>
      </w:pPr>
      <w:r>
        <w:rPr>
          <w:position w:val="7"/>
          <w:sz w:val="11"/>
        </w:rPr>
        <w:t>232 </w:t>
      </w:r>
      <w:r>
        <w:rPr>
          <w:sz w:val="18"/>
        </w:rPr>
        <w:t>Información proporcionada para esta investigación en entrevista con el director de obras públicas del ayuntamiento de Tepeapulco, 6 de octubre del año 2010.</w:t>
      </w:r>
    </w:p>
    <w:p>
      <w:pPr>
        <w:spacing w:line="249" w:lineRule="auto" w:before="20"/>
        <w:ind w:left="400" w:right="0" w:hanging="284"/>
        <w:jc w:val="left"/>
        <w:rPr>
          <w:sz w:val="18"/>
        </w:rPr>
      </w:pPr>
      <w:r>
        <w:rPr>
          <w:position w:val="7"/>
          <w:sz w:val="11"/>
        </w:rPr>
        <w:t>233 </w:t>
      </w:r>
      <w:r>
        <w:rPr>
          <w:sz w:val="18"/>
        </w:rPr>
        <w:t>Información proporcionada para esta investigación en entrevista con el secretario de obras públicas del ayuntamiento de Tizayuca, 26 de enero del año 2011.</w:t>
      </w:r>
    </w:p>
    <w:p>
      <w:pPr>
        <w:spacing w:line="249" w:lineRule="auto" w:before="20"/>
        <w:ind w:left="400" w:right="0" w:hanging="284"/>
        <w:jc w:val="left"/>
        <w:rPr>
          <w:sz w:val="18"/>
        </w:rPr>
      </w:pPr>
      <w:r>
        <w:rPr>
          <w:position w:val="7"/>
          <w:sz w:val="11"/>
        </w:rPr>
        <w:t>234 </w:t>
      </w:r>
      <w:r>
        <w:rPr>
          <w:sz w:val="18"/>
        </w:rPr>
        <w:t>Información proporcionada para esta investigación en entrevista con el encargado del Ramo 33 del ayuntamiento de Tula de Allende, 26 de enero del año 2011.</w:t>
      </w:r>
    </w:p>
    <w:p>
      <w:pPr>
        <w:spacing w:line="249" w:lineRule="auto" w:before="20"/>
        <w:ind w:left="400" w:right="101" w:hanging="284"/>
        <w:jc w:val="left"/>
        <w:rPr>
          <w:sz w:val="18"/>
        </w:rPr>
      </w:pPr>
      <w:r>
        <w:rPr>
          <w:position w:val="7"/>
          <w:sz w:val="11"/>
        </w:rPr>
        <w:t>235 </w:t>
      </w:r>
      <w:r>
        <w:rPr>
          <w:sz w:val="18"/>
        </w:rPr>
        <w:t>Información proporcionada para esta investigación en entrevista con el director de obras públicas del ayuntamiento de Zimapan, 18 de enero del 2011.</w:t>
      </w:r>
    </w:p>
    <w:p>
      <w:pPr>
        <w:spacing w:line="249" w:lineRule="auto" w:before="20"/>
        <w:ind w:left="400" w:right="101" w:hanging="284"/>
        <w:jc w:val="left"/>
        <w:rPr>
          <w:sz w:val="18"/>
        </w:rPr>
      </w:pPr>
      <w:r>
        <w:rPr>
          <w:position w:val="7"/>
          <w:sz w:val="11"/>
        </w:rPr>
        <w:t>236 </w:t>
      </w:r>
      <w:r>
        <w:rPr>
          <w:sz w:val="18"/>
        </w:rPr>
        <w:t>Información proporcionada para esta investigación en entrevista con el director de obras públicas del ayuntamiento de Actopan, 26 de noviembre de 2010.</w:t>
      </w:r>
    </w:p>
    <w:p>
      <w:pPr>
        <w:spacing w:after="0" w:line="249" w:lineRule="auto"/>
        <w:jc w:val="left"/>
        <w:rPr>
          <w:sz w:val="18"/>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5"/>
        <w:jc w:val="both"/>
      </w:pPr>
      <w:r>
        <w:rPr/>
        <w:t>las cuales, durante tres años consecutivos, el ayuntamiento les ha transferido recursos para financiar sus obras directas</w:t>
      </w:r>
      <w:r>
        <w:rPr>
          <w:position w:val="8"/>
          <w:sz w:val="13"/>
        </w:rPr>
        <w:t>237</w:t>
      </w:r>
      <w:r>
        <w:rPr/>
        <w:t>. En los otros dos municipios la organización es coyuntural por cada obra o acción.</w:t>
      </w:r>
    </w:p>
    <w:p>
      <w:pPr>
        <w:pStyle w:val="BodyText"/>
        <w:spacing w:before="4"/>
        <w:rPr>
          <w:sz w:val="22"/>
        </w:rPr>
      </w:pPr>
    </w:p>
    <w:p>
      <w:pPr>
        <w:pStyle w:val="BodyText"/>
        <w:spacing w:line="235" w:lineRule="auto"/>
        <w:ind w:left="110" w:right="114"/>
        <w:jc w:val="both"/>
      </w:pPr>
      <w:r>
        <w:rPr/>
        <w:t>En cuanto a la </w:t>
      </w:r>
      <w:r>
        <w:rPr>
          <w:i/>
        </w:rPr>
        <w:t>evaluación de las sociedades más simples para el ejercicio </w:t>
      </w:r>
      <w:r>
        <w:rPr>
          <w:i/>
        </w:rPr>
        <w:t>subsidiario, </w:t>
      </w:r>
      <w:r>
        <w:rPr/>
        <w:t>el rasgo único al respecto se refiere a que en el municipio de Ixmiquilpan el secretario de obras públicas determina discrecionalmente el porcentaje</w:t>
      </w:r>
      <w:r>
        <w:rPr>
          <w:spacing w:val="-11"/>
        </w:rPr>
        <w:t> </w:t>
      </w:r>
      <w:r>
        <w:rPr/>
        <w:t>de</w:t>
      </w:r>
      <w:r>
        <w:rPr>
          <w:spacing w:val="-10"/>
        </w:rPr>
        <w:t> </w:t>
      </w:r>
      <w:r>
        <w:rPr/>
        <w:t>financiamiento</w:t>
      </w:r>
      <w:r>
        <w:rPr>
          <w:spacing w:val="-11"/>
        </w:rPr>
        <w:t> </w:t>
      </w:r>
      <w:r>
        <w:rPr/>
        <w:t>ciudadano</w:t>
      </w:r>
      <w:r>
        <w:rPr>
          <w:spacing w:val="-11"/>
        </w:rPr>
        <w:t> </w:t>
      </w:r>
      <w:r>
        <w:rPr/>
        <w:t>en</w:t>
      </w:r>
      <w:r>
        <w:rPr>
          <w:spacing w:val="-10"/>
        </w:rPr>
        <w:t> </w:t>
      </w:r>
      <w:r>
        <w:rPr/>
        <w:t>base</w:t>
      </w:r>
      <w:r>
        <w:rPr>
          <w:spacing w:val="-10"/>
        </w:rPr>
        <w:t> </w:t>
      </w:r>
      <w:r>
        <w:rPr/>
        <w:t>a</w:t>
      </w:r>
      <w:r>
        <w:rPr>
          <w:spacing w:val="-10"/>
        </w:rPr>
        <w:t> </w:t>
      </w:r>
      <w:r>
        <w:rPr/>
        <w:t>una</w:t>
      </w:r>
      <w:r>
        <w:rPr>
          <w:spacing w:val="-10"/>
        </w:rPr>
        <w:t> </w:t>
      </w:r>
      <w:r>
        <w:rPr/>
        <w:t>evaluación</w:t>
      </w:r>
      <w:r>
        <w:rPr>
          <w:spacing w:val="-11"/>
        </w:rPr>
        <w:t> </w:t>
      </w:r>
      <w:r>
        <w:rPr/>
        <w:t>subjetiva</w:t>
      </w:r>
      <w:r>
        <w:rPr>
          <w:spacing w:val="-11"/>
        </w:rPr>
        <w:t> </w:t>
      </w:r>
      <w:r>
        <w:rPr/>
        <w:t>de las posibilidades financieras de los beneficiarios. Los porcentajes vecinales pactados son definidos meticulosamente pues definir aportaciones y no lograrlas ocasiona observaciones en la fiscalización de los programas de inversión</w:t>
      </w:r>
      <w:r>
        <w:rPr>
          <w:position w:val="8"/>
          <w:sz w:val="13"/>
        </w:rPr>
        <w:t>238</w:t>
      </w:r>
      <w:r>
        <w:rPr/>
        <w:t>.</w:t>
      </w:r>
    </w:p>
    <w:p>
      <w:pPr>
        <w:pStyle w:val="BodyText"/>
        <w:spacing w:before="7"/>
        <w:rPr>
          <w:sz w:val="22"/>
        </w:rPr>
      </w:pPr>
    </w:p>
    <w:p>
      <w:pPr>
        <w:pStyle w:val="BodyText"/>
        <w:spacing w:line="235" w:lineRule="auto" w:before="1"/>
        <w:ind w:left="110" w:right="114"/>
        <w:jc w:val="both"/>
      </w:pPr>
      <w:r>
        <w:rPr/>
        <w:t>Sobre el </w:t>
      </w:r>
      <w:r>
        <w:rPr>
          <w:i/>
        </w:rPr>
        <w:t>avance competencial de las sociedades más simples</w:t>
      </w:r>
      <w:r>
        <w:rPr/>
        <w:t>, los cuatro municipios que regularmente desarrollan acciones con participación social cofinanciera</w:t>
      </w:r>
      <w:r>
        <w:rPr>
          <w:spacing w:val="-21"/>
        </w:rPr>
        <w:t> </w:t>
      </w:r>
      <w:r>
        <w:rPr/>
        <w:t>describen</w:t>
      </w:r>
      <w:r>
        <w:rPr>
          <w:spacing w:val="-21"/>
        </w:rPr>
        <w:t> </w:t>
      </w:r>
      <w:r>
        <w:rPr/>
        <w:t>diferentes</w:t>
      </w:r>
      <w:r>
        <w:rPr>
          <w:spacing w:val="-21"/>
        </w:rPr>
        <w:t> </w:t>
      </w:r>
      <w:r>
        <w:rPr/>
        <w:t>grados</w:t>
      </w:r>
      <w:r>
        <w:rPr>
          <w:spacing w:val="-21"/>
        </w:rPr>
        <w:t> </w:t>
      </w:r>
      <w:r>
        <w:rPr/>
        <w:t>de</w:t>
      </w:r>
      <w:r>
        <w:rPr>
          <w:spacing w:val="-21"/>
        </w:rPr>
        <w:t> </w:t>
      </w:r>
      <w:r>
        <w:rPr/>
        <w:t>ella.</w:t>
      </w:r>
      <w:r>
        <w:rPr>
          <w:spacing w:val="-21"/>
        </w:rPr>
        <w:t> </w:t>
      </w:r>
      <w:r>
        <w:rPr/>
        <w:t>En</w:t>
      </w:r>
      <w:r>
        <w:rPr>
          <w:spacing w:val="-21"/>
        </w:rPr>
        <w:t> </w:t>
      </w:r>
      <w:r>
        <w:rPr/>
        <w:t>el</w:t>
      </w:r>
      <w:r>
        <w:rPr>
          <w:spacing w:val="-21"/>
        </w:rPr>
        <w:t> </w:t>
      </w:r>
      <w:r>
        <w:rPr/>
        <w:t>municipio</w:t>
      </w:r>
      <w:r>
        <w:rPr>
          <w:spacing w:val="-21"/>
        </w:rPr>
        <w:t> </w:t>
      </w:r>
      <w:r>
        <w:rPr/>
        <w:t>de</w:t>
      </w:r>
      <w:r>
        <w:rPr>
          <w:spacing w:val="-21"/>
        </w:rPr>
        <w:t> </w:t>
      </w:r>
      <w:r>
        <w:rPr/>
        <w:t>Huichapan la acción comunitaria descrita en el párrafo anterior se ha instrumentado a través del Fondo de Recursos Propios (REPO), mismo que en 2010 tuvo un techo</w:t>
      </w:r>
      <w:r>
        <w:rPr>
          <w:spacing w:val="-16"/>
        </w:rPr>
        <w:t> </w:t>
      </w:r>
      <w:r>
        <w:rPr/>
        <w:t>financiero</w:t>
      </w:r>
      <w:r>
        <w:rPr>
          <w:spacing w:val="-16"/>
        </w:rPr>
        <w:t> </w:t>
      </w:r>
      <w:r>
        <w:rPr/>
        <w:t>de</w:t>
      </w:r>
      <w:r>
        <w:rPr>
          <w:spacing w:val="-16"/>
        </w:rPr>
        <w:t> </w:t>
      </w:r>
      <w:r>
        <w:rPr/>
        <w:t>tres</w:t>
      </w:r>
      <w:r>
        <w:rPr>
          <w:spacing w:val="-16"/>
        </w:rPr>
        <w:t> </w:t>
      </w:r>
      <w:r>
        <w:rPr/>
        <w:t>millones</w:t>
      </w:r>
      <w:r>
        <w:rPr>
          <w:spacing w:val="-16"/>
        </w:rPr>
        <w:t> </w:t>
      </w:r>
      <w:r>
        <w:rPr/>
        <w:t>seiscientos</w:t>
      </w:r>
      <w:r>
        <w:rPr>
          <w:spacing w:val="-16"/>
        </w:rPr>
        <w:t> </w:t>
      </w:r>
      <w:r>
        <w:rPr/>
        <w:t>un</w:t>
      </w:r>
      <w:r>
        <w:rPr>
          <w:spacing w:val="-16"/>
        </w:rPr>
        <w:t> </w:t>
      </w:r>
      <w:r>
        <w:rPr/>
        <w:t>mil</w:t>
      </w:r>
      <w:r>
        <w:rPr>
          <w:spacing w:val="-16"/>
        </w:rPr>
        <w:t> </w:t>
      </w:r>
      <w:r>
        <w:rPr/>
        <w:t>trescientos</w:t>
      </w:r>
      <w:r>
        <w:rPr>
          <w:spacing w:val="-16"/>
        </w:rPr>
        <w:t> </w:t>
      </w:r>
      <w:r>
        <w:rPr/>
        <w:t>cincuenta</w:t>
      </w:r>
      <w:r>
        <w:rPr>
          <w:spacing w:val="-16"/>
        </w:rPr>
        <w:t> </w:t>
      </w:r>
      <w:r>
        <w:rPr/>
        <w:t>y</w:t>
      </w:r>
      <w:r>
        <w:rPr>
          <w:spacing w:val="-16"/>
        </w:rPr>
        <w:t> </w:t>
      </w:r>
      <w:r>
        <w:rPr/>
        <w:t>tres pesos, lo que representó un 22.50% con respecto al Fondo de Infraestructura Social Municipal (FISM) del mismo municipio y</w:t>
      </w:r>
      <w:r>
        <w:rPr>
          <w:spacing w:val="-11"/>
        </w:rPr>
        <w:t> </w:t>
      </w:r>
      <w:r>
        <w:rPr/>
        <w:t>año</w:t>
      </w:r>
      <w:r>
        <w:rPr>
          <w:position w:val="8"/>
          <w:sz w:val="13"/>
        </w:rPr>
        <w:t>239</w:t>
      </w:r>
      <w:r>
        <w:rPr/>
        <w:t>.</w:t>
      </w:r>
    </w:p>
    <w:p>
      <w:pPr>
        <w:pStyle w:val="BodyText"/>
        <w:spacing w:before="10"/>
        <w:rPr>
          <w:sz w:val="22"/>
        </w:rPr>
      </w:pPr>
    </w:p>
    <w:p>
      <w:pPr>
        <w:pStyle w:val="BodyText"/>
        <w:spacing w:line="260" w:lineRule="exact"/>
        <w:ind w:left="110" w:right="116"/>
        <w:jc w:val="both"/>
      </w:pPr>
      <w:r>
        <w:rPr/>
        <w:t>Lo anterior significa que con menos recursos la autoridad de Huichapan ha logrado una solución de mayor relevancia subsidiaria, el incremento del REPO a partir del 2008 ha sido del 38.30% anual promedio, el porcentaje   de participación ciudadana regularmente no se registra por parte de la autoridad municipal. Los municipios de Ixmiquilpan, Actopan y Tulancingo aprovechan</w:t>
      </w:r>
      <w:r>
        <w:rPr>
          <w:spacing w:val="-22"/>
        </w:rPr>
        <w:t> </w:t>
      </w:r>
      <w:r>
        <w:rPr/>
        <w:t>el</w:t>
      </w:r>
      <w:r>
        <w:rPr>
          <w:spacing w:val="-22"/>
        </w:rPr>
        <w:t> </w:t>
      </w:r>
      <w:r>
        <w:rPr/>
        <w:t>ejercicio</w:t>
      </w:r>
      <w:r>
        <w:rPr>
          <w:spacing w:val="-22"/>
        </w:rPr>
        <w:t> </w:t>
      </w:r>
      <w:r>
        <w:rPr/>
        <w:t>del</w:t>
      </w:r>
      <w:r>
        <w:rPr>
          <w:spacing w:val="-22"/>
        </w:rPr>
        <w:t> </w:t>
      </w:r>
      <w:r>
        <w:rPr/>
        <w:t>FISM</w:t>
      </w:r>
      <w:r>
        <w:rPr>
          <w:spacing w:val="-22"/>
        </w:rPr>
        <w:t> </w:t>
      </w:r>
      <w:r>
        <w:rPr/>
        <w:t>para</w:t>
      </w:r>
      <w:r>
        <w:rPr>
          <w:spacing w:val="-22"/>
        </w:rPr>
        <w:t> </w:t>
      </w:r>
      <w:r>
        <w:rPr/>
        <w:t>establecer</w:t>
      </w:r>
      <w:r>
        <w:rPr>
          <w:spacing w:val="-22"/>
        </w:rPr>
        <w:t> </w:t>
      </w:r>
      <w:r>
        <w:rPr/>
        <w:t>acciones</w:t>
      </w:r>
      <w:r>
        <w:rPr>
          <w:spacing w:val="-22"/>
        </w:rPr>
        <w:t> </w:t>
      </w:r>
      <w:r>
        <w:rPr/>
        <w:t>de</w:t>
      </w:r>
      <w:r>
        <w:rPr>
          <w:spacing w:val="-22"/>
        </w:rPr>
        <w:t> </w:t>
      </w:r>
      <w:r>
        <w:rPr/>
        <w:t>cofinanciamiento comunitario.</w:t>
      </w:r>
    </w:p>
    <w:p>
      <w:pPr>
        <w:pStyle w:val="BodyText"/>
        <w:spacing w:before="7"/>
        <w:rPr>
          <w:sz w:val="22"/>
        </w:rPr>
      </w:pPr>
    </w:p>
    <w:p>
      <w:pPr>
        <w:pStyle w:val="BodyText"/>
        <w:spacing w:line="260" w:lineRule="exact"/>
        <w:ind w:left="110" w:right="113"/>
        <w:jc w:val="both"/>
      </w:pPr>
      <w:r>
        <w:rPr/>
        <w:pict>
          <v:line style="position:absolute;mso-position-horizontal-relative:page;mso-position-vertical-relative:paragraph;z-index:5752;mso-wrap-distance-left:0;mso-wrap-distance-right:0" from="42.519699pt,32.689602pt" to="114.519699pt,32.689602pt" stroked="true" strokeweight="1pt" strokecolor="#000000">
            <w10:wrap type="topAndBottom"/>
          </v:line>
        </w:pict>
      </w:r>
      <w:r>
        <w:rPr/>
        <w:t>En Ixmiquilpan, las obras que se realizaron por medio de contribuciones ciudadanas  en  el  año  2010  fueron  el  40.65%  del  total  (50  de  123), </w:t>
      </w:r>
      <w:r>
        <w:rPr>
          <w:spacing w:val="51"/>
        </w:rPr>
        <w:t> </w:t>
      </w:r>
      <w:r>
        <w:rPr/>
        <w:t>la</w:t>
      </w:r>
    </w:p>
    <w:p>
      <w:pPr>
        <w:spacing w:line="249" w:lineRule="auto" w:before="28"/>
        <w:ind w:left="393" w:right="114" w:hanging="284"/>
        <w:jc w:val="both"/>
        <w:rPr>
          <w:sz w:val="18"/>
        </w:rPr>
      </w:pPr>
      <w:r>
        <w:rPr>
          <w:position w:val="7"/>
          <w:sz w:val="11"/>
        </w:rPr>
        <w:t>237 </w:t>
      </w:r>
      <w:r>
        <w:rPr>
          <w:sz w:val="18"/>
        </w:rPr>
        <w:t>Información proporcionada para esta investigación por la unidad de información pública gubernamental del ayuntamiento de Huichapan, según solicitud con el número de expediente 00028311 del sistema INFOMEX Hidalgo, 17 de marzo del año 2011.</w:t>
      </w:r>
    </w:p>
    <w:p>
      <w:pPr>
        <w:spacing w:line="249" w:lineRule="auto" w:before="20"/>
        <w:ind w:left="393" w:right="115" w:hanging="284"/>
        <w:jc w:val="both"/>
        <w:rPr>
          <w:sz w:val="18"/>
        </w:rPr>
      </w:pPr>
      <w:r>
        <w:rPr>
          <w:position w:val="7"/>
          <w:sz w:val="11"/>
        </w:rPr>
        <w:t>238 </w:t>
      </w:r>
      <w:r>
        <w:rPr>
          <w:sz w:val="18"/>
        </w:rPr>
        <w:t>Información proporcionada para esta investigación en entrevista con el director de obras públicas del ayuntamiento de Ixmiquilpan, 18 de enero de 2011.</w:t>
      </w:r>
    </w:p>
    <w:p>
      <w:pPr>
        <w:spacing w:line="249" w:lineRule="auto" w:before="20"/>
        <w:ind w:left="393" w:right="114" w:hanging="284"/>
        <w:jc w:val="both"/>
        <w:rPr>
          <w:sz w:val="18"/>
        </w:rPr>
      </w:pPr>
      <w:r>
        <w:rPr>
          <w:position w:val="7"/>
          <w:sz w:val="11"/>
        </w:rPr>
        <w:t>239 </w:t>
      </w:r>
      <w:r>
        <w:rPr>
          <w:sz w:val="18"/>
        </w:rPr>
        <w:t>Información proporcionada para esta investigación por la unidad de información pública gubernamental del ayuntamiento de Huichapan, según solicitud con el número de expediente 00028311 del sistema INFOMEX Hidalgo, 17 de marzo del año 2011.</w:t>
      </w:r>
    </w:p>
    <w:p>
      <w:pPr>
        <w:spacing w:after="0" w:line="249" w:lineRule="auto"/>
        <w:jc w:val="both"/>
        <w:rPr>
          <w:sz w:val="18"/>
        </w:rPr>
        <w:sectPr>
          <w:pgSz w:w="9360" w:h="13040"/>
          <w:pgMar w:header="527" w:footer="511" w:top="720" w:bottom="700" w:left="740" w:right="1300"/>
        </w:sectPr>
      </w:pPr>
    </w:p>
    <w:p>
      <w:pPr>
        <w:pStyle w:val="BodyText"/>
        <w:spacing w:before="11"/>
        <w:rPr>
          <w:sz w:val="29"/>
        </w:rPr>
      </w:pPr>
    </w:p>
    <w:p>
      <w:pPr>
        <w:pStyle w:val="BodyText"/>
        <w:spacing w:before="70"/>
        <w:ind w:left="117" w:right="108"/>
        <w:jc w:val="both"/>
      </w:pPr>
      <w:r>
        <w:rPr/>
        <w:t>recaudación respectiva la ejecutó la tesorería municipal. Los rubros básicos del esquema son agua potable, drenaje, electrificación, educación y salud. La autoridad</w:t>
      </w:r>
      <w:r>
        <w:rPr>
          <w:spacing w:val="-9"/>
        </w:rPr>
        <w:t> </w:t>
      </w:r>
      <w:r>
        <w:rPr/>
        <w:t>municipal</w:t>
      </w:r>
      <w:r>
        <w:rPr>
          <w:spacing w:val="-9"/>
        </w:rPr>
        <w:t> </w:t>
      </w:r>
      <w:r>
        <w:rPr/>
        <w:t>señaló</w:t>
      </w:r>
      <w:r>
        <w:rPr>
          <w:spacing w:val="-8"/>
        </w:rPr>
        <w:t> </w:t>
      </w:r>
      <w:r>
        <w:rPr/>
        <w:t>que</w:t>
      </w:r>
      <w:r>
        <w:rPr>
          <w:spacing w:val="-8"/>
        </w:rPr>
        <w:t> </w:t>
      </w:r>
      <w:r>
        <w:rPr/>
        <w:t>las</w:t>
      </w:r>
      <w:r>
        <w:rPr>
          <w:spacing w:val="-8"/>
        </w:rPr>
        <w:t> </w:t>
      </w:r>
      <w:r>
        <w:rPr/>
        <w:t>aportaciones</w:t>
      </w:r>
      <w:r>
        <w:rPr>
          <w:spacing w:val="-9"/>
        </w:rPr>
        <w:t> </w:t>
      </w:r>
      <w:r>
        <w:rPr/>
        <w:t>generalmente</w:t>
      </w:r>
      <w:r>
        <w:rPr>
          <w:spacing w:val="-8"/>
        </w:rPr>
        <w:t> </w:t>
      </w:r>
      <w:r>
        <w:rPr/>
        <w:t>se</w:t>
      </w:r>
      <w:r>
        <w:rPr>
          <w:spacing w:val="-8"/>
        </w:rPr>
        <w:t> </w:t>
      </w:r>
      <w:r>
        <w:rPr/>
        <w:t>ubican</w:t>
      </w:r>
      <w:r>
        <w:rPr>
          <w:spacing w:val="-8"/>
        </w:rPr>
        <w:t> </w:t>
      </w:r>
      <w:r>
        <w:rPr/>
        <w:t>entre el 8 y el 15%, con un promedio del 11.79% según el ejercicio presupuestal de obras 2010. Los porcentajes de participación ciudadana quedan abiertos   a que sean cubiertos con mano de obra, aunque en esa modalidad a veces se presentan problemas de retraso de obra pues las faenas se realizan sólo dos días de la</w:t>
      </w:r>
      <w:r>
        <w:rPr>
          <w:spacing w:val="1"/>
        </w:rPr>
        <w:t> </w:t>
      </w:r>
      <w:r>
        <w:rPr/>
        <w:t>semana</w:t>
      </w:r>
      <w:r>
        <w:rPr>
          <w:position w:val="8"/>
          <w:sz w:val="13"/>
        </w:rPr>
        <w:t>240</w:t>
      </w:r>
      <w:r>
        <w:rPr/>
        <w:t>.</w:t>
      </w:r>
    </w:p>
    <w:p>
      <w:pPr>
        <w:pStyle w:val="BodyText"/>
        <w:spacing w:before="2"/>
      </w:pPr>
    </w:p>
    <w:p>
      <w:pPr>
        <w:pStyle w:val="BodyText"/>
        <w:ind w:left="117" w:right="107"/>
        <w:jc w:val="both"/>
      </w:pPr>
      <w:r>
        <w:rPr/>
        <w:t>En</w:t>
      </w:r>
      <w:r>
        <w:rPr>
          <w:spacing w:val="-32"/>
        </w:rPr>
        <w:t> </w:t>
      </w:r>
      <w:r>
        <w:rPr/>
        <w:t>Actopan,</w:t>
      </w:r>
      <w:r>
        <w:rPr>
          <w:spacing w:val="-19"/>
        </w:rPr>
        <w:t> </w:t>
      </w:r>
      <w:r>
        <w:rPr/>
        <w:t>la</w:t>
      </w:r>
      <w:r>
        <w:rPr>
          <w:spacing w:val="-20"/>
        </w:rPr>
        <w:t> </w:t>
      </w:r>
      <w:r>
        <w:rPr/>
        <w:t>autoridad</w:t>
      </w:r>
      <w:r>
        <w:rPr>
          <w:spacing w:val="-21"/>
        </w:rPr>
        <w:t> </w:t>
      </w:r>
      <w:r>
        <w:rPr/>
        <w:t>municipal</w:t>
      </w:r>
      <w:r>
        <w:rPr>
          <w:spacing w:val="-21"/>
        </w:rPr>
        <w:t> </w:t>
      </w:r>
      <w:r>
        <w:rPr/>
        <w:t>señaló</w:t>
      </w:r>
      <w:r>
        <w:rPr>
          <w:spacing w:val="-20"/>
        </w:rPr>
        <w:t> </w:t>
      </w:r>
      <w:r>
        <w:rPr/>
        <w:t>que</w:t>
      </w:r>
      <w:r>
        <w:rPr>
          <w:spacing w:val="-20"/>
        </w:rPr>
        <w:t> </w:t>
      </w:r>
      <w:r>
        <w:rPr/>
        <w:t>los</w:t>
      </w:r>
      <w:r>
        <w:rPr>
          <w:spacing w:val="-20"/>
        </w:rPr>
        <w:t> </w:t>
      </w:r>
      <w:r>
        <w:rPr/>
        <w:t>porcentajes</w:t>
      </w:r>
      <w:r>
        <w:rPr>
          <w:spacing w:val="-20"/>
        </w:rPr>
        <w:t> </w:t>
      </w:r>
      <w:r>
        <w:rPr/>
        <w:t>de</w:t>
      </w:r>
      <w:r>
        <w:rPr>
          <w:spacing w:val="-20"/>
        </w:rPr>
        <w:t> </w:t>
      </w:r>
      <w:r>
        <w:rPr/>
        <w:t>participación son</w:t>
      </w:r>
      <w:r>
        <w:rPr>
          <w:spacing w:val="-10"/>
        </w:rPr>
        <w:t> </w:t>
      </w:r>
      <w:r>
        <w:rPr/>
        <w:t>20%</w:t>
      </w:r>
      <w:r>
        <w:rPr>
          <w:spacing w:val="-10"/>
        </w:rPr>
        <w:t> </w:t>
      </w:r>
      <w:r>
        <w:rPr/>
        <w:t>en</w:t>
      </w:r>
      <w:r>
        <w:rPr>
          <w:spacing w:val="-10"/>
        </w:rPr>
        <w:t> </w:t>
      </w:r>
      <w:r>
        <w:rPr/>
        <w:t>promedio,</w:t>
      </w:r>
      <w:r>
        <w:rPr>
          <w:spacing w:val="-10"/>
        </w:rPr>
        <w:t> </w:t>
      </w:r>
      <w:r>
        <w:rPr/>
        <w:t>algunas</w:t>
      </w:r>
      <w:r>
        <w:rPr>
          <w:spacing w:val="-11"/>
        </w:rPr>
        <w:t> </w:t>
      </w:r>
      <w:r>
        <w:rPr/>
        <w:t>llegan</w:t>
      </w:r>
      <w:r>
        <w:rPr>
          <w:spacing w:val="-11"/>
        </w:rPr>
        <w:t> </w:t>
      </w:r>
      <w:r>
        <w:rPr/>
        <w:t>hasta</w:t>
      </w:r>
      <w:r>
        <w:rPr>
          <w:spacing w:val="-10"/>
        </w:rPr>
        <w:t> </w:t>
      </w:r>
      <w:r>
        <w:rPr/>
        <w:t>40%</w:t>
      </w:r>
      <w:r>
        <w:rPr>
          <w:spacing w:val="-10"/>
        </w:rPr>
        <w:t> </w:t>
      </w:r>
      <w:r>
        <w:rPr/>
        <w:t>pero</w:t>
      </w:r>
      <w:r>
        <w:rPr>
          <w:spacing w:val="-10"/>
        </w:rPr>
        <w:t> </w:t>
      </w:r>
      <w:r>
        <w:rPr/>
        <w:t>otras</w:t>
      </w:r>
      <w:r>
        <w:rPr>
          <w:spacing w:val="-10"/>
        </w:rPr>
        <w:t> </w:t>
      </w:r>
      <w:r>
        <w:rPr/>
        <w:t>registran</w:t>
      </w:r>
      <w:r>
        <w:rPr>
          <w:spacing w:val="-10"/>
        </w:rPr>
        <w:t> </w:t>
      </w:r>
      <w:r>
        <w:rPr/>
        <w:t>0%,</w:t>
      </w:r>
      <w:r>
        <w:rPr>
          <w:spacing w:val="-10"/>
        </w:rPr>
        <w:t> </w:t>
      </w:r>
      <w:r>
        <w:rPr/>
        <w:t>pues se dice que </w:t>
      </w:r>
      <w:r>
        <w:rPr>
          <w:i/>
        </w:rPr>
        <w:t>hay obras que por norma no deben de tener aportaciones</w:t>
      </w:r>
      <w:r>
        <w:rPr/>
        <w:t>. Los datos</w:t>
      </w:r>
      <w:r>
        <w:rPr>
          <w:spacing w:val="-14"/>
        </w:rPr>
        <w:t> </w:t>
      </w:r>
      <w:r>
        <w:rPr/>
        <w:t>anteriores</w:t>
      </w:r>
      <w:r>
        <w:rPr>
          <w:spacing w:val="-14"/>
        </w:rPr>
        <w:t> </w:t>
      </w:r>
      <w:r>
        <w:rPr/>
        <w:t>no</w:t>
      </w:r>
      <w:r>
        <w:rPr>
          <w:spacing w:val="-14"/>
        </w:rPr>
        <w:t> </w:t>
      </w:r>
      <w:r>
        <w:rPr/>
        <w:t>pudieron</w:t>
      </w:r>
      <w:r>
        <w:rPr>
          <w:spacing w:val="-14"/>
        </w:rPr>
        <w:t> </w:t>
      </w:r>
      <w:r>
        <w:rPr/>
        <w:t>verificarse</w:t>
      </w:r>
      <w:r>
        <w:rPr>
          <w:spacing w:val="-14"/>
        </w:rPr>
        <w:t> </w:t>
      </w:r>
      <w:r>
        <w:rPr/>
        <w:t>pues</w:t>
      </w:r>
      <w:r>
        <w:rPr>
          <w:spacing w:val="-14"/>
        </w:rPr>
        <w:t> </w:t>
      </w:r>
      <w:r>
        <w:rPr/>
        <w:t>no</w:t>
      </w:r>
      <w:r>
        <w:rPr>
          <w:spacing w:val="-14"/>
        </w:rPr>
        <w:t> </w:t>
      </w:r>
      <w:r>
        <w:rPr/>
        <w:t>se</w:t>
      </w:r>
      <w:r>
        <w:rPr>
          <w:spacing w:val="-14"/>
        </w:rPr>
        <w:t> </w:t>
      </w:r>
      <w:r>
        <w:rPr/>
        <w:t>dio</w:t>
      </w:r>
      <w:r>
        <w:rPr>
          <w:spacing w:val="-14"/>
        </w:rPr>
        <w:t> </w:t>
      </w:r>
      <w:r>
        <w:rPr/>
        <w:t>acceso</w:t>
      </w:r>
      <w:r>
        <w:rPr>
          <w:spacing w:val="-14"/>
        </w:rPr>
        <w:t> </w:t>
      </w:r>
      <w:r>
        <w:rPr/>
        <w:t>a</w:t>
      </w:r>
      <w:r>
        <w:rPr>
          <w:spacing w:val="-14"/>
        </w:rPr>
        <w:t> </w:t>
      </w:r>
      <w:r>
        <w:rPr/>
        <w:t>la</w:t>
      </w:r>
      <w:r>
        <w:rPr>
          <w:spacing w:val="-14"/>
        </w:rPr>
        <w:t> </w:t>
      </w:r>
      <w:r>
        <w:rPr/>
        <w:t>información correspondiente. Como particularidades, cuando la obra no requiere mano  de obra especializada los vecinos pueden ejecutarla directamente, las obras típicas son banquetas, pavimentaciones y</w:t>
      </w:r>
      <w:r>
        <w:rPr>
          <w:spacing w:val="2"/>
        </w:rPr>
        <w:t> </w:t>
      </w:r>
      <w:r>
        <w:rPr/>
        <w:t>drenajes</w:t>
      </w:r>
      <w:r>
        <w:rPr>
          <w:position w:val="8"/>
          <w:sz w:val="13"/>
        </w:rPr>
        <w:t>241</w:t>
      </w:r>
      <w:r>
        <w:rPr/>
        <w:t>.</w:t>
      </w:r>
    </w:p>
    <w:p>
      <w:pPr>
        <w:pStyle w:val="BodyText"/>
        <w:spacing w:before="2"/>
      </w:pPr>
    </w:p>
    <w:p>
      <w:pPr>
        <w:pStyle w:val="BodyText"/>
        <w:ind w:left="117" w:right="107"/>
        <w:jc w:val="both"/>
      </w:pPr>
      <w:r>
        <w:rPr/>
        <w:t>En Tulancingo, los beneficiarios ingresan sus participaciones a la tesorería municipal,</w:t>
      </w:r>
      <w:r>
        <w:rPr>
          <w:spacing w:val="-30"/>
        </w:rPr>
        <w:t> </w:t>
      </w:r>
      <w:r>
        <w:rPr/>
        <w:t>sin</w:t>
      </w:r>
      <w:r>
        <w:rPr>
          <w:spacing w:val="-29"/>
        </w:rPr>
        <w:t> </w:t>
      </w:r>
      <w:r>
        <w:rPr/>
        <w:t>embargo,</w:t>
      </w:r>
      <w:r>
        <w:rPr>
          <w:spacing w:val="-29"/>
        </w:rPr>
        <w:t> </w:t>
      </w:r>
      <w:r>
        <w:rPr/>
        <w:t>generalmente</w:t>
      </w:r>
      <w:r>
        <w:rPr>
          <w:spacing w:val="-29"/>
        </w:rPr>
        <w:t> </w:t>
      </w:r>
      <w:r>
        <w:rPr/>
        <w:t>no</w:t>
      </w:r>
      <w:r>
        <w:rPr>
          <w:spacing w:val="-29"/>
        </w:rPr>
        <w:t> </w:t>
      </w:r>
      <w:r>
        <w:rPr/>
        <w:t>aportan</w:t>
      </w:r>
      <w:r>
        <w:rPr>
          <w:spacing w:val="-29"/>
        </w:rPr>
        <w:t> </w:t>
      </w:r>
      <w:r>
        <w:rPr/>
        <w:t>el</w:t>
      </w:r>
      <w:r>
        <w:rPr>
          <w:spacing w:val="-29"/>
        </w:rPr>
        <w:t> </w:t>
      </w:r>
      <w:r>
        <w:rPr/>
        <w:t>monto</w:t>
      </w:r>
      <w:r>
        <w:rPr>
          <w:spacing w:val="-29"/>
        </w:rPr>
        <w:t> </w:t>
      </w:r>
      <w:r>
        <w:rPr/>
        <w:t>que</w:t>
      </w:r>
      <w:r>
        <w:rPr>
          <w:spacing w:val="-29"/>
        </w:rPr>
        <w:t> </w:t>
      </w:r>
      <w:r>
        <w:rPr/>
        <w:t>les</w:t>
      </w:r>
      <w:r>
        <w:rPr>
          <w:spacing w:val="-29"/>
        </w:rPr>
        <w:t> </w:t>
      </w:r>
      <w:r>
        <w:rPr/>
        <w:t>corresponde. La autoridad municipal señaló que los porcentajes de participación son del 10% en conjunto y los beneficiarios deciden como lo prorratean, tampoco   en este caso se pudo verificar el dicho de los funcionarios. Dentro del FISM se manejaron en 2010 tres tipologías de obras: 1) el 69% fueron obras de urbanización</w:t>
      </w:r>
      <w:r>
        <w:rPr>
          <w:spacing w:val="-12"/>
        </w:rPr>
        <w:t> </w:t>
      </w:r>
      <w:r>
        <w:rPr/>
        <w:t>que</w:t>
      </w:r>
      <w:r>
        <w:rPr>
          <w:spacing w:val="-12"/>
        </w:rPr>
        <w:t> </w:t>
      </w:r>
      <w:r>
        <w:rPr/>
        <w:t>incluyeron</w:t>
      </w:r>
      <w:r>
        <w:rPr>
          <w:spacing w:val="-13"/>
        </w:rPr>
        <w:t> </w:t>
      </w:r>
      <w:r>
        <w:rPr/>
        <w:t>guarniciones,</w:t>
      </w:r>
      <w:r>
        <w:rPr>
          <w:spacing w:val="-12"/>
        </w:rPr>
        <w:t> </w:t>
      </w:r>
      <w:r>
        <w:rPr/>
        <w:t>banquetas</w:t>
      </w:r>
      <w:r>
        <w:rPr>
          <w:spacing w:val="-12"/>
        </w:rPr>
        <w:t> </w:t>
      </w:r>
      <w:r>
        <w:rPr/>
        <w:t>y</w:t>
      </w:r>
      <w:r>
        <w:rPr>
          <w:spacing w:val="-12"/>
        </w:rPr>
        <w:t> </w:t>
      </w:r>
      <w:r>
        <w:rPr/>
        <w:t>pavimentos;</w:t>
      </w:r>
      <w:r>
        <w:rPr>
          <w:spacing w:val="-12"/>
        </w:rPr>
        <w:t> </w:t>
      </w:r>
      <w:r>
        <w:rPr/>
        <w:t>2)</w:t>
      </w:r>
      <w:r>
        <w:rPr>
          <w:spacing w:val="-12"/>
        </w:rPr>
        <w:t> </w:t>
      </w:r>
      <w:r>
        <w:rPr/>
        <w:t>el</w:t>
      </w:r>
      <w:r>
        <w:rPr>
          <w:spacing w:val="-12"/>
        </w:rPr>
        <w:t> </w:t>
      </w:r>
      <w:r>
        <w:rPr/>
        <w:t>17% fueron</w:t>
      </w:r>
      <w:r>
        <w:rPr>
          <w:spacing w:val="-12"/>
        </w:rPr>
        <w:t> </w:t>
      </w:r>
      <w:r>
        <w:rPr/>
        <w:t>servicios</w:t>
      </w:r>
      <w:r>
        <w:rPr>
          <w:spacing w:val="-11"/>
        </w:rPr>
        <w:t> </w:t>
      </w:r>
      <w:r>
        <w:rPr/>
        <w:t>básicos</w:t>
      </w:r>
      <w:r>
        <w:rPr>
          <w:spacing w:val="-12"/>
        </w:rPr>
        <w:t> </w:t>
      </w:r>
      <w:r>
        <w:rPr/>
        <w:t>entre</w:t>
      </w:r>
      <w:r>
        <w:rPr>
          <w:spacing w:val="-12"/>
        </w:rPr>
        <w:t> </w:t>
      </w:r>
      <w:r>
        <w:rPr/>
        <w:t>los</w:t>
      </w:r>
      <w:r>
        <w:rPr>
          <w:spacing w:val="-12"/>
        </w:rPr>
        <w:t> </w:t>
      </w:r>
      <w:r>
        <w:rPr/>
        <w:t>que</w:t>
      </w:r>
      <w:r>
        <w:rPr>
          <w:spacing w:val="-12"/>
        </w:rPr>
        <w:t> </w:t>
      </w:r>
      <w:r>
        <w:rPr/>
        <w:t>se</w:t>
      </w:r>
      <w:r>
        <w:rPr>
          <w:spacing w:val="-12"/>
        </w:rPr>
        <w:t> </w:t>
      </w:r>
      <w:r>
        <w:rPr/>
        <w:t>contemplaron</w:t>
      </w:r>
      <w:r>
        <w:rPr>
          <w:spacing w:val="-13"/>
        </w:rPr>
        <w:t> </w:t>
      </w:r>
      <w:r>
        <w:rPr/>
        <w:t>agua</w:t>
      </w:r>
      <w:r>
        <w:rPr>
          <w:spacing w:val="-12"/>
        </w:rPr>
        <w:t> </w:t>
      </w:r>
      <w:r>
        <w:rPr/>
        <w:t>potable,</w:t>
      </w:r>
      <w:r>
        <w:rPr>
          <w:spacing w:val="-12"/>
        </w:rPr>
        <w:t> </w:t>
      </w:r>
      <w:r>
        <w:rPr/>
        <w:t>drenaje</w:t>
      </w:r>
      <w:r>
        <w:rPr>
          <w:spacing w:val="-12"/>
        </w:rPr>
        <w:t> </w:t>
      </w:r>
      <w:r>
        <w:rPr/>
        <w:t>y electrificación; y 3) el 12% fueron acciones de integración y desarrollo</w:t>
      </w:r>
      <w:r>
        <w:rPr>
          <w:spacing w:val="-12"/>
        </w:rPr>
        <w:t> </w:t>
      </w:r>
      <w:r>
        <w:rPr/>
        <w:t>como obras en escuelas, de salud e infraestructuras productivas</w:t>
      </w:r>
      <w:r>
        <w:rPr>
          <w:spacing w:val="-2"/>
        </w:rPr>
        <w:t> </w:t>
      </w:r>
      <w:r>
        <w:rPr/>
        <w:t>rurales</w:t>
      </w:r>
      <w:r>
        <w:rPr>
          <w:position w:val="8"/>
          <w:sz w:val="13"/>
        </w:rPr>
        <w:t>242</w:t>
      </w:r>
      <w:r>
        <w:rPr/>
        <w:t>.</w:t>
      </w:r>
    </w:p>
    <w:p>
      <w:pPr>
        <w:pStyle w:val="BodyText"/>
        <w:spacing w:before="2"/>
      </w:pPr>
    </w:p>
    <w:p>
      <w:pPr>
        <w:pStyle w:val="Heading3"/>
      </w:pPr>
      <w:bookmarkStart w:name="_TOC_250005" w:id="38"/>
      <w:bookmarkEnd w:id="38"/>
      <w:r>
        <w:rPr/>
        <w:t>Conclusiones del Capítulo VII.</w:t>
      </w:r>
    </w:p>
    <w:p>
      <w:pPr>
        <w:pStyle w:val="BodyText"/>
        <w:spacing w:before="3"/>
        <w:rPr>
          <w:b/>
        </w:rPr>
      </w:pPr>
    </w:p>
    <w:p>
      <w:pPr>
        <w:pStyle w:val="BodyText"/>
        <w:ind w:left="117" w:right="108"/>
        <w:jc w:val="both"/>
      </w:pPr>
      <w:r>
        <w:rPr/>
        <w:pict>
          <v:line style="position:absolute;mso-position-horizontal-relative:page;mso-position-vertical-relative:paragraph;z-index:5776;mso-wrap-distance-left:0;mso-wrap-distance-right:0" from="70.866096pt,45.599926pt" to="142.866096pt,45.599926pt" stroked="true" strokeweight="1pt" strokecolor="#000000">
            <w10:wrap type="topAndBottom"/>
          </v:line>
        </w:pict>
      </w:r>
      <w:r>
        <w:rPr/>
        <w:t>Según</w:t>
      </w:r>
      <w:r>
        <w:rPr>
          <w:spacing w:val="-22"/>
        </w:rPr>
        <w:t> </w:t>
      </w:r>
      <w:r>
        <w:rPr/>
        <w:t>la</w:t>
      </w:r>
      <w:r>
        <w:rPr>
          <w:spacing w:val="-22"/>
        </w:rPr>
        <w:t> </w:t>
      </w:r>
      <w:r>
        <w:rPr/>
        <w:t>escala</w:t>
      </w:r>
      <w:r>
        <w:rPr>
          <w:spacing w:val="-22"/>
        </w:rPr>
        <w:t> </w:t>
      </w:r>
      <w:r>
        <w:rPr/>
        <w:t>de</w:t>
      </w:r>
      <w:r>
        <w:rPr>
          <w:spacing w:val="-22"/>
        </w:rPr>
        <w:t> </w:t>
      </w:r>
      <w:r>
        <w:rPr/>
        <w:t>evaluación</w:t>
      </w:r>
      <w:r>
        <w:rPr>
          <w:spacing w:val="-22"/>
        </w:rPr>
        <w:t> </w:t>
      </w:r>
      <w:r>
        <w:rPr/>
        <w:t>de</w:t>
      </w:r>
      <w:r>
        <w:rPr>
          <w:spacing w:val="-22"/>
        </w:rPr>
        <w:t> </w:t>
      </w:r>
      <w:r>
        <w:rPr/>
        <w:t>la</w:t>
      </w:r>
      <w:r>
        <w:rPr>
          <w:spacing w:val="-22"/>
        </w:rPr>
        <w:t> </w:t>
      </w:r>
      <w:r>
        <w:rPr/>
        <w:t>organización</w:t>
      </w:r>
      <w:r>
        <w:rPr>
          <w:spacing w:val="-22"/>
        </w:rPr>
        <w:t> </w:t>
      </w:r>
      <w:r>
        <w:rPr/>
        <w:t>ciudadana</w:t>
      </w:r>
      <w:r>
        <w:rPr>
          <w:spacing w:val="-22"/>
        </w:rPr>
        <w:t> </w:t>
      </w:r>
      <w:r>
        <w:rPr/>
        <w:t>y</w:t>
      </w:r>
      <w:r>
        <w:rPr>
          <w:spacing w:val="-21"/>
        </w:rPr>
        <w:t> </w:t>
      </w:r>
      <w:r>
        <w:rPr/>
        <w:t>el</w:t>
      </w:r>
      <w:r>
        <w:rPr>
          <w:spacing w:val="-22"/>
        </w:rPr>
        <w:t> </w:t>
      </w:r>
      <w:r>
        <w:rPr/>
        <w:t>financiamiento público, con una evaluación de 0.81 la muestra de municipios hidalguenses se</w:t>
      </w:r>
      <w:r>
        <w:rPr>
          <w:spacing w:val="-6"/>
        </w:rPr>
        <w:t> </w:t>
      </w:r>
      <w:r>
        <w:rPr/>
        <w:t>coloca</w:t>
      </w:r>
      <w:r>
        <w:rPr>
          <w:spacing w:val="-6"/>
        </w:rPr>
        <w:t> </w:t>
      </w:r>
      <w:r>
        <w:rPr/>
        <w:t>por</w:t>
      </w:r>
      <w:r>
        <w:rPr>
          <w:spacing w:val="-6"/>
        </w:rPr>
        <w:t> </w:t>
      </w:r>
      <w:r>
        <w:rPr/>
        <w:t>debajo</w:t>
      </w:r>
      <w:r>
        <w:rPr>
          <w:spacing w:val="-6"/>
        </w:rPr>
        <w:t> </w:t>
      </w:r>
      <w:r>
        <w:rPr/>
        <w:t>de</w:t>
      </w:r>
      <w:r>
        <w:rPr>
          <w:spacing w:val="-6"/>
        </w:rPr>
        <w:t> </w:t>
      </w:r>
      <w:r>
        <w:rPr/>
        <w:t>la</w:t>
      </w:r>
      <w:r>
        <w:rPr>
          <w:spacing w:val="-6"/>
        </w:rPr>
        <w:t> </w:t>
      </w:r>
      <w:r>
        <w:rPr/>
        <w:t>media</w:t>
      </w:r>
      <w:r>
        <w:rPr>
          <w:spacing w:val="-6"/>
        </w:rPr>
        <w:t> </w:t>
      </w:r>
      <w:r>
        <w:rPr/>
        <w:t>lograda</w:t>
      </w:r>
      <w:r>
        <w:rPr>
          <w:spacing w:val="-6"/>
        </w:rPr>
        <w:t> </w:t>
      </w:r>
      <w:r>
        <w:rPr/>
        <w:t>en</w:t>
      </w:r>
      <w:r>
        <w:rPr>
          <w:spacing w:val="-6"/>
        </w:rPr>
        <w:t> </w:t>
      </w:r>
      <w:r>
        <w:rPr/>
        <w:t>investigaciones</w:t>
      </w:r>
      <w:r>
        <w:rPr>
          <w:spacing w:val="-6"/>
        </w:rPr>
        <w:t> </w:t>
      </w:r>
      <w:r>
        <w:rPr/>
        <w:t>anteriores</w:t>
      </w:r>
      <w:r>
        <w:rPr>
          <w:spacing w:val="-6"/>
        </w:rPr>
        <w:t> </w:t>
      </w:r>
      <w:r>
        <w:rPr/>
        <w:t>(2.28).</w:t>
      </w:r>
    </w:p>
    <w:p>
      <w:pPr>
        <w:spacing w:line="249" w:lineRule="auto" w:before="28"/>
        <w:ind w:left="400" w:right="101" w:hanging="284"/>
        <w:jc w:val="left"/>
        <w:rPr>
          <w:sz w:val="18"/>
        </w:rPr>
      </w:pPr>
      <w:r>
        <w:rPr>
          <w:position w:val="7"/>
          <w:sz w:val="11"/>
        </w:rPr>
        <w:t>240 </w:t>
      </w:r>
      <w:r>
        <w:rPr>
          <w:sz w:val="18"/>
        </w:rPr>
        <w:t>Información proporcionada para esta investigación en entrevista con el director de obras públicas del ayuntamiento de Ixmiquilpan, 18 de enero de 2011.</w:t>
      </w:r>
    </w:p>
    <w:p>
      <w:pPr>
        <w:spacing w:line="249" w:lineRule="auto" w:before="20"/>
        <w:ind w:left="400" w:right="101" w:hanging="284"/>
        <w:jc w:val="left"/>
        <w:rPr>
          <w:sz w:val="18"/>
        </w:rPr>
      </w:pPr>
      <w:r>
        <w:rPr>
          <w:position w:val="7"/>
          <w:sz w:val="11"/>
        </w:rPr>
        <w:t>241 </w:t>
      </w:r>
      <w:r>
        <w:rPr>
          <w:sz w:val="18"/>
        </w:rPr>
        <w:t>Información proporcionada para esta investigación en entrevista con el director de obras públicas del ayuntamiento de Actopan, 26 de noviembre de 2010.</w:t>
      </w:r>
    </w:p>
    <w:p>
      <w:pPr>
        <w:spacing w:line="249" w:lineRule="auto" w:before="20"/>
        <w:ind w:left="400" w:right="0" w:hanging="284"/>
        <w:jc w:val="left"/>
        <w:rPr>
          <w:sz w:val="18"/>
        </w:rPr>
      </w:pPr>
      <w:r>
        <w:rPr>
          <w:position w:val="7"/>
          <w:sz w:val="11"/>
        </w:rPr>
        <w:t>242 </w:t>
      </w:r>
      <w:r>
        <w:rPr>
          <w:sz w:val="18"/>
        </w:rPr>
        <w:t>Información proporcionada para esta investigación en entrevista con un asistente de la dirección de obras públicas del ayuntamiento de Tulancingo de Bravo, 2 de febrero de 2011.</w:t>
      </w:r>
    </w:p>
    <w:p>
      <w:pPr>
        <w:spacing w:after="0" w:line="249" w:lineRule="auto"/>
        <w:jc w:val="left"/>
        <w:rPr>
          <w:sz w:val="18"/>
        </w:rPr>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60" w:lineRule="exact" w:before="77"/>
        <w:ind w:left="110" w:right="115"/>
        <w:jc w:val="both"/>
      </w:pPr>
      <w:r>
        <w:rPr/>
        <w:t>Los diferentes grados de capacidad de asociación, de evaluación subsidiaria y de avance competencial vecinal constituyen rasgos primarios que pudieran orientarse a mejores escenarios del modelo</w:t>
      </w:r>
      <w:r>
        <w:rPr>
          <w:spacing w:val="-15"/>
        </w:rPr>
        <w:t> </w:t>
      </w:r>
      <w:r>
        <w:rPr/>
        <w:t>subsidiario.</w:t>
      </w:r>
    </w:p>
    <w:p>
      <w:pPr>
        <w:pStyle w:val="BodyText"/>
        <w:spacing w:before="7"/>
        <w:rPr>
          <w:sz w:val="22"/>
        </w:rPr>
      </w:pPr>
    </w:p>
    <w:p>
      <w:pPr>
        <w:pStyle w:val="BodyText"/>
        <w:spacing w:line="260" w:lineRule="exact"/>
        <w:ind w:left="110" w:right="114"/>
        <w:jc w:val="both"/>
      </w:pPr>
      <w:r>
        <w:rPr/>
        <w:t>De manera más exacta, el diseño novedoso y atractivo de un órgano intergubernamental a manera de sistema estatal de coordinación fiscal, tal como se propuso en el capítulo II, debe considerar también la difusión</w:t>
      </w:r>
      <w:r>
        <w:rPr>
          <w:spacing w:val="-28"/>
        </w:rPr>
        <w:t> </w:t>
      </w:r>
      <w:r>
        <w:rPr/>
        <w:t>estatal de los distintos modelos graduales de obras comunitarias para inducir su aplicación a nivel municipal. Para esos fines, se deberán modelar y ponderar los mejores ejemplos subsidiarios hidalguenses y aquellos que corresponden al estudio antecedente, para pasar a inducirlos, como ya fue referido, bajo las mejores condiciones de liderazgo, motivación, formación y</w:t>
      </w:r>
      <w:r>
        <w:rPr>
          <w:spacing w:val="-4"/>
        </w:rPr>
        <w:t> </w:t>
      </w:r>
      <w:r>
        <w:rPr/>
        <w:t>compromiso.</w:t>
      </w:r>
    </w:p>
    <w:p>
      <w:pPr>
        <w:spacing w:after="0" w:line="260" w:lineRule="exact"/>
        <w:jc w:val="both"/>
        <w:sectPr>
          <w:pgSz w:w="9360" w:h="13040"/>
          <w:pgMar w:header="527" w:footer="511" w:top="72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1"/>
        </w:rPr>
      </w:pPr>
    </w:p>
    <w:p>
      <w:pPr>
        <w:pStyle w:val="BodyText"/>
        <w:ind w:left="706"/>
        <w:rPr>
          <w:sz w:val="20"/>
        </w:rPr>
      </w:pPr>
      <w:r>
        <w:rPr>
          <w:sz w:val="20"/>
        </w:rPr>
        <w:drawing>
          <wp:inline distT="0" distB="0" distL="0" distR="0">
            <wp:extent cx="3752088" cy="5401056"/>
            <wp:effectExtent l="0" t="0" r="0" b="0"/>
            <wp:docPr id="139" name="image121.png" descr=""/>
            <wp:cNvGraphicFramePr>
              <a:graphicFrameLocks noChangeAspect="1"/>
            </wp:cNvGraphicFramePr>
            <a:graphic>
              <a:graphicData uri="http://schemas.openxmlformats.org/drawingml/2006/picture">
                <pic:pic>
                  <pic:nvPicPr>
                    <pic:cNvPr id="140" name="image121.png"/>
                    <pic:cNvPicPr/>
                  </pic:nvPicPr>
                  <pic:blipFill>
                    <a:blip r:embed="rId256" cstate="print"/>
                    <a:stretch>
                      <a:fillRect/>
                    </a:stretch>
                  </pic:blipFill>
                  <pic:spPr>
                    <a:xfrm>
                      <a:off x="0" y="0"/>
                      <a:ext cx="3752088" cy="5401056"/>
                    </a:xfrm>
                    <a:prstGeom prst="rect">
                      <a:avLst/>
                    </a:prstGeom>
                  </pic:spPr>
                </pic:pic>
              </a:graphicData>
            </a:graphic>
          </wp:inline>
        </w:drawing>
      </w:r>
      <w:r>
        <w:rPr>
          <w:sz w:val="20"/>
        </w:rPr>
      </w:r>
    </w:p>
    <w:p>
      <w:pPr>
        <w:pStyle w:val="BodyText"/>
        <w:rPr>
          <w:sz w:val="12"/>
        </w:rPr>
      </w:pPr>
    </w:p>
    <w:p>
      <w:pPr>
        <w:pStyle w:val="BodyText"/>
        <w:spacing w:before="71"/>
        <w:ind w:left="741" w:right="681"/>
        <w:jc w:val="center"/>
      </w:pPr>
      <w:r>
        <w:rPr/>
        <w:t>Tulancingo de Bravo.</w:t>
      </w:r>
    </w:p>
    <w:p>
      <w:pPr>
        <w:spacing w:after="0"/>
        <w:jc w:val="center"/>
        <w:sectPr>
          <w:headerReference w:type="default" r:id="rId254"/>
          <w:footerReference w:type="default" r:id="rId255"/>
          <w:pgSz w:w="9360" w:h="13040"/>
          <w:pgMar w:header="0" w:footer="515" w:top="1200" w:bottom="700" w:left="1300" w:right="740"/>
          <w:pgNumType w:start="175"/>
        </w:sectPr>
      </w:pPr>
    </w:p>
    <w:p>
      <w:pPr>
        <w:pStyle w:val="BodyText"/>
        <w:spacing w:before="4"/>
        <w:rPr>
          <w:sz w:val="17"/>
        </w:rPr>
      </w:pPr>
    </w:p>
    <w:p>
      <w:pPr>
        <w:spacing w:after="0"/>
        <w:rPr>
          <w:sz w:val="17"/>
        </w:rPr>
        <w:sectPr>
          <w:headerReference w:type="default" r:id="rId257"/>
          <w:footerReference w:type="default" r:id="rId258"/>
          <w:pgSz w:w="9360" w:h="13040"/>
          <w:pgMar w:header="0" w:footer="0" w:top="1200" w:bottom="280" w:left="1300" w:right="1300"/>
        </w:sectPr>
      </w:pPr>
    </w:p>
    <w:p>
      <w:pPr>
        <w:pStyle w:val="Heading2"/>
        <w:ind w:right="329"/>
      </w:pPr>
      <w:bookmarkStart w:name="_TOC_250004" w:id="39"/>
      <w:bookmarkEnd w:id="39"/>
      <w:r>
        <w:rPr/>
        <w:t>Capítulo VIII.</w:t>
      </w:r>
    </w:p>
    <w:p>
      <w:pPr>
        <w:spacing w:line="242" w:lineRule="auto" w:before="4"/>
        <w:ind w:left="318" w:right="329" w:firstLine="0"/>
        <w:jc w:val="center"/>
        <w:rPr>
          <w:b/>
          <w:sz w:val="24"/>
        </w:rPr>
      </w:pPr>
      <w:r>
        <w:rPr>
          <w:b/>
          <w:sz w:val="24"/>
        </w:rPr>
        <w:t>La incidencia de la ciudadanía hidalguense en la definición de las políticas públicas.</w:t>
      </w:r>
    </w:p>
    <w:p>
      <w:pPr>
        <w:pStyle w:val="BodyText"/>
        <w:rPr>
          <w:b/>
          <w:sz w:val="24"/>
        </w:rPr>
      </w:pPr>
    </w:p>
    <w:p>
      <w:pPr>
        <w:pStyle w:val="BodyText"/>
        <w:spacing w:before="10"/>
        <w:rPr>
          <w:b/>
        </w:rPr>
      </w:pPr>
    </w:p>
    <w:p>
      <w:pPr>
        <w:pStyle w:val="Heading3"/>
      </w:pPr>
      <w:r>
        <w:rPr/>
        <w:t>La simulación y la falta de estrategia en las convocatorias ciudadanas.</w:t>
      </w:r>
    </w:p>
    <w:p>
      <w:pPr>
        <w:pStyle w:val="BodyText"/>
        <w:spacing w:before="9"/>
        <w:rPr>
          <w:b/>
          <w:sz w:val="22"/>
        </w:rPr>
      </w:pPr>
    </w:p>
    <w:p>
      <w:pPr>
        <w:pStyle w:val="BodyText"/>
        <w:spacing w:line="260" w:lineRule="exact"/>
        <w:ind w:left="117" w:right="125"/>
        <w:jc w:val="both"/>
      </w:pPr>
      <w:r>
        <w:rPr/>
        <w:t>Del pensamiento subsidiario deriva la obligación gubernamental de vincular la voluntad general con el diseño estratégico, siendo esto análogo a la teoría clásica</w:t>
      </w:r>
      <w:r>
        <w:rPr>
          <w:spacing w:val="-5"/>
        </w:rPr>
        <w:t> </w:t>
      </w:r>
      <w:r>
        <w:rPr/>
        <w:t>de</w:t>
      </w:r>
      <w:r>
        <w:rPr>
          <w:spacing w:val="-4"/>
        </w:rPr>
        <w:t> </w:t>
      </w:r>
      <w:r>
        <w:rPr/>
        <w:t>estado.</w:t>
      </w:r>
      <w:r>
        <w:rPr>
          <w:spacing w:val="-5"/>
        </w:rPr>
        <w:t> </w:t>
      </w:r>
      <w:r>
        <w:rPr/>
        <w:t>En</w:t>
      </w:r>
      <w:r>
        <w:rPr>
          <w:spacing w:val="-4"/>
        </w:rPr>
        <w:t> </w:t>
      </w:r>
      <w:r>
        <w:rPr/>
        <w:t>contraposición</w:t>
      </w:r>
      <w:r>
        <w:rPr>
          <w:spacing w:val="-5"/>
        </w:rPr>
        <w:t> </w:t>
      </w:r>
      <w:r>
        <w:rPr/>
        <w:t>a</w:t>
      </w:r>
      <w:r>
        <w:rPr>
          <w:spacing w:val="-4"/>
        </w:rPr>
        <w:t> </w:t>
      </w:r>
      <w:r>
        <w:rPr/>
        <w:t>lo</w:t>
      </w:r>
      <w:r>
        <w:rPr>
          <w:spacing w:val="-4"/>
        </w:rPr>
        <w:t> </w:t>
      </w:r>
      <w:r>
        <w:rPr/>
        <w:t>anterior,</w:t>
      </w:r>
      <w:r>
        <w:rPr>
          <w:spacing w:val="-4"/>
        </w:rPr>
        <w:t> </w:t>
      </w:r>
      <w:r>
        <w:rPr/>
        <w:t>los</w:t>
      </w:r>
      <w:r>
        <w:rPr>
          <w:spacing w:val="-5"/>
        </w:rPr>
        <w:t> </w:t>
      </w:r>
      <w:r>
        <w:rPr/>
        <w:t>mecanismos</w:t>
      </w:r>
      <w:r>
        <w:rPr>
          <w:spacing w:val="-5"/>
        </w:rPr>
        <w:t> </w:t>
      </w:r>
      <w:r>
        <w:rPr/>
        <w:t>de</w:t>
      </w:r>
      <w:r>
        <w:rPr>
          <w:spacing w:val="-4"/>
        </w:rPr>
        <w:t> </w:t>
      </w:r>
      <w:r>
        <w:rPr>
          <w:i/>
        </w:rPr>
        <w:t>planea- </w:t>
      </w:r>
      <w:r>
        <w:rPr>
          <w:i/>
        </w:rPr>
        <w:t>ción democrática </w:t>
      </w:r>
      <w:r>
        <w:rPr/>
        <w:t>definidos en la ley de planeación se valen de la simulación o de la distracción de lo trascendente; generando así prácticas como la orga- nización corporativizada, el clientelismo, la rutinización, la multiplicación  de</w:t>
      </w:r>
      <w:r>
        <w:rPr>
          <w:spacing w:val="-7"/>
        </w:rPr>
        <w:t> </w:t>
      </w:r>
      <w:r>
        <w:rPr/>
        <w:t>comités</w:t>
      </w:r>
      <w:r>
        <w:rPr>
          <w:spacing w:val="-7"/>
        </w:rPr>
        <w:t> </w:t>
      </w:r>
      <w:r>
        <w:rPr/>
        <w:t>no</w:t>
      </w:r>
      <w:r>
        <w:rPr>
          <w:spacing w:val="-7"/>
        </w:rPr>
        <w:t> </w:t>
      </w:r>
      <w:r>
        <w:rPr/>
        <w:t>ejecutivos</w:t>
      </w:r>
      <w:r>
        <w:rPr>
          <w:spacing w:val="-7"/>
        </w:rPr>
        <w:t> </w:t>
      </w:r>
      <w:r>
        <w:rPr/>
        <w:t>y</w:t>
      </w:r>
      <w:r>
        <w:rPr>
          <w:spacing w:val="-7"/>
        </w:rPr>
        <w:t> </w:t>
      </w:r>
      <w:r>
        <w:rPr/>
        <w:t>las</w:t>
      </w:r>
      <w:r>
        <w:rPr>
          <w:spacing w:val="-7"/>
        </w:rPr>
        <w:t> </w:t>
      </w:r>
      <w:r>
        <w:rPr/>
        <w:t>consultas</w:t>
      </w:r>
      <w:r>
        <w:rPr>
          <w:spacing w:val="-7"/>
        </w:rPr>
        <w:t> </w:t>
      </w:r>
      <w:r>
        <w:rPr/>
        <w:t>ciudadanas.</w:t>
      </w:r>
      <w:r>
        <w:rPr>
          <w:spacing w:val="-7"/>
        </w:rPr>
        <w:t> </w:t>
      </w:r>
      <w:r>
        <w:rPr/>
        <w:t>En</w:t>
      </w:r>
      <w:r>
        <w:rPr>
          <w:spacing w:val="-7"/>
        </w:rPr>
        <w:t> </w:t>
      </w:r>
      <w:r>
        <w:rPr/>
        <w:t>el</w:t>
      </w:r>
      <w:r>
        <w:rPr>
          <w:spacing w:val="-7"/>
        </w:rPr>
        <w:t> </w:t>
      </w:r>
      <w:r>
        <w:rPr/>
        <w:t>mejor</w:t>
      </w:r>
      <w:r>
        <w:rPr>
          <w:spacing w:val="-7"/>
        </w:rPr>
        <w:t> </w:t>
      </w:r>
      <w:r>
        <w:rPr/>
        <w:t>de</w:t>
      </w:r>
      <w:r>
        <w:rPr>
          <w:spacing w:val="-7"/>
        </w:rPr>
        <w:t> </w:t>
      </w:r>
      <w:r>
        <w:rPr/>
        <w:t>los</w:t>
      </w:r>
      <w:r>
        <w:rPr>
          <w:spacing w:val="-7"/>
        </w:rPr>
        <w:t> </w:t>
      </w:r>
      <w:r>
        <w:rPr/>
        <w:t>casos, cuando existe la voluntad gubernamental de hacer efectiva la </w:t>
      </w:r>
      <w:r>
        <w:rPr>
          <w:i/>
        </w:rPr>
        <w:t>planeación de- </w:t>
      </w:r>
      <w:r>
        <w:rPr>
          <w:i/>
        </w:rPr>
        <w:t>mocrática</w:t>
      </w:r>
      <w:r>
        <w:rPr/>
        <w:t>, las inconsistencias son: 1) no se emplean adecuadamente la co- municación, los tiempos, los procedimientos y una base de confianza mutua entre gobernantes y gobernados; 2) se abusa de la convocatoria ciudadana a través de diferentes instancias y programas de gobierno; 3) se trata de</w:t>
      </w:r>
      <w:r>
        <w:rPr>
          <w:spacing w:val="-32"/>
        </w:rPr>
        <w:t> </w:t>
      </w:r>
      <w:r>
        <w:rPr/>
        <w:t>excluir a las formas tradicionales de organización basadas en la corporativización sectorial; y 4) no se consideran las limitaciones o incapacidades de los ac- tores sociales en cuanto a su sentido individualista (incapacidad de asocia- ción), sus intereses y sus conocimientos. La ponderación de las tendencias anteriores, y su contraparte a manera de mejores escenarios subsidiarios,</w:t>
      </w:r>
      <w:r>
        <w:rPr>
          <w:spacing w:val="-32"/>
        </w:rPr>
        <w:t> </w:t>
      </w:r>
      <w:r>
        <w:rPr/>
        <w:t>fue- ron estructuradas en la siguiente escala de</w:t>
      </w:r>
      <w:r>
        <w:rPr>
          <w:spacing w:val="54"/>
        </w:rPr>
        <w:t> </w:t>
      </w:r>
      <w:r>
        <w:rPr/>
        <w:t>evaluación.</w:t>
      </w:r>
    </w:p>
    <w:p>
      <w:pPr>
        <w:pStyle w:val="BodyText"/>
        <w:spacing w:before="7"/>
        <w:rPr>
          <w:sz w:val="22"/>
        </w:rPr>
      </w:pPr>
    </w:p>
    <w:p>
      <w:pPr>
        <w:spacing w:line="260" w:lineRule="exact" w:before="0"/>
        <w:ind w:left="1682" w:right="1695" w:firstLine="0"/>
        <w:jc w:val="center"/>
        <w:rPr>
          <w:b/>
          <w:sz w:val="23"/>
        </w:rPr>
      </w:pPr>
      <w:r>
        <w:rPr>
          <w:b/>
          <w:sz w:val="23"/>
        </w:rPr>
        <w:t>Escala de Evaluación de la </w:t>
      </w:r>
      <w:r>
        <w:rPr>
          <w:b/>
          <w:i/>
          <w:sz w:val="23"/>
        </w:rPr>
        <w:t>Organización </w:t>
      </w:r>
      <w:r>
        <w:rPr>
          <w:b/>
          <w:i/>
          <w:sz w:val="23"/>
        </w:rPr>
        <w:t>Ciudadana y las Políticas Públicas</w:t>
      </w:r>
      <w:r>
        <w:rPr>
          <w:b/>
          <w:sz w:val="23"/>
        </w:rPr>
        <w:t>.</w:t>
      </w:r>
    </w:p>
    <w:p>
      <w:pPr>
        <w:pStyle w:val="BodyText"/>
        <w:spacing w:before="2"/>
        <w:rPr>
          <w:b/>
          <w:sz w:val="25"/>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
        <w:gridCol w:w="1764"/>
        <w:gridCol w:w="1570"/>
        <w:gridCol w:w="1661"/>
        <w:gridCol w:w="1599"/>
      </w:tblGrid>
      <w:tr>
        <w:trPr>
          <w:trHeight w:val="452" w:hRule="exact"/>
        </w:trPr>
        <w:tc>
          <w:tcPr>
            <w:tcW w:w="492" w:type="dxa"/>
            <w:shd w:val="clear" w:color="auto" w:fill="CCCCCC"/>
          </w:tcPr>
          <w:p>
            <w:pPr/>
          </w:p>
        </w:tc>
        <w:tc>
          <w:tcPr>
            <w:tcW w:w="1764" w:type="dxa"/>
            <w:shd w:val="clear" w:color="auto" w:fill="CCCCCC"/>
          </w:tcPr>
          <w:p>
            <w:pPr>
              <w:pStyle w:val="TableParagraph"/>
              <w:spacing w:line="249" w:lineRule="auto" w:before="6"/>
              <w:ind w:left="459" w:right="331" w:hanging="111"/>
              <w:rPr>
                <w:b/>
                <w:sz w:val="18"/>
              </w:rPr>
            </w:pPr>
            <w:r>
              <w:rPr>
                <w:b/>
                <w:sz w:val="18"/>
              </w:rPr>
              <w:t>Capacidad de asociación.</w:t>
            </w:r>
          </w:p>
        </w:tc>
        <w:tc>
          <w:tcPr>
            <w:tcW w:w="1570" w:type="dxa"/>
            <w:shd w:val="clear" w:color="auto" w:fill="CCCCCC"/>
          </w:tcPr>
          <w:p>
            <w:pPr>
              <w:pStyle w:val="TableParagraph"/>
              <w:spacing w:line="249" w:lineRule="auto" w:before="6"/>
              <w:ind w:left="252" w:right="233" w:firstLine="92"/>
              <w:rPr>
                <w:b/>
                <w:sz w:val="18"/>
              </w:rPr>
            </w:pPr>
            <w:r>
              <w:rPr>
                <w:b/>
                <w:sz w:val="18"/>
              </w:rPr>
              <w:t>Restricción competencial.</w:t>
            </w:r>
          </w:p>
        </w:tc>
        <w:tc>
          <w:tcPr>
            <w:tcW w:w="1661" w:type="dxa"/>
            <w:shd w:val="clear" w:color="auto" w:fill="CCCCCC"/>
          </w:tcPr>
          <w:p>
            <w:pPr>
              <w:pStyle w:val="TableParagraph"/>
              <w:spacing w:line="249" w:lineRule="auto" w:before="6"/>
              <w:ind w:left="377" w:right="358" w:firstLine="17"/>
              <w:rPr>
                <w:b/>
                <w:sz w:val="18"/>
              </w:rPr>
            </w:pPr>
            <w:r>
              <w:rPr>
                <w:b/>
                <w:sz w:val="18"/>
              </w:rPr>
              <w:t>Evaluación subsidiaria.</w:t>
            </w:r>
          </w:p>
        </w:tc>
        <w:tc>
          <w:tcPr>
            <w:tcW w:w="1599" w:type="dxa"/>
            <w:shd w:val="clear" w:color="auto" w:fill="CCCCCC"/>
          </w:tcPr>
          <w:p>
            <w:pPr>
              <w:pStyle w:val="TableParagraph"/>
              <w:spacing w:line="249" w:lineRule="auto" w:before="6"/>
              <w:ind w:left="266" w:right="248" w:firstLine="249"/>
              <w:rPr>
                <w:b/>
                <w:sz w:val="18"/>
              </w:rPr>
            </w:pPr>
            <w:r>
              <w:rPr>
                <w:b/>
                <w:sz w:val="18"/>
              </w:rPr>
              <w:t>Avance competencial.</w:t>
            </w:r>
          </w:p>
        </w:tc>
      </w:tr>
      <w:tr>
        <w:trPr>
          <w:trHeight w:val="1535" w:hRule="exact"/>
        </w:trPr>
        <w:tc>
          <w:tcPr>
            <w:tcW w:w="492" w:type="dxa"/>
          </w:tcPr>
          <w:p>
            <w:pPr>
              <w:pStyle w:val="TableParagraph"/>
              <w:spacing w:before="6"/>
              <w:jc w:val="center"/>
              <w:rPr>
                <w:b/>
                <w:sz w:val="18"/>
              </w:rPr>
            </w:pPr>
            <w:r>
              <w:rPr>
                <w:b/>
                <w:sz w:val="18"/>
              </w:rPr>
              <w:t>8</w:t>
            </w:r>
          </w:p>
        </w:tc>
        <w:tc>
          <w:tcPr>
            <w:tcW w:w="1764" w:type="dxa"/>
          </w:tcPr>
          <w:p>
            <w:pPr>
              <w:pStyle w:val="TableParagraph"/>
              <w:spacing w:line="249" w:lineRule="auto"/>
              <w:ind w:left="102" w:right="101"/>
              <w:jc w:val="both"/>
              <w:rPr>
                <w:sz w:val="18"/>
              </w:rPr>
            </w:pPr>
            <w:r>
              <w:rPr>
                <w:sz w:val="18"/>
              </w:rPr>
              <w:t>Los órganos ciuda- danos son capaces de la auto-organización para protagonizar el proceso de planea- ción.</w:t>
            </w:r>
          </w:p>
        </w:tc>
        <w:tc>
          <w:tcPr>
            <w:tcW w:w="1570" w:type="dxa"/>
          </w:tcPr>
          <w:p>
            <w:pPr>
              <w:pStyle w:val="TableParagraph"/>
              <w:spacing w:line="249" w:lineRule="auto"/>
              <w:ind w:left="102" w:right="100"/>
              <w:jc w:val="both"/>
              <w:rPr>
                <w:sz w:val="18"/>
              </w:rPr>
            </w:pPr>
            <w:r>
              <w:rPr>
                <w:sz w:val="18"/>
              </w:rPr>
              <w:t>Existencia</w:t>
            </w:r>
            <w:r>
              <w:rPr>
                <w:spacing w:val="-24"/>
                <w:sz w:val="18"/>
              </w:rPr>
              <w:t> </w:t>
            </w:r>
            <w:r>
              <w:rPr>
                <w:sz w:val="18"/>
              </w:rPr>
              <w:t>de</w:t>
            </w:r>
            <w:r>
              <w:rPr>
                <w:spacing w:val="-23"/>
                <w:sz w:val="18"/>
              </w:rPr>
              <w:t> </w:t>
            </w:r>
            <w:r>
              <w:rPr>
                <w:spacing w:val="-2"/>
                <w:sz w:val="18"/>
              </w:rPr>
              <w:t>legis- </w:t>
            </w:r>
            <w:r>
              <w:rPr>
                <w:sz w:val="18"/>
              </w:rPr>
              <w:t>lación y políticas para la </w:t>
            </w:r>
            <w:r>
              <w:rPr>
                <w:spacing w:val="-3"/>
                <w:sz w:val="18"/>
              </w:rPr>
              <w:t>auto-orga- </w:t>
            </w:r>
            <w:r>
              <w:rPr>
                <w:sz w:val="18"/>
              </w:rPr>
              <w:t>nización</w:t>
            </w:r>
            <w:r>
              <w:rPr>
                <w:spacing w:val="-30"/>
                <w:sz w:val="18"/>
              </w:rPr>
              <w:t> </w:t>
            </w:r>
            <w:r>
              <w:rPr>
                <w:sz w:val="18"/>
              </w:rPr>
              <w:t>ciudadana en el proceso de planeación.</w:t>
            </w:r>
          </w:p>
        </w:tc>
        <w:tc>
          <w:tcPr>
            <w:tcW w:w="1661" w:type="dxa"/>
          </w:tcPr>
          <w:p>
            <w:pPr>
              <w:pStyle w:val="TableParagraph"/>
              <w:spacing w:line="249" w:lineRule="auto"/>
              <w:ind w:left="102" w:right="91"/>
              <w:jc w:val="both"/>
              <w:rPr>
                <w:sz w:val="18"/>
              </w:rPr>
            </w:pPr>
            <w:r>
              <w:rPr>
                <w:sz w:val="18"/>
              </w:rPr>
              <w:t>Evaluación conti- nua e integral de la auto-organización para protagonizar el proceso de planea- ción.</w:t>
            </w:r>
          </w:p>
        </w:tc>
        <w:tc>
          <w:tcPr>
            <w:tcW w:w="1599" w:type="dxa"/>
          </w:tcPr>
          <w:p>
            <w:pPr>
              <w:pStyle w:val="TableParagraph"/>
              <w:spacing w:line="249" w:lineRule="auto"/>
              <w:ind w:left="102" w:right="100"/>
              <w:jc w:val="both"/>
              <w:rPr>
                <w:sz w:val="18"/>
              </w:rPr>
            </w:pPr>
            <w:r>
              <w:rPr>
                <w:sz w:val="18"/>
              </w:rPr>
              <w:t>Participación so- cial eficientemente capacitada en la ética social para participar así en</w:t>
            </w:r>
            <w:r>
              <w:rPr>
                <w:spacing w:val="-25"/>
                <w:sz w:val="18"/>
              </w:rPr>
              <w:t> </w:t>
            </w:r>
            <w:r>
              <w:rPr>
                <w:sz w:val="18"/>
              </w:rPr>
              <w:t>los procesos de pla- neación.</w:t>
            </w:r>
          </w:p>
        </w:tc>
      </w:tr>
    </w:tbl>
    <w:p>
      <w:pPr>
        <w:spacing w:after="0" w:line="249" w:lineRule="auto"/>
        <w:jc w:val="both"/>
        <w:rPr>
          <w:sz w:val="18"/>
        </w:rPr>
        <w:sectPr>
          <w:headerReference w:type="default" r:id="rId259"/>
          <w:footerReference w:type="default" r:id="rId260"/>
          <w:footerReference w:type="even" r:id="rId261"/>
          <w:pgSz w:w="9360" w:h="13040"/>
          <w:pgMar w:header="0" w:footer="515" w:top="1200" w:bottom="700" w:left="1300" w:right="720"/>
          <w:pgNumType w:start="177"/>
        </w:sectPr>
      </w:pPr>
    </w:p>
    <w:p>
      <w:pPr>
        <w:pStyle w:val="BodyText"/>
        <w:rPr>
          <w:sz w:val="20"/>
        </w:rPr>
      </w:pPr>
    </w:p>
    <w:p>
      <w:pPr>
        <w:pStyle w:val="BodyText"/>
        <w:rPr>
          <w:sz w:val="20"/>
        </w:rPr>
      </w:pPr>
    </w:p>
    <w:p>
      <w:pPr>
        <w:pStyle w:val="BodyText"/>
        <w:rPr>
          <w:sz w:val="20"/>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
        <w:gridCol w:w="1764"/>
        <w:gridCol w:w="1570"/>
        <w:gridCol w:w="1661"/>
        <w:gridCol w:w="1599"/>
      </w:tblGrid>
      <w:tr>
        <w:trPr>
          <w:trHeight w:val="1751" w:hRule="exact"/>
        </w:trPr>
        <w:tc>
          <w:tcPr>
            <w:tcW w:w="492" w:type="dxa"/>
            <w:shd w:val="clear" w:color="auto" w:fill="CCCCCC"/>
          </w:tcPr>
          <w:p>
            <w:pPr>
              <w:pStyle w:val="TableParagraph"/>
              <w:spacing w:before="6"/>
              <w:ind w:left="195"/>
              <w:rPr>
                <w:b/>
                <w:sz w:val="18"/>
              </w:rPr>
            </w:pPr>
            <w:r>
              <w:rPr>
                <w:b/>
                <w:sz w:val="18"/>
              </w:rPr>
              <w:t>7</w:t>
            </w:r>
          </w:p>
        </w:tc>
        <w:tc>
          <w:tcPr>
            <w:tcW w:w="1764" w:type="dxa"/>
            <w:shd w:val="clear" w:color="auto" w:fill="CCCCCC"/>
          </w:tcPr>
          <w:p>
            <w:pPr>
              <w:pStyle w:val="TableParagraph"/>
              <w:spacing w:line="249" w:lineRule="auto" w:before="8"/>
              <w:ind w:left="103" w:right="85"/>
              <w:jc w:val="both"/>
              <w:rPr>
                <w:sz w:val="18"/>
              </w:rPr>
            </w:pPr>
            <w:r>
              <w:rPr>
                <w:sz w:val="18"/>
              </w:rPr>
              <w:t>Los órganos ciudada- nos cuentan con una auto-organización deficiente, aunque se logra la planeación democrática.</w:t>
            </w:r>
          </w:p>
        </w:tc>
        <w:tc>
          <w:tcPr>
            <w:tcW w:w="1570" w:type="dxa"/>
            <w:shd w:val="clear" w:color="auto" w:fill="CCCCCC"/>
          </w:tcPr>
          <w:p>
            <w:pPr>
              <w:pStyle w:val="TableParagraph"/>
              <w:spacing w:line="249" w:lineRule="auto" w:before="8"/>
              <w:ind w:left="103" w:right="100"/>
              <w:jc w:val="both"/>
              <w:rPr>
                <w:sz w:val="18"/>
              </w:rPr>
            </w:pPr>
            <w:r>
              <w:rPr>
                <w:sz w:val="18"/>
              </w:rPr>
              <w:t>Existencia de le- gislación para el trabajo continuo por subcomités y para su represen- tación selectiva en la Asamblea Ple- naria.</w:t>
            </w:r>
          </w:p>
        </w:tc>
        <w:tc>
          <w:tcPr>
            <w:tcW w:w="1661" w:type="dxa"/>
            <w:shd w:val="clear" w:color="auto" w:fill="CCCCCC"/>
          </w:tcPr>
          <w:p>
            <w:pPr>
              <w:pStyle w:val="TableParagraph"/>
              <w:spacing w:line="249" w:lineRule="auto" w:before="8"/>
              <w:ind w:left="102" w:right="100"/>
              <w:jc w:val="both"/>
              <w:rPr>
                <w:sz w:val="18"/>
              </w:rPr>
            </w:pPr>
            <w:r>
              <w:rPr>
                <w:sz w:val="18"/>
              </w:rPr>
              <w:t>Evaluación</w:t>
            </w:r>
            <w:r>
              <w:rPr>
                <w:spacing w:val="-29"/>
                <w:sz w:val="18"/>
              </w:rPr>
              <w:t> </w:t>
            </w:r>
            <w:r>
              <w:rPr>
                <w:sz w:val="18"/>
              </w:rPr>
              <w:t>continua de la </w:t>
            </w:r>
            <w:r>
              <w:rPr>
                <w:spacing w:val="-3"/>
                <w:sz w:val="18"/>
              </w:rPr>
              <w:t>auto-organiza- </w:t>
            </w:r>
            <w:r>
              <w:rPr>
                <w:sz w:val="18"/>
              </w:rPr>
              <w:t>ción para protago- nizar el proceso de planeación.</w:t>
            </w:r>
          </w:p>
        </w:tc>
        <w:tc>
          <w:tcPr>
            <w:tcW w:w="1599" w:type="dxa"/>
            <w:shd w:val="clear" w:color="auto" w:fill="CCCCCC"/>
          </w:tcPr>
          <w:p>
            <w:pPr>
              <w:pStyle w:val="TableParagraph"/>
              <w:spacing w:line="249" w:lineRule="auto" w:before="8"/>
              <w:ind w:left="102" w:right="100"/>
              <w:jc w:val="both"/>
              <w:rPr>
                <w:sz w:val="18"/>
              </w:rPr>
            </w:pPr>
            <w:r>
              <w:rPr>
                <w:sz w:val="18"/>
              </w:rPr>
              <w:t>Participación so- cial medianamente capacitada en la ética social para participar así en</w:t>
            </w:r>
            <w:r>
              <w:rPr>
                <w:spacing w:val="-25"/>
                <w:sz w:val="18"/>
              </w:rPr>
              <w:t> </w:t>
            </w:r>
            <w:r>
              <w:rPr>
                <w:sz w:val="18"/>
              </w:rPr>
              <w:t>los procesos de pla- neación.</w:t>
            </w:r>
          </w:p>
        </w:tc>
      </w:tr>
      <w:tr>
        <w:trPr>
          <w:trHeight w:val="1535" w:hRule="exact"/>
        </w:trPr>
        <w:tc>
          <w:tcPr>
            <w:tcW w:w="492" w:type="dxa"/>
          </w:tcPr>
          <w:p>
            <w:pPr>
              <w:pStyle w:val="TableParagraph"/>
              <w:spacing w:before="6"/>
              <w:ind w:left="195"/>
              <w:rPr>
                <w:b/>
                <w:sz w:val="18"/>
              </w:rPr>
            </w:pPr>
            <w:r>
              <w:rPr>
                <w:b/>
                <w:sz w:val="18"/>
              </w:rPr>
              <w:t>6</w:t>
            </w:r>
          </w:p>
        </w:tc>
        <w:tc>
          <w:tcPr>
            <w:tcW w:w="1764" w:type="dxa"/>
          </w:tcPr>
          <w:p>
            <w:pPr>
              <w:pStyle w:val="TableParagraph"/>
              <w:spacing w:line="249" w:lineRule="auto" w:before="8"/>
              <w:ind w:left="102" w:right="100"/>
              <w:jc w:val="both"/>
              <w:rPr>
                <w:sz w:val="18"/>
              </w:rPr>
            </w:pPr>
            <w:r>
              <w:rPr>
                <w:sz w:val="18"/>
              </w:rPr>
              <w:t>La interacción socie- dad-gobierno  logra la planeación demo- crática.</w:t>
            </w:r>
          </w:p>
        </w:tc>
        <w:tc>
          <w:tcPr>
            <w:tcW w:w="1570" w:type="dxa"/>
          </w:tcPr>
          <w:p>
            <w:pPr>
              <w:pStyle w:val="TableParagraph"/>
              <w:spacing w:line="249" w:lineRule="auto" w:before="8"/>
              <w:ind w:left="102" w:right="101"/>
              <w:jc w:val="both"/>
              <w:rPr>
                <w:sz w:val="18"/>
              </w:rPr>
            </w:pPr>
            <w:r>
              <w:rPr>
                <w:sz w:val="18"/>
              </w:rPr>
              <w:t>Existencia de le- gislación para el trabajo continuo por subcomités y para el acceso a la Asamblea Plenaria por invitación.</w:t>
            </w:r>
          </w:p>
        </w:tc>
        <w:tc>
          <w:tcPr>
            <w:tcW w:w="1661" w:type="dxa"/>
          </w:tcPr>
          <w:p>
            <w:pPr>
              <w:pStyle w:val="TableParagraph"/>
              <w:spacing w:line="249" w:lineRule="auto" w:before="8"/>
              <w:ind w:left="102" w:right="100"/>
              <w:jc w:val="both"/>
              <w:rPr>
                <w:sz w:val="18"/>
              </w:rPr>
            </w:pPr>
            <w:r>
              <w:rPr>
                <w:sz w:val="18"/>
              </w:rPr>
              <w:t>Evaluación conti- nua e integral de la interacción socie- dad-gobierno para lograr la planeación democrática.</w:t>
            </w:r>
          </w:p>
        </w:tc>
        <w:tc>
          <w:tcPr>
            <w:tcW w:w="1599" w:type="dxa"/>
          </w:tcPr>
          <w:p>
            <w:pPr>
              <w:pStyle w:val="TableParagraph"/>
              <w:spacing w:line="249" w:lineRule="auto" w:before="8"/>
              <w:ind w:left="102" w:right="101"/>
              <w:jc w:val="both"/>
              <w:rPr>
                <w:sz w:val="18"/>
              </w:rPr>
            </w:pPr>
            <w:r>
              <w:rPr>
                <w:sz w:val="18"/>
              </w:rPr>
              <w:t>Participación so- cial vagamente capacitada en la ética social para participar así en</w:t>
            </w:r>
            <w:r>
              <w:rPr>
                <w:spacing w:val="-26"/>
                <w:sz w:val="18"/>
              </w:rPr>
              <w:t> </w:t>
            </w:r>
            <w:r>
              <w:rPr>
                <w:sz w:val="18"/>
              </w:rPr>
              <w:t>los procesos de pla- neación.</w:t>
            </w:r>
          </w:p>
        </w:tc>
      </w:tr>
      <w:tr>
        <w:trPr>
          <w:trHeight w:val="2183" w:hRule="exact"/>
        </w:trPr>
        <w:tc>
          <w:tcPr>
            <w:tcW w:w="492" w:type="dxa"/>
            <w:shd w:val="clear" w:color="auto" w:fill="CCCCCC"/>
          </w:tcPr>
          <w:p>
            <w:pPr>
              <w:pStyle w:val="TableParagraph"/>
              <w:spacing w:before="6"/>
              <w:ind w:left="195"/>
              <w:rPr>
                <w:b/>
                <w:sz w:val="18"/>
              </w:rPr>
            </w:pPr>
            <w:r>
              <w:rPr>
                <w:b/>
                <w:sz w:val="18"/>
              </w:rPr>
              <w:t>5</w:t>
            </w:r>
          </w:p>
        </w:tc>
        <w:tc>
          <w:tcPr>
            <w:tcW w:w="1764" w:type="dxa"/>
            <w:shd w:val="clear" w:color="auto" w:fill="CCCCCC"/>
          </w:tcPr>
          <w:p>
            <w:pPr>
              <w:pStyle w:val="TableParagraph"/>
              <w:spacing w:line="249" w:lineRule="auto"/>
              <w:ind w:left="102" w:right="100"/>
              <w:jc w:val="both"/>
              <w:rPr>
                <w:sz w:val="18"/>
              </w:rPr>
            </w:pPr>
            <w:r>
              <w:rPr>
                <w:sz w:val="18"/>
              </w:rPr>
              <w:t>La interacción socie- dad-gobierno logra procesos decisorios ciudadanizados de la inversión pública.</w:t>
            </w:r>
          </w:p>
        </w:tc>
        <w:tc>
          <w:tcPr>
            <w:tcW w:w="1570" w:type="dxa"/>
            <w:shd w:val="clear" w:color="auto" w:fill="CCCCCC"/>
          </w:tcPr>
          <w:p>
            <w:pPr>
              <w:pStyle w:val="TableParagraph"/>
              <w:spacing w:line="249" w:lineRule="auto"/>
              <w:ind w:left="102" w:right="100"/>
              <w:jc w:val="both"/>
              <w:rPr>
                <w:sz w:val="18"/>
              </w:rPr>
            </w:pPr>
            <w:r>
              <w:rPr>
                <w:sz w:val="18"/>
              </w:rPr>
              <w:t>Existencia de le- gislación para pro- cesos decisorios ciudadanizados de la inversión públi- ca y para el acce- so a la Asamblea Plenaria por invi- tación.</w:t>
            </w:r>
          </w:p>
        </w:tc>
        <w:tc>
          <w:tcPr>
            <w:tcW w:w="1661" w:type="dxa"/>
            <w:shd w:val="clear" w:color="auto" w:fill="CCCCCC"/>
          </w:tcPr>
          <w:p>
            <w:pPr>
              <w:pStyle w:val="TableParagraph"/>
              <w:spacing w:line="249" w:lineRule="auto"/>
              <w:ind w:left="102" w:right="101"/>
              <w:jc w:val="both"/>
              <w:rPr>
                <w:sz w:val="18"/>
              </w:rPr>
            </w:pPr>
            <w:r>
              <w:rPr>
                <w:sz w:val="18"/>
              </w:rPr>
              <w:t>Evaluación</w:t>
            </w:r>
            <w:r>
              <w:rPr>
                <w:spacing w:val="-30"/>
                <w:sz w:val="18"/>
              </w:rPr>
              <w:t> </w:t>
            </w:r>
            <w:r>
              <w:rPr>
                <w:sz w:val="18"/>
              </w:rPr>
              <w:t>continua e integral de la inte- racción sociedad- gobierno para</w:t>
            </w:r>
            <w:r>
              <w:rPr>
                <w:spacing w:val="-27"/>
                <w:sz w:val="18"/>
              </w:rPr>
              <w:t> </w:t>
            </w:r>
            <w:r>
              <w:rPr>
                <w:sz w:val="18"/>
              </w:rPr>
              <w:t>lograr procesos decisorios ciudadanizados de la inversión</w:t>
            </w:r>
            <w:r>
              <w:rPr>
                <w:spacing w:val="-23"/>
                <w:sz w:val="18"/>
              </w:rPr>
              <w:t> </w:t>
            </w:r>
            <w:r>
              <w:rPr>
                <w:sz w:val="18"/>
              </w:rPr>
              <w:t>pública.</w:t>
            </w:r>
          </w:p>
        </w:tc>
        <w:tc>
          <w:tcPr>
            <w:tcW w:w="1599" w:type="dxa"/>
            <w:shd w:val="clear" w:color="auto" w:fill="CCCCCC"/>
          </w:tcPr>
          <w:p>
            <w:pPr>
              <w:pStyle w:val="TableParagraph"/>
              <w:spacing w:line="249" w:lineRule="auto"/>
              <w:ind w:left="102" w:right="101"/>
              <w:jc w:val="both"/>
              <w:rPr>
                <w:sz w:val="18"/>
              </w:rPr>
            </w:pPr>
            <w:r>
              <w:rPr>
                <w:sz w:val="18"/>
              </w:rPr>
              <w:t>Participación so- cial vagamente capacitada en la ética social que ejerce derechos ciudadanos míni- mos de propuesta, exigencia y crítica en los procesos de planeación.</w:t>
            </w:r>
          </w:p>
        </w:tc>
      </w:tr>
      <w:tr>
        <w:trPr>
          <w:trHeight w:val="1967" w:hRule="exact"/>
        </w:trPr>
        <w:tc>
          <w:tcPr>
            <w:tcW w:w="492" w:type="dxa"/>
          </w:tcPr>
          <w:p>
            <w:pPr>
              <w:pStyle w:val="TableParagraph"/>
              <w:spacing w:before="6"/>
              <w:ind w:left="195"/>
              <w:rPr>
                <w:b/>
                <w:sz w:val="18"/>
              </w:rPr>
            </w:pPr>
            <w:r>
              <w:rPr>
                <w:b/>
                <w:sz w:val="18"/>
              </w:rPr>
              <w:t>4</w:t>
            </w:r>
          </w:p>
        </w:tc>
        <w:tc>
          <w:tcPr>
            <w:tcW w:w="1764" w:type="dxa"/>
          </w:tcPr>
          <w:p>
            <w:pPr>
              <w:pStyle w:val="TableParagraph"/>
              <w:spacing w:line="249" w:lineRule="auto"/>
              <w:ind w:left="102" w:right="101"/>
              <w:jc w:val="both"/>
              <w:rPr>
                <w:sz w:val="18"/>
              </w:rPr>
            </w:pPr>
            <w:r>
              <w:rPr>
                <w:sz w:val="18"/>
              </w:rPr>
              <w:t>La interacción socie- dad-gobierno logra una integración ciu- dadana intermitente por comisiones en el trabajo continuo del COPLADE.</w:t>
            </w:r>
          </w:p>
        </w:tc>
        <w:tc>
          <w:tcPr>
            <w:tcW w:w="1570" w:type="dxa"/>
          </w:tcPr>
          <w:p>
            <w:pPr>
              <w:pStyle w:val="TableParagraph"/>
              <w:spacing w:line="249" w:lineRule="auto"/>
              <w:ind w:left="102" w:right="101"/>
              <w:jc w:val="both"/>
              <w:rPr>
                <w:sz w:val="18"/>
              </w:rPr>
            </w:pPr>
            <w:r>
              <w:rPr>
                <w:sz w:val="18"/>
              </w:rPr>
              <w:t>Existencia de le- gislación para la integración ciuda- dana ocasional al trabajo continuo y para el acceso a la Asamblea Plenaria por invitación y</w:t>
            </w:r>
            <w:r>
              <w:rPr>
                <w:spacing w:val="-34"/>
                <w:sz w:val="18"/>
              </w:rPr>
              <w:t> </w:t>
            </w:r>
            <w:r>
              <w:rPr>
                <w:sz w:val="18"/>
              </w:rPr>
              <w:t>re- gistro.</w:t>
            </w:r>
          </w:p>
        </w:tc>
        <w:tc>
          <w:tcPr>
            <w:tcW w:w="1661" w:type="dxa"/>
          </w:tcPr>
          <w:p>
            <w:pPr>
              <w:pStyle w:val="TableParagraph"/>
              <w:spacing w:line="249" w:lineRule="auto"/>
              <w:ind w:left="102" w:right="95"/>
              <w:jc w:val="both"/>
              <w:rPr>
                <w:sz w:val="18"/>
              </w:rPr>
            </w:pPr>
            <w:r>
              <w:rPr>
                <w:sz w:val="18"/>
              </w:rPr>
              <w:t>Evaluación</w:t>
            </w:r>
            <w:r>
              <w:rPr>
                <w:spacing w:val="-27"/>
                <w:sz w:val="18"/>
              </w:rPr>
              <w:t> </w:t>
            </w:r>
            <w:r>
              <w:rPr>
                <w:sz w:val="18"/>
              </w:rPr>
              <w:t>continua de la interacción </w:t>
            </w:r>
            <w:r>
              <w:rPr>
                <w:spacing w:val="7"/>
                <w:sz w:val="18"/>
              </w:rPr>
              <w:t>sociedad-gobierno </w:t>
            </w:r>
            <w:r>
              <w:rPr>
                <w:sz w:val="18"/>
              </w:rPr>
              <w:t>para lograr una in- tegración ciudadana intermitente a</w:t>
            </w:r>
            <w:r>
              <w:rPr>
                <w:spacing w:val="-16"/>
                <w:sz w:val="18"/>
              </w:rPr>
              <w:t> </w:t>
            </w:r>
            <w:r>
              <w:rPr>
                <w:sz w:val="18"/>
              </w:rPr>
              <w:t>comi- siones del COPLA- </w:t>
            </w:r>
            <w:r>
              <w:rPr>
                <w:spacing w:val="-2"/>
                <w:sz w:val="18"/>
              </w:rPr>
              <w:t>DE.</w:t>
            </w:r>
          </w:p>
        </w:tc>
        <w:tc>
          <w:tcPr>
            <w:tcW w:w="1599" w:type="dxa"/>
          </w:tcPr>
          <w:p>
            <w:pPr>
              <w:pStyle w:val="TableParagraph"/>
              <w:spacing w:line="249" w:lineRule="auto"/>
              <w:ind w:left="102" w:right="101"/>
              <w:jc w:val="both"/>
              <w:rPr>
                <w:sz w:val="18"/>
              </w:rPr>
            </w:pPr>
            <w:r>
              <w:rPr>
                <w:sz w:val="18"/>
              </w:rPr>
              <w:t>Participación</w:t>
            </w:r>
            <w:r>
              <w:rPr>
                <w:spacing w:val="-22"/>
                <w:sz w:val="18"/>
              </w:rPr>
              <w:t> </w:t>
            </w:r>
            <w:r>
              <w:rPr>
                <w:spacing w:val="-2"/>
                <w:sz w:val="18"/>
              </w:rPr>
              <w:t>social </w:t>
            </w:r>
            <w:r>
              <w:rPr>
                <w:sz w:val="18"/>
              </w:rPr>
              <w:t>mediante mecanis- mos de expresión amplia de la ciuda- danía (sin capaci- tación </w:t>
            </w:r>
            <w:r>
              <w:rPr>
                <w:spacing w:val="-2"/>
                <w:sz w:val="18"/>
              </w:rPr>
              <w:t>socio-ética) </w:t>
            </w:r>
            <w:r>
              <w:rPr>
                <w:sz w:val="18"/>
              </w:rPr>
              <w:t>en algunos temas públicos.</w:t>
            </w:r>
          </w:p>
        </w:tc>
      </w:tr>
      <w:tr>
        <w:trPr>
          <w:trHeight w:val="1967" w:hRule="exact"/>
        </w:trPr>
        <w:tc>
          <w:tcPr>
            <w:tcW w:w="492" w:type="dxa"/>
            <w:shd w:val="clear" w:color="auto" w:fill="CCCCCC"/>
          </w:tcPr>
          <w:p>
            <w:pPr>
              <w:pStyle w:val="TableParagraph"/>
              <w:spacing w:before="6"/>
              <w:ind w:left="195"/>
              <w:rPr>
                <w:b/>
                <w:sz w:val="18"/>
              </w:rPr>
            </w:pPr>
            <w:r>
              <w:rPr>
                <w:b/>
                <w:sz w:val="18"/>
              </w:rPr>
              <w:t>3</w:t>
            </w:r>
          </w:p>
        </w:tc>
        <w:tc>
          <w:tcPr>
            <w:tcW w:w="1764" w:type="dxa"/>
            <w:shd w:val="clear" w:color="auto" w:fill="CCCCCC"/>
          </w:tcPr>
          <w:p>
            <w:pPr>
              <w:pStyle w:val="TableParagraph"/>
              <w:spacing w:line="249" w:lineRule="auto"/>
              <w:ind w:left="102" w:right="101"/>
              <w:jc w:val="both"/>
              <w:rPr>
                <w:sz w:val="18"/>
              </w:rPr>
            </w:pPr>
            <w:r>
              <w:rPr>
                <w:sz w:val="18"/>
              </w:rPr>
              <w:t>La interacción socie- dad-gobierno logra una integración ciu- dadana regional y/o sectorial que reincide en esquemas de ex- presión muy genera- les.</w:t>
            </w:r>
          </w:p>
        </w:tc>
        <w:tc>
          <w:tcPr>
            <w:tcW w:w="1570" w:type="dxa"/>
            <w:shd w:val="clear" w:color="auto" w:fill="CCCCCC"/>
          </w:tcPr>
          <w:p>
            <w:pPr>
              <w:pStyle w:val="TableParagraph"/>
              <w:spacing w:line="249" w:lineRule="auto"/>
              <w:ind w:left="102" w:right="101"/>
              <w:jc w:val="both"/>
              <w:rPr>
                <w:sz w:val="18"/>
              </w:rPr>
            </w:pPr>
            <w:r>
              <w:rPr>
                <w:sz w:val="18"/>
              </w:rPr>
              <w:t>Existencia de le- gislación para el trabajo ciudadano continuo por re- giones</w:t>
            </w:r>
            <w:r>
              <w:rPr>
                <w:spacing w:val="-12"/>
                <w:sz w:val="18"/>
              </w:rPr>
              <w:t> </w:t>
            </w:r>
            <w:r>
              <w:rPr>
                <w:sz w:val="18"/>
              </w:rPr>
              <w:t>y</w:t>
            </w:r>
            <w:r>
              <w:rPr>
                <w:spacing w:val="-12"/>
                <w:sz w:val="18"/>
              </w:rPr>
              <w:t> </w:t>
            </w:r>
            <w:r>
              <w:rPr>
                <w:sz w:val="18"/>
              </w:rPr>
              <w:t>para</w:t>
            </w:r>
            <w:r>
              <w:rPr>
                <w:spacing w:val="-12"/>
                <w:sz w:val="18"/>
              </w:rPr>
              <w:t> </w:t>
            </w:r>
            <w:r>
              <w:rPr>
                <w:sz w:val="18"/>
              </w:rPr>
              <w:t>el</w:t>
            </w:r>
            <w:r>
              <w:rPr>
                <w:spacing w:val="-12"/>
                <w:sz w:val="18"/>
              </w:rPr>
              <w:t> </w:t>
            </w:r>
            <w:r>
              <w:rPr>
                <w:sz w:val="18"/>
              </w:rPr>
              <w:t>ac- ceso a la</w:t>
            </w:r>
            <w:r>
              <w:rPr>
                <w:spacing w:val="-34"/>
                <w:sz w:val="18"/>
              </w:rPr>
              <w:t> </w:t>
            </w:r>
            <w:r>
              <w:rPr>
                <w:sz w:val="18"/>
              </w:rPr>
              <w:t>Asamblea Plenaria por invi- tación y</w:t>
            </w:r>
            <w:r>
              <w:rPr>
                <w:spacing w:val="-18"/>
                <w:sz w:val="18"/>
              </w:rPr>
              <w:t> </w:t>
            </w:r>
            <w:r>
              <w:rPr>
                <w:sz w:val="18"/>
              </w:rPr>
              <w:t>registro.</w:t>
            </w:r>
          </w:p>
        </w:tc>
        <w:tc>
          <w:tcPr>
            <w:tcW w:w="1661" w:type="dxa"/>
            <w:shd w:val="clear" w:color="auto" w:fill="CCCCCC"/>
          </w:tcPr>
          <w:p>
            <w:pPr>
              <w:pStyle w:val="TableParagraph"/>
              <w:spacing w:line="249" w:lineRule="auto"/>
              <w:ind w:left="102" w:right="95"/>
              <w:jc w:val="both"/>
              <w:rPr>
                <w:sz w:val="18"/>
              </w:rPr>
            </w:pPr>
            <w:r>
              <w:rPr>
                <w:sz w:val="18"/>
              </w:rPr>
              <w:t>Evaluación conti- nua</w:t>
            </w:r>
            <w:r>
              <w:rPr>
                <w:spacing w:val="-18"/>
                <w:sz w:val="18"/>
              </w:rPr>
              <w:t> </w:t>
            </w:r>
            <w:r>
              <w:rPr>
                <w:sz w:val="18"/>
              </w:rPr>
              <w:t>de</w:t>
            </w:r>
            <w:r>
              <w:rPr>
                <w:spacing w:val="-18"/>
                <w:sz w:val="18"/>
              </w:rPr>
              <w:t> </w:t>
            </w:r>
            <w:r>
              <w:rPr>
                <w:sz w:val="18"/>
              </w:rPr>
              <w:t>la</w:t>
            </w:r>
            <w:r>
              <w:rPr>
                <w:spacing w:val="-18"/>
                <w:sz w:val="18"/>
              </w:rPr>
              <w:t> </w:t>
            </w:r>
            <w:r>
              <w:rPr>
                <w:sz w:val="18"/>
              </w:rPr>
              <w:t>interacción </w:t>
            </w:r>
            <w:r>
              <w:rPr>
                <w:spacing w:val="7"/>
                <w:sz w:val="18"/>
              </w:rPr>
              <w:t>sociedad-gobierno </w:t>
            </w:r>
            <w:r>
              <w:rPr>
                <w:sz w:val="18"/>
              </w:rPr>
              <w:t>para lograr una in- tegración ciudadana regional y/o secto- rial que reincide en esquemas de expre- sión muy</w:t>
            </w:r>
            <w:r>
              <w:rPr>
                <w:spacing w:val="-19"/>
                <w:sz w:val="18"/>
              </w:rPr>
              <w:t> </w:t>
            </w:r>
            <w:r>
              <w:rPr>
                <w:sz w:val="18"/>
              </w:rPr>
              <w:t>generales.</w:t>
            </w:r>
          </w:p>
        </w:tc>
        <w:tc>
          <w:tcPr>
            <w:tcW w:w="1599" w:type="dxa"/>
            <w:shd w:val="clear" w:color="auto" w:fill="CCCCCC"/>
          </w:tcPr>
          <w:p>
            <w:pPr>
              <w:pStyle w:val="TableParagraph"/>
              <w:spacing w:line="249" w:lineRule="auto"/>
              <w:ind w:left="102" w:right="101"/>
              <w:jc w:val="both"/>
              <w:rPr>
                <w:sz w:val="18"/>
              </w:rPr>
            </w:pPr>
            <w:r>
              <w:rPr>
                <w:sz w:val="18"/>
              </w:rPr>
              <w:t>Participación</w:t>
            </w:r>
            <w:r>
              <w:rPr>
                <w:spacing w:val="-22"/>
                <w:sz w:val="18"/>
              </w:rPr>
              <w:t> </w:t>
            </w:r>
            <w:r>
              <w:rPr>
                <w:spacing w:val="-2"/>
                <w:sz w:val="18"/>
              </w:rPr>
              <w:t>social </w:t>
            </w:r>
            <w:r>
              <w:rPr>
                <w:sz w:val="18"/>
              </w:rPr>
              <w:t>mediante meca- nismos de expre- sión moderada de la ciudadanía (sin capacitación </w:t>
            </w:r>
            <w:r>
              <w:rPr>
                <w:spacing w:val="-2"/>
                <w:sz w:val="18"/>
              </w:rPr>
              <w:t>socio- </w:t>
            </w:r>
            <w:r>
              <w:rPr>
                <w:sz w:val="18"/>
              </w:rPr>
              <w:t>ética) en algunos temas</w:t>
            </w:r>
            <w:r>
              <w:rPr>
                <w:spacing w:val="-30"/>
                <w:sz w:val="18"/>
              </w:rPr>
              <w:t> </w:t>
            </w:r>
            <w:r>
              <w:rPr>
                <w:sz w:val="18"/>
              </w:rPr>
              <w:t>públicos.</w:t>
            </w:r>
          </w:p>
        </w:tc>
      </w:tr>
    </w:tbl>
    <w:p>
      <w:pPr>
        <w:spacing w:after="0" w:line="249" w:lineRule="auto"/>
        <w:jc w:val="both"/>
        <w:rPr>
          <w:sz w:val="18"/>
        </w:rPr>
        <w:sectPr>
          <w:headerReference w:type="default" r:id="rId262"/>
          <w:headerReference w:type="even" r:id="rId263"/>
          <w:pgSz w:w="9360" w:h="13040"/>
          <w:pgMar w:header="527" w:footer="515" w:top="720" w:bottom="700" w:left="740" w:right="1300"/>
        </w:sectPr>
      </w:pPr>
    </w:p>
    <w:p>
      <w:pPr>
        <w:pStyle w:val="BodyText"/>
        <w:rPr>
          <w:sz w:val="20"/>
        </w:rPr>
      </w:pPr>
    </w:p>
    <w:p>
      <w:pPr>
        <w:pStyle w:val="BodyText"/>
        <w:spacing w:before="10"/>
        <w:rPr>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2"/>
        <w:gridCol w:w="1764"/>
        <w:gridCol w:w="1570"/>
        <w:gridCol w:w="1661"/>
        <w:gridCol w:w="1599"/>
      </w:tblGrid>
      <w:tr>
        <w:trPr>
          <w:trHeight w:val="1751" w:hRule="exact"/>
        </w:trPr>
        <w:tc>
          <w:tcPr>
            <w:tcW w:w="492" w:type="dxa"/>
          </w:tcPr>
          <w:p>
            <w:pPr>
              <w:pStyle w:val="TableParagraph"/>
              <w:spacing w:before="6"/>
              <w:ind w:left="195"/>
              <w:rPr>
                <w:b/>
                <w:sz w:val="18"/>
              </w:rPr>
            </w:pPr>
            <w:r>
              <w:rPr>
                <w:b/>
                <w:sz w:val="18"/>
              </w:rPr>
              <w:t>2</w:t>
            </w:r>
          </w:p>
        </w:tc>
        <w:tc>
          <w:tcPr>
            <w:tcW w:w="1764" w:type="dxa"/>
          </w:tcPr>
          <w:p>
            <w:pPr>
              <w:pStyle w:val="TableParagraph"/>
              <w:spacing w:line="249" w:lineRule="auto" w:before="8"/>
              <w:ind w:left="103" w:right="100"/>
              <w:jc w:val="both"/>
              <w:rPr>
                <w:sz w:val="18"/>
              </w:rPr>
            </w:pPr>
            <w:r>
              <w:rPr>
                <w:sz w:val="18"/>
              </w:rPr>
              <w:t>La interacción socie- dad-gobierno logra la integración ciudada- na ocasional y a cri- terio de funcionarios públicos.</w:t>
            </w:r>
          </w:p>
        </w:tc>
        <w:tc>
          <w:tcPr>
            <w:tcW w:w="1570" w:type="dxa"/>
          </w:tcPr>
          <w:p>
            <w:pPr>
              <w:pStyle w:val="TableParagraph"/>
              <w:spacing w:line="249" w:lineRule="auto" w:before="8"/>
              <w:ind w:left="103" w:right="100"/>
              <w:jc w:val="both"/>
              <w:rPr>
                <w:sz w:val="18"/>
              </w:rPr>
            </w:pPr>
            <w:r>
              <w:rPr>
                <w:sz w:val="18"/>
              </w:rPr>
              <w:t>Existencia</w:t>
            </w:r>
            <w:r>
              <w:rPr>
                <w:spacing w:val="-29"/>
                <w:sz w:val="18"/>
              </w:rPr>
              <w:t> </w:t>
            </w:r>
            <w:r>
              <w:rPr>
                <w:sz w:val="18"/>
              </w:rPr>
              <w:t>de</w:t>
            </w:r>
            <w:r>
              <w:rPr>
                <w:spacing w:val="-28"/>
                <w:sz w:val="18"/>
              </w:rPr>
              <w:t> </w:t>
            </w:r>
            <w:r>
              <w:rPr>
                <w:sz w:val="18"/>
              </w:rPr>
              <w:t>legis- lación para la inte- gración ciudadana sólo en consultas</w:t>
            </w:r>
            <w:r>
              <w:rPr>
                <w:spacing w:val="-14"/>
                <w:sz w:val="18"/>
              </w:rPr>
              <w:t> </w:t>
            </w:r>
            <w:r>
              <w:rPr>
                <w:sz w:val="18"/>
              </w:rPr>
              <w:t>y para el acceso a la Asamblea Plenaria por invitación y</w:t>
            </w:r>
            <w:r>
              <w:rPr>
                <w:spacing w:val="-34"/>
                <w:sz w:val="18"/>
              </w:rPr>
              <w:t> </w:t>
            </w:r>
            <w:r>
              <w:rPr>
                <w:sz w:val="18"/>
              </w:rPr>
              <w:t>re- gistro.</w:t>
            </w:r>
          </w:p>
        </w:tc>
        <w:tc>
          <w:tcPr>
            <w:tcW w:w="1661" w:type="dxa"/>
          </w:tcPr>
          <w:p>
            <w:pPr>
              <w:pStyle w:val="TableParagraph"/>
              <w:spacing w:line="249" w:lineRule="auto" w:before="8"/>
              <w:ind w:left="102" w:right="94"/>
              <w:jc w:val="both"/>
              <w:rPr>
                <w:sz w:val="18"/>
              </w:rPr>
            </w:pPr>
            <w:r>
              <w:rPr>
                <w:sz w:val="18"/>
              </w:rPr>
              <w:t>Evaluación conti- nua</w:t>
            </w:r>
            <w:r>
              <w:rPr>
                <w:spacing w:val="-18"/>
                <w:sz w:val="18"/>
              </w:rPr>
              <w:t> </w:t>
            </w:r>
            <w:r>
              <w:rPr>
                <w:sz w:val="18"/>
              </w:rPr>
              <w:t>de</w:t>
            </w:r>
            <w:r>
              <w:rPr>
                <w:spacing w:val="-18"/>
                <w:sz w:val="18"/>
              </w:rPr>
              <w:t> </w:t>
            </w:r>
            <w:r>
              <w:rPr>
                <w:sz w:val="18"/>
              </w:rPr>
              <w:t>la</w:t>
            </w:r>
            <w:r>
              <w:rPr>
                <w:spacing w:val="-18"/>
                <w:sz w:val="18"/>
              </w:rPr>
              <w:t> </w:t>
            </w:r>
            <w:r>
              <w:rPr>
                <w:sz w:val="18"/>
              </w:rPr>
              <w:t>interacción </w:t>
            </w:r>
            <w:r>
              <w:rPr>
                <w:spacing w:val="7"/>
                <w:sz w:val="18"/>
              </w:rPr>
              <w:t>sociedad-gobierno </w:t>
            </w:r>
            <w:r>
              <w:rPr>
                <w:sz w:val="18"/>
              </w:rPr>
              <w:t>para lograr la inte- gración ciudadana ocasional y a crite- rio de funcionarios públicos.</w:t>
            </w:r>
          </w:p>
        </w:tc>
        <w:tc>
          <w:tcPr>
            <w:tcW w:w="1599" w:type="dxa"/>
          </w:tcPr>
          <w:p>
            <w:pPr>
              <w:pStyle w:val="TableParagraph"/>
              <w:spacing w:line="249" w:lineRule="auto" w:before="8"/>
              <w:ind w:left="102" w:right="100"/>
              <w:jc w:val="both"/>
              <w:rPr>
                <w:sz w:val="18"/>
              </w:rPr>
            </w:pPr>
            <w:r>
              <w:rPr>
                <w:sz w:val="18"/>
              </w:rPr>
              <w:t>Participación</w:t>
            </w:r>
            <w:r>
              <w:rPr>
                <w:spacing w:val="-25"/>
                <w:sz w:val="18"/>
              </w:rPr>
              <w:t> </w:t>
            </w:r>
            <w:r>
              <w:rPr>
                <w:spacing w:val="-2"/>
                <w:sz w:val="18"/>
              </w:rPr>
              <w:t>social </w:t>
            </w:r>
            <w:r>
              <w:rPr>
                <w:sz w:val="18"/>
              </w:rPr>
              <w:t>mediante mecanis- mos de expresión mínima</w:t>
            </w:r>
            <w:r>
              <w:rPr>
                <w:spacing w:val="-20"/>
                <w:sz w:val="18"/>
              </w:rPr>
              <w:t> </w:t>
            </w:r>
            <w:r>
              <w:rPr>
                <w:sz w:val="18"/>
              </w:rPr>
              <w:t>de</w:t>
            </w:r>
            <w:r>
              <w:rPr>
                <w:spacing w:val="-20"/>
                <w:sz w:val="18"/>
              </w:rPr>
              <w:t> </w:t>
            </w:r>
            <w:r>
              <w:rPr>
                <w:sz w:val="18"/>
              </w:rPr>
              <w:t>la</w:t>
            </w:r>
            <w:r>
              <w:rPr>
                <w:spacing w:val="-20"/>
                <w:sz w:val="18"/>
              </w:rPr>
              <w:t> </w:t>
            </w:r>
            <w:r>
              <w:rPr>
                <w:sz w:val="18"/>
              </w:rPr>
              <w:t>ciuda- danía (sin</w:t>
            </w:r>
            <w:r>
              <w:rPr>
                <w:spacing w:val="-23"/>
                <w:sz w:val="18"/>
              </w:rPr>
              <w:t> </w:t>
            </w:r>
            <w:r>
              <w:rPr>
                <w:sz w:val="18"/>
              </w:rPr>
              <w:t>capacita- ción  </w:t>
            </w:r>
            <w:r>
              <w:rPr>
                <w:spacing w:val="-2"/>
                <w:sz w:val="18"/>
              </w:rPr>
              <w:t>socio-ética) </w:t>
            </w:r>
            <w:r>
              <w:rPr>
                <w:sz w:val="18"/>
              </w:rPr>
              <w:t>en algunos temas públicos.</w:t>
            </w:r>
          </w:p>
        </w:tc>
      </w:tr>
      <w:tr>
        <w:trPr>
          <w:trHeight w:val="1751" w:hRule="exact"/>
        </w:trPr>
        <w:tc>
          <w:tcPr>
            <w:tcW w:w="492" w:type="dxa"/>
            <w:shd w:val="clear" w:color="auto" w:fill="CCCCCC"/>
          </w:tcPr>
          <w:p>
            <w:pPr>
              <w:pStyle w:val="TableParagraph"/>
              <w:spacing w:before="6"/>
              <w:ind w:left="195"/>
              <w:rPr>
                <w:b/>
                <w:sz w:val="18"/>
              </w:rPr>
            </w:pPr>
            <w:r>
              <w:rPr>
                <w:b/>
                <w:sz w:val="18"/>
              </w:rPr>
              <w:t>1</w:t>
            </w:r>
          </w:p>
        </w:tc>
        <w:tc>
          <w:tcPr>
            <w:tcW w:w="1764" w:type="dxa"/>
            <w:shd w:val="clear" w:color="auto" w:fill="CCCCCC"/>
          </w:tcPr>
          <w:p>
            <w:pPr>
              <w:pStyle w:val="TableParagraph"/>
              <w:spacing w:line="249" w:lineRule="auto" w:before="8"/>
              <w:ind w:left="102" w:right="100"/>
              <w:jc w:val="both"/>
              <w:rPr>
                <w:sz w:val="18"/>
              </w:rPr>
            </w:pPr>
            <w:r>
              <w:rPr>
                <w:sz w:val="18"/>
              </w:rPr>
              <w:t>La interacción socie- dad-gobierno tiende</w:t>
            </w:r>
            <w:r>
              <w:rPr>
                <w:spacing w:val="-23"/>
                <w:sz w:val="18"/>
              </w:rPr>
              <w:t> </w:t>
            </w:r>
            <w:r>
              <w:rPr>
                <w:sz w:val="18"/>
              </w:rPr>
              <w:t>a la inoperatividad ciu- dadana regional y/o sectorial.</w:t>
            </w:r>
          </w:p>
        </w:tc>
        <w:tc>
          <w:tcPr>
            <w:tcW w:w="1570" w:type="dxa"/>
            <w:shd w:val="clear" w:color="auto" w:fill="CCCCCC"/>
          </w:tcPr>
          <w:p>
            <w:pPr>
              <w:pStyle w:val="TableParagraph"/>
              <w:spacing w:line="249" w:lineRule="auto" w:before="8"/>
              <w:ind w:left="102" w:right="100"/>
              <w:jc w:val="both"/>
              <w:rPr>
                <w:sz w:val="18"/>
              </w:rPr>
            </w:pPr>
            <w:r>
              <w:rPr>
                <w:sz w:val="18"/>
              </w:rPr>
              <w:t>Existencia de le- gislación para la integración ciuda- dana sólo en fo- ros y acceso a la Asamblea Plenaria por invitación y</w:t>
            </w:r>
            <w:r>
              <w:rPr>
                <w:spacing w:val="-34"/>
                <w:sz w:val="18"/>
              </w:rPr>
              <w:t> </w:t>
            </w:r>
            <w:r>
              <w:rPr>
                <w:sz w:val="18"/>
              </w:rPr>
              <w:t>re- gistro.</w:t>
            </w:r>
          </w:p>
        </w:tc>
        <w:tc>
          <w:tcPr>
            <w:tcW w:w="1661" w:type="dxa"/>
            <w:shd w:val="clear" w:color="auto" w:fill="CCCCCC"/>
          </w:tcPr>
          <w:p>
            <w:pPr>
              <w:pStyle w:val="TableParagraph"/>
              <w:spacing w:line="249" w:lineRule="auto" w:before="8"/>
              <w:ind w:left="102" w:right="94"/>
              <w:jc w:val="both"/>
              <w:rPr>
                <w:sz w:val="18"/>
              </w:rPr>
            </w:pPr>
            <w:r>
              <w:rPr>
                <w:sz w:val="18"/>
              </w:rPr>
              <w:t>Evaluación conti- nua</w:t>
            </w:r>
            <w:r>
              <w:rPr>
                <w:spacing w:val="-18"/>
                <w:sz w:val="18"/>
              </w:rPr>
              <w:t> </w:t>
            </w:r>
            <w:r>
              <w:rPr>
                <w:sz w:val="18"/>
              </w:rPr>
              <w:t>de</w:t>
            </w:r>
            <w:r>
              <w:rPr>
                <w:spacing w:val="-18"/>
                <w:sz w:val="18"/>
              </w:rPr>
              <w:t> </w:t>
            </w:r>
            <w:r>
              <w:rPr>
                <w:sz w:val="18"/>
              </w:rPr>
              <w:t>la</w:t>
            </w:r>
            <w:r>
              <w:rPr>
                <w:spacing w:val="-18"/>
                <w:sz w:val="18"/>
              </w:rPr>
              <w:t> </w:t>
            </w:r>
            <w:r>
              <w:rPr>
                <w:sz w:val="18"/>
              </w:rPr>
              <w:t>interacción </w:t>
            </w:r>
            <w:r>
              <w:rPr>
                <w:spacing w:val="7"/>
                <w:sz w:val="18"/>
              </w:rPr>
              <w:t>sociedad-gobierno </w:t>
            </w:r>
            <w:r>
              <w:rPr>
                <w:sz w:val="18"/>
              </w:rPr>
              <w:t>con operatividad ciudadana regional y/o sectorial muy controlada.</w:t>
            </w:r>
          </w:p>
        </w:tc>
        <w:tc>
          <w:tcPr>
            <w:tcW w:w="1599" w:type="dxa"/>
            <w:shd w:val="clear" w:color="auto" w:fill="CCCCCC"/>
          </w:tcPr>
          <w:p>
            <w:pPr>
              <w:pStyle w:val="TableParagraph"/>
              <w:spacing w:line="249" w:lineRule="auto" w:before="8"/>
              <w:ind w:left="102" w:right="101"/>
              <w:jc w:val="both"/>
              <w:rPr>
                <w:sz w:val="18"/>
              </w:rPr>
            </w:pPr>
            <w:r>
              <w:rPr>
                <w:sz w:val="18"/>
              </w:rPr>
              <w:t>Participación</w:t>
            </w:r>
            <w:r>
              <w:rPr>
                <w:spacing w:val="-25"/>
                <w:sz w:val="18"/>
              </w:rPr>
              <w:t> </w:t>
            </w:r>
            <w:r>
              <w:rPr>
                <w:spacing w:val="-2"/>
                <w:sz w:val="18"/>
              </w:rPr>
              <w:t>social </w:t>
            </w:r>
            <w:r>
              <w:rPr>
                <w:sz w:val="18"/>
              </w:rPr>
              <w:t>mediante meca- nismos indirectos de expresión (sin capacitación </w:t>
            </w:r>
            <w:r>
              <w:rPr>
                <w:spacing w:val="-2"/>
                <w:sz w:val="18"/>
              </w:rPr>
              <w:t>socio- </w:t>
            </w:r>
            <w:r>
              <w:rPr>
                <w:sz w:val="18"/>
              </w:rPr>
              <w:t>ética) en algunos temas</w:t>
            </w:r>
            <w:r>
              <w:rPr>
                <w:spacing w:val="-30"/>
                <w:sz w:val="18"/>
              </w:rPr>
              <w:t> </w:t>
            </w:r>
            <w:r>
              <w:rPr>
                <w:sz w:val="18"/>
              </w:rPr>
              <w:t>públicos.</w:t>
            </w:r>
          </w:p>
        </w:tc>
      </w:tr>
      <w:tr>
        <w:trPr>
          <w:trHeight w:val="1319" w:hRule="exact"/>
        </w:trPr>
        <w:tc>
          <w:tcPr>
            <w:tcW w:w="492" w:type="dxa"/>
          </w:tcPr>
          <w:p>
            <w:pPr>
              <w:pStyle w:val="TableParagraph"/>
              <w:spacing w:before="6"/>
              <w:ind w:left="195"/>
              <w:rPr>
                <w:b/>
                <w:sz w:val="18"/>
              </w:rPr>
            </w:pPr>
            <w:r>
              <w:rPr>
                <w:b/>
                <w:sz w:val="18"/>
              </w:rPr>
              <w:t>0</w:t>
            </w:r>
          </w:p>
        </w:tc>
        <w:tc>
          <w:tcPr>
            <w:tcW w:w="1764" w:type="dxa"/>
          </w:tcPr>
          <w:p>
            <w:pPr>
              <w:pStyle w:val="TableParagraph"/>
              <w:spacing w:line="249" w:lineRule="auto"/>
              <w:ind w:left="102"/>
              <w:rPr>
                <w:sz w:val="18"/>
              </w:rPr>
            </w:pPr>
            <w:r>
              <w:rPr>
                <w:sz w:val="18"/>
              </w:rPr>
              <w:t>Planeación guberna- mental exclusiva.</w:t>
            </w:r>
          </w:p>
        </w:tc>
        <w:tc>
          <w:tcPr>
            <w:tcW w:w="1570" w:type="dxa"/>
          </w:tcPr>
          <w:p>
            <w:pPr>
              <w:pStyle w:val="TableParagraph"/>
              <w:spacing w:line="249" w:lineRule="auto"/>
              <w:ind w:left="102" w:right="101"/>
              <w:jc w:val="both"/>
              <w:rPr>
                <w:sz w:val="18"/>
              </w:rPr>
            </w:pPr>
            <w:r>
              <w:rPr>
                <w:sz w:val="18"/>
              </w:rPr>
              <w:t>Existencia de le- gislación que omi- te la intervención social en la</w:t>
            </w:r>
            <w:r>
              <w:rPr>
                <w:spacing w:val="-33"/>
                <w:sz w:val="18"/>
              </w:rPr>
              <w:t> </w:t>
            </w:r>
            <w:r>
              <w:rPr>
                <w:sz w:val="18"/>
              </w:rPr>
              <w:t>planea- ción.</w:t>
            </w:r>
          </w:p>
        </w:tc>
        <w:tc>
          <w:tcPr>
            <w:tcW w:w="1661" w:type="dxa"/>
          </w:tcPr>
          <w:p>
            <w:pPr>
              <w:pStyle w:val="TableParagraph"/>
              <w:spacing w:line="249" w:lineRule="auto"/>
              <w:ind w:left="102" w:right="101"/>
              <w:jc w:val="both"/>
              <w:rPr>
                <w:sz w:val="18"/>
              </w:rPr>
            </w:pPr>
            <w:r>
              <w:rPr>
                <w:sz w:val="18"/>
              </w:rPr>
              <w:t>La evaluación de la participación ciu- dadana no es factor para la depuración de las políticas pú- blicas.</w:t>
            </w:r>
          </w:p>
        </w:tc>
        <w:tc>
          <w:tcPr>
            <w:tcW w:w="1599" w:type="dxa"/>
          </w:tcPr>
          <w:p>
            <w:pPr>
              <w:pStyle w:val="TableParagraph"/>
              <w:spacing w:line="249" w:lineRule="auto"/>
              <w:ind w:left="102" w:right="101"/>
              <w:jc w:val="both"/>
              <w:rPr>
                <w:sz w:val="18"/>
              </w:rPr>
            </w:pPr>
            <w:r>
              <w:rPr>
                <w:sz w:val="18"/>
              </w:rPr>
              <w:t>Omisión de la ex- presión ciudadana en el proceso de planeación.</w:t>
            </w:r>
          </w:p>
        </w:tc>
      </w:tr>
    </w:tbl>
    <w:p>
      <w:pPr>
        <w:pStyle w:val="BodyText"/>
        <w:spacing w:before="11"/>
        <w:rPr>
          <w:sz w:val="13"/>
        </w:rPr>
      </w:pPr>
    </w:p>
    <w:p>
      <w:pPr>
        <w:pStyle w:val="BodyText"/>
        <w:spacing w:before="70"/>
        <w:ind w:left="117" w:right="127"/>
        <w:jc w:val="both"/>
      </w:pPr>
      <w:r>
        <w:rPr/>
        <w:t>Según un estudio antecedente que analizó la </w:t>
      </w:r>
      <w:r>
        <w:rPr>
          <w:i/>
        </w:rPr>
        <w:t>planeación democrática </w:t>
      </w:r>
      <w:r>
        <w:rPr/>
        <w:t>en   una muestra de seis gobiernos estatales y sus principales ayuntamientos (Aguascalientes,</w:t>
      </w:r>
      <w:r>
        <w:rPr>
          <w:spacing w:val="-32"/>
        </w:rPr>
        <w:t> </w:t>
      </w:r>
      <w:r>
        <w:rPr/>
        <w:t>Baja</w:t>
      </w:r>
      <w:r>
        <w:rPr>
          <w:spacing w:val="-32"/>
        </w:rPr>
        <w:t> </w:t>
      </w:r>
      <w:r>
        <w:rPr/>
        <w:t>California,</w:t>
      </w:r>
      <w:r>
        <w:rPr>
          <w:spacing w:val="-32"/>
        </w:rPr>
        <w:t> </w:t>
      </w:r>
      <w:r>
        <w:rPr/>
        <w:t>Guanajuato,</w:t>
      </w:r>
      <w:r>
        <w:rPr>
          <w:spacing w:val="-31"/>
        </w:rPr>
        <w:t> </w:t>
      </w:r>
      <w:r>
        <w:rPr/>
        <w:t>Jalisco,</w:t>
      </w:r>
      <w:r>
        <w:rPr>
          <w:spacing w:val="-31"/>
        </w:rPr>
        <w:t> </w:t>
      </w:r>
      <w:r>
        <w:rPr/>
        <w:t>Morelos</w:t>
      </w:r>
      <w:r>
        <w:rPr>
          <w:spacing w:val="-31"/>
        </w:rPr>
        <w:t> </w:t>
      </w:r>
      <w:r>
        <w:rPr/>
        <w:t>y</w:t>
      </w:r>
      <w:r>
        <w:rPr>
          <w:spacing w:val="-32"/>
        </w:rPr>
        <w:t> </w:t>
      </w:r>
      <w:r>
        <w:rPr/>
        <w:t>Querétaro)</w:t>
      </w:r>
      <w:r>
        <w:rPr>
          <w:position w:val="8"/>
          <w:sz w:val="13"/>
        </w:rPr>
        <w:t>243</w:t>
      </w:r>
      <w:r>
        <w:rPr/>
        <w:t>, el</w:t>
      </w:r>
      <w:r>
        <w:rPr>
          <w:spacing w:val="-10"/>
        </w:rPr>
        <w:t> </w:t>
      </w:r>
      <w:r>
        <w:rPr/>
        <w:t>contraste</w:t>
      </w:r>
      <w:r>
        <w:rPr>
          <w:spacing w:val="-11"/>
        </w:rPr>
        <w:t> </w:t>
      </w:r>
      <w:r>
        <w:rPr/>
        <w:t>con</w:t>
      </w:r>
      <w:r>
        <w:rPr>
          <w:spacing w:val="-11"/>
        </w:rPr>
        <w:t> </w:t>
      </w:r>
      <w:r>
        <w:rPr/>
        <w:t>los</w:t>
      </w:r>
      <w:r>
        <w:rPr>
          <w:spacing w:val="-11"/>
        </w:rPr>
        <w:t> </w:t>
      </w:r>
      <w:r>
        <w:rPr/>
        <w:t>elementos</w:t>
      </w:r>
      <w:r>
        <w:rPr>
          <w:spacing w:val="-11"/>
        </w:rPr>
        <w:t> </w:t>
      </w:r>
      <w:r>
        <w:rPr/>
        <w:t>subsidiarios</w:t>
      </w:r>
      <w:r>
        <w:rPr>
          <w:spacing w:val="-10"/>
        </w:rPr>
        <w:t> </w:t>
      </w:r>
      <w:r>
        <w:rPr/>
        <w:t>en</w:t>
      </w:r>
      <w:r>
        <w:rPr>
          <w:spacing w:val="-10"/>
        </w:rPr>
        <w:t> </w:t>
      </w:r>
      <w:r>
        <w:rPr/>
        <w:t>esos</w:t>
      </w:r>
      <w:r>
        <w:rPr>
          <w:spacing w:val="-11"/>
        </w:rPr>
        <w:t> </w:t>
      </w:r>
      <w:r>
        <w:rPr/>
        <w:t>casos</w:t>
      </w:r>
      <w:r>
        <w:rPr>
          <w:spacing w:val="-11"/>
        </w:rPr>
        <w:t> </w:t>
      </w:r>
      <w:r>
        <w:rPr/>
        <w:t>alcanzó</w:t>
      </w:r>
      <w:r>
        <w:rPr>
          <w:spacing w:val="-11"/>
        </w:rPr>
        <w:t> </w:t>
      </w:r>
      <w:r>
        <w:rPr/>
        <w:t>un</w:t>
      </w:r>
      <w:r>
        <w:rPr>
          <w:spacing w:val="-10"/>
        </w:rPr>
        <w:t> </w:t>
      </w:r>
      <w:r>
        <w:rPr/>
        <w:t>promedio general de 3.24 de acuerdo a las siguientes</w:t>
      </w:r>
      <w:r>
        <w:rPr>
          <w:spacing w:val="-11"/>
        </w:rPr>
        <w:t> </w:t>
      </w:r>
      <w:r>
        <w:rPr/>
        <w:t>características:</w:t>
      </w:r>
    </w:p>
    <w:p>
      <w:pPr>
        <w:pStyle w:val="BodyText"/>
        <w:spacing w:before="3"/>
      </w:pPr>
    </w:p>
    <w:p>
      <w:pPr>
        <w:pStyle w:val="ListParagraph"/>
        <w:numPr>
          <w:ilvl w:val="1"/>
          <w:numId w:val="17"/>
        </w:numPr>
        <w:tabs>
          <w:tab w:pos="685" w:val="left" w:leader="none"/>
        </w:tabs>
        <w:spacing w:line="240" w:lineRule="auto" w:before="0" w:after="0"/>
        <w:ind w:left="684" w:right="127" w:hanging="284"/>
        <w:jc w:val="both"/>
        <w:rPr>
          <w:sz w:val="23"/>
        </w:rPr>
      </w:pPr>
      <w:r>
        <w:rPr>
          <w:sz w:val="23"/>
        </w:rPr>
        <w:t>Con respecto a la </w:t>
      </w:r>
      <w:r>
        <w:rPr>
          <w:i/>
          <w:sz w:val="23"/>
        </w:rPr>
        <w:t>capacidad sociedad-gobierno de asociación </w:t>
      </w:r>
      <w:r>
        <w:rPr>
          <w:i/>
          <w:sz w:val="23"/>
        </w:rPr>
        <w:t>estratégica</w:t>
      </w:r>
      <w:r>
        <w:rPr>
          <w:sz w:val="23"/>
        </w:rPr>
        <w:t>, elemento impulsor de que la planeación estratégica sea efectivamente ejercida por la sociedad organizada en concurrencia con su</w:t>
      </w:r>
      <w:r>
        <w:rPr>
          <w:spacing w:val="-9"/>
          <w:sz w:val="23"/>
        </w:rPr>
        <w:t> </w:t>
      </w:r>
      <w:r>
        <w:rPr>
          <w:sz w:val="23"/>
        </w:rPr>
        <w:t>gobierno,</w:t>
      </w:r>
      <w:r>
        <w:rPr>
          <w:spacing w:val="-9"/>
          <w:sz w:val="23"/>
        </w:rPr>
        <w:t> </w:t>
      </w:r>
      <w:r>
        <w:rPr>
          <w:sz w:val="23"/>
        </w:rPr>
        <w:t>las</w:t>
      </w:r>
      <w:r>
        <w:rPr>
          <w:spacing w:val="-9"/>
          <w:sz w:val="23"/>
        </w:rPr>
        <w:t> </w:t>
      </w:r>
      <w:r>
        <w:rPr>
          <w:sz w:val="23"/>
        </w:rPr>
        <w:t>posiciones</w:t>
      </w:r>
      <w:r>
        <w:rPr>
          <w:spacing w:val="-9"/>
          <w:sz w:val="23"/>
        </w:rPr>
        <w:t> </w:t>
      </w:r>
      <w:r>
        <w:rPr>
          <w:sz w:val="23"/>
        </w:rPr>
        <w:t>en</w:t>
      </w:r>
      <w:r>
        <w:rPr>
          <w:spacing w:val="-9"/>
          <w:sz w:val="23"/>
        </w:rPr>
        <w:t> </w:t>
      </w:r>
      <w:r>
        <w:rPr>
          <w:sz w:val="23"/>
        </w:rPr>
        <w:t>cada</w:t>
      </w:r>
      <w:r>
        <w:rPr>
          <w:spacing w:val="-9"/>
          <w:sz w:val="23"/>
        </w:rPr>
        <w:t> </w:t>
      </w:r>
      <w:r>
        <w:rPr>
          <w:sz w:val="23"/>
        </w:rPr>
        <w:t>caso</w:t>
      </w:r>
      <w:r>
        <w:rPr>
          <w:spacing w:val="-9"/>
          <w:sz w:val="23"/>
        </w:rPr>
        <w:t> </w:t>
      </w:r>
      <w:r>
        <w:rPr>
          <w:sz w:val="23"/>
        </w:rPr>
        <w:t>de</w:t>
      </w:r>
      <w:r>
        <w:rPr>
          <w:spacing w:val="-9"/>
          <w:sz w:val="23"/>
        </w:rPr>
        <w:t> </w:t>
      </w:r>
      <w:r>
        <w:rPr>
          <w:sz w:val="23"/>
        </w:rPr>
        <w:t>la</w:t>
      </w:r>
      <w:r>
        <w:rPr>
          <w:spacing w:val="-9"/>
          <w:sz w:val="23"/>
        </w:rPr>
        <w:t> </w:t>
      </w:r>
      <w:r>
        <w:rPr>
          <w:sz w:val="23"/>
        </w:rPr>
        <w:t>muestra</w:t>
      </w:r>
      <w:r>
        <w:rPr>
          <w:spacing w:val="-9"/>
          <w:sz w:val="23"/>
        </w:rPr>
        <w:t> </w:t>
      </w:r>
      <w:r>
        <w:rPr>
          <w:sz w:val="23"/>
        </w:rPr>
        <w:t>se</w:t>
      </w:r>
      <w:r>
        <w:rPr>
          <w:spacing w:val="-9"/>
          <w:sz w:val="23"/>
        </w:rPr>
        <w:t> </w:t>
      </w:r>
      <w:r>
        <w:rPr>
          <w:sz w:val="23"/>
        </w:rPr>
        <w:t>ubicaron</w:t>
      </w:r>
      <w:r>
        <w:rPr>
          <w:spacing w:val="-9"/>
          <w:sz w:val="23"/>
        </w:rPr>
        <w:t> </w:t>
      </w:r>
      <w:r>
        <w:rPr>
          <w:sz w:val="23"/>
        </w:rPr>
        <w:t>entre un</w:t>
      </w:r>
      <w:r>
        <w:rPr>
          <w:spacing w:val="-17"/>
          <w:sz w:val="23"/>
        </w:rPr>
        <w:t> </w:t>
      </w:r>
      <w:r>
        <w:rPr>
          <w:sz w:val="23"/>
        </w:rPr>
        <w:t>nivel</w:t>
      </w:r>
      <w:r>
        <w:rPr>
          <w:spacing w:val="-17"/>
          <w:sz w:val="23"/>
        </w:rPr>
        <w:t> </w:t>
      </w:r>
      <w:r>
        <w:rPr>
          <w:sz w:val="23"/>
        </w:rPr>
        <w:t>muy</w:t>
      </w:r>
      <w:r>
        <w:rPr>
          <w:spacing w:val="-17"/>
          <w:sz w:val="23"/>
        </w:rPr>
        <w:t> </w:t>
      </w:r>
      <w:r>
        <w:rPr>
          <w:sz w:val="23"/>
        </w:rPr>
        <w:t>alejado</w:t>
      </w:r>
      <w:r>
        <w:rPr>
          <w:spacing w:val="-17"/>
          <w:sz w:val="23"/>
        </w:rPr>
        <w:t> </w:t>
      </w:r>
      <w:r>
        <w:rPr>
          <w:sz w:val="23"/>
        </w:rPr>
        <w:t>hasta</w:t>
      </w:r>
      <w:r>
        <w:rPr>
          <w:spacing w:val="-17"/>
          <w:sz w:val="23"/>
        </w:rPr>
        <w:t> </w:t>
      </w:r>
      <w:r>
        <w:rPr>
          <w:sz w:val="23"/>
        </w:rPr>
        <w:t>otro</w:t>
      </w:r>
      <w:r>
        <w:rPr>
          <w:spacing w:val="-17"/>
          <w:sz w:val="23"/>
        </w:rPr>
        <w:t> </w:t>
      </w:r>
      <w:r>
        <w:rPr>
          <w:sz w:val="23"/>
        </w:rPr>
        <w:t>de</w:t>
      </w:r>
      <w:r>
        <w:rPr>
          <w:spacing w:val="-17"/>
          <w:sz w:val="23"/>
        </w:rPr>
        <w:t> </w:t>
      </w:r>
      <w:r>
        <w:rPr>
          <w:sz w:val="23"/>
        </w:rPr>
        <w:t>cumplimiento</w:t>
      </w:r>
      <w:r>
        <w:rPr>
          <w:spacing w:val="-18"/>
          <w:sz w:val="23"/>
        </w:rPr>
        <w:t> </w:t>
      </w:r>
      <w:r>
        <w:rPr>
          <w:sz w:val="23"/>
        </w:rPr>
        <w:t>mínimo</w:t>
      </w:r>
      <w:r>
        <w:rPr>
          <w:spacing w:val="-17"/>
          <w:sz w:val="23"/>
        </w:rPr>
        <w:t> </w:t>
      </w:r>
      <w:r>
        <w:rPr>
          <w:sz w:val="23"/>
        </w:rPr>
        <w:t>para</w:t>
      </w:r>
      <w:r>
        <w:rPr>
          <w:spacing w:val="-17"/>
          <w:sz w:val="23"/>
        </w:rPr>
        <w:t> </w:t>
      </w:r>
      <w:r>
        <w:rPr>
          <w:sz w:val="23"/>
        </w:rPr>
        <w:t>el</w:t>
      </w:r>
      <w:r>
        <w:rPr>
          <w:spacing w:val="-17"/>
          <w:sz w:val="23"/>
        </w:rPr>
        <w:t> </w:t>
      </w:r>
      <w:r>
        <w:rPr>
          <w:sz w:val="23"/>
        </w:rPr>
        <w:t>modelo subsidiario. Como ejemplo de éste último, el Estado de Querétaro ha impulsado una asociación estratégica continua de asesorías ciudadanas en el proceso de </w:t>
      </w:r>
      <w:r>
        <w:rPr>
          <w:i/>
          <w:sz w:val="23"/>
        </w:rPr>
        <w:t>planeación democrática</w:t>
      </w:r>
      <w:r>
        <w:rPr>
          <w:sz w:val="23"/>
        </w:rPr>
        <w:t>, con logros mínimos y oficialmente</w:t>
      </w:r>
      <w:r>
        <w:rPr>
          <w:spacing w:val="-7"/>
          <w:sz w:val="23"/>
        </w:rPr>
        <w:t> </w:t>
      </w:r>
      <w:r>
        <w:rPr>
          <w:sz w:val="23"/>
        </w:rPr>
        <w:t>controlados.</w:t>
      </w:r>
      <w:r>
        <w:rPr>
          <w:spacing w:val="-7"/>
          <w:sz w:val="23"/>
        </w:rPr>
        <w:t> </w:t>
      </w:r>
      <w:r>
        <w:rPr>
          <w:sz w:val="23"/>
        </w:rPr>
        <w:t>En</w:t>
      </w:r>
      <w:r>
        <w:rPr>
          <w:spacing w:val="-7"/>
          <w:sz w:val="23"/>
        </w:rPr>
        <w:t> </w:t>
      </w:r>
      <w:r>
        <w:rPr>
          <w:sz w:val="23"/>
        </w:rPr>
        <w:t>el</w:t>
      </w:r>
      <w:r>
        <w:rPr>
          <w:spacing w:val="-7"/>
          <w:sz w:val="23"/>
        </w:rPr>
        <w:t> </w:t>
      </w:r>
      <w:r>
        <w:rPr>
          <w:sz w:val="23"/>
        </w:rPr>
        <w:t>ámbito</w:t>
      </w:r>
      <w:r>
        <w:rPr>
          <w:spacing w:val="-7"/>
          <w:sz w:val="23"/>
        </w:rPr>
        <w:t> </w:t>
      </w:r>
      <w:r>
        <w:rPr>
          <w:sz w:val="23"/>
        </w:rPr>
        <w:t>municipal</w:t>
      </w:r>
      <w:r>
        <w:rPr>
          <w:spacing w:val="-7"/>
          <w:sz w:val="23"/>
        </w:rPr>
        <w:t> </w:t>
      </w:r>
      <w:r>
        <w:rPr>
          <w:sz w:val="23"/>
        </w:rPr>
        <w:t>de</w:t>
      </w:r>
      <w:r>
        <w:rPr>
          <w:spacing w:val="-7"/>
          <w:sz w:val="23"/>
        </w:rPr>
        <w:t> </w:t>
      </w:r>
      <w:r>
        <w:rPr>
          <w:sz w:val="23"/>
        </w:rPr>
        <w:t>gobierno,</w:t>
      </w:r>
      <w:r>
        <w:rPr>
          <w:spacing w:val="-7"/>
          <w:sz w:val="23"/>
        </w:rPr>
        <w:t> </w:t>
      </w:r>
      <w:r>
        <w:rPr>
          <w:sz w:val="23"/>
        </w:rPr>
        <w:t>el</w:t>
      </w:r>
      <w:r>
        <w:rPr>
          <w:spacing w:val="-7"/>
          <w:sz w:val="23"/>
        </w:rPr>
        <w:t> </w:t>
      </w:r>
      <w:r>
        <w:rPr>
          <w:sz w:val="23"/>
        </w:rPr>
        <w:t>mejor ejemplo alcanza una mayor cercanía con respecto al ideal subsidiario, el Municipio  de León cuenta con un trabajo organizado en   </w:t>
      </w:r>
      <w:r>
        <w:rPr>
          <w:spacing w:val="53"/>
          <w:sz w:val="23"/>
        </w:rPr>
        <w:t> </w:t>
      </w:r>
      <w:r>
        <w:rPr>
          <w:sz w:val="23"/>
        </w:rPr>
        <w:t>periodos</w:t>
      </w:r>
    </w:p>
    <w:p>
      <w:pPr>
        <w:pStyle w:val="BodyText"/>
        <w:spacing w:before="1"/>
        <w:rPr>
          <w:sz w:val="10"/>
        </w:rPr>
      </w:pPr>
      <w:r>
        <w:rPr/>
        <w:pict>
          <v:line style="position:absolute;mso-position-horizontal-relative:page;mso-position-vertical-relative:paragraph;z-index:5800;mso-wrap-distance-left:0;mso-wrap-distance-right:0" from="70.866096pt,8.262451pt" to="142.866096pt,8.262451pt" stroked="true" strokeweight="1pt" strokecolor="#000000">
            <w10:wrap type="topAndBottom"/>
          </v:line>
        </w:pict>
      </w:r>
    </w:p>
    <w:p>
      <w:pPr>
        <w:spacing w:line="249" w:lineRule="auto" w:before="28"/>
        <w:ind w:left="400" w:right="153" w:hanging="284"/>
        <w:jc w:val="left"/>
        <w:rPr>
          <w:sz w:val="18"/>
        </w:rPr>
      </w:pPr>
      <w:r>
        <w:rPr>
          <w:position w:val="7"/>
          <w:sz w:val="11"/>
        </w:rPr>
        <w:t>243 </w:t>
      </w:r>
      <w:r>
        <w:rPr>
          <w:sz w:val="18"/>
        </w:rPr>
        <w:t>Los resultados de la investigación anterior pueden consultarse en: Mendoza Ruiz, Joel; </w:t>
      </w:r>
      <w:r>
        <w:rPr>
          <w:i/>
          <w:sz w:val="18"/>
        </w:rPr>
        <w:t>Op. </w:t>
      </w:r>
      <w:r>
        <w:rPr>
          <w:i/>
          <w:sz w:val="18"/>
        </w:rPr>
        <w:t>Cit.</w:t>
      </w:r>
      <w:r>
        <w:rPr>
          <w:sz w:val="18"/>
        </w:rPr>
        <w:t>, pp. 231-233.</w:t>
      </w:r>
    </w:p>
    <w:p>
      <w:pPr>
        <w:spacing w:after="0" w:line="249" w:lineRule="auto"/>
        <w:jc w:val="left"/>
        <w:rPr>
          <w:sz w:val="18"/>
        </w:rPr>
        <w:sectPr>
          <w:pgSz w:w="9360" w:h="13040"/>
          <w:pgMar w:header="547" w:footer="514" w:top="940" w:bottom="700" w:left="1300" w:right="720"/>
        </w:sectPr>
      </w:pPr>
    </w:p>
    <w:p>
      <w:pPr>
        <w:pStyle w:val="BodyText"/>
        <w:rPr>
          <w:sz w:val="20"/>
        </w:rPr>
      </w:pPr>
    </w:p>
    <w:p>
      <w:pPr>
        <w:pStyle w:val="BodyText"/>
        <w:spacing w:before="1"/>
        <w:rPr>
          <w:sz w:val="29"/>
        </w:rPr>
      </w:pPr>
    </w:p>
    <w:p>
      <w:pPr>
        <w:pStyle w:val="BodyText"/>
        <w:spacing w:line="260" w:lineRule="exact" w:before="77"/>
        <w:ind w:left="677" w:right="115"/>
        <w:jc w:val="both"/>
      </w:pPr>
      <w:r>
        <w:rPr/>
        <w:t>continuos de recepción, priorización y evaluación de las propuestas; cuya única observación es no haber cedido a la sociedad las funciones organizativas para aspirar a un proceso 100% ciudadanizado.</w:t>
      </w:r>
    </w:p>
    <w:p>
      <w:pPr>
        <w:pStyle w:val="BodyText"/>
        <w:spacing w:before="7"/>
        <w:rPr>
          <w:sz w:val="22"/>
        </w:rPr>
      </w:pPr>
    </w:p>
    <w:p>
      <w:pPr>
        <w:pStyle w:val="ListParagraph"/>
        <w:numPr>
          <w:ilvl w:val="1"/>
          <w:numId w:val="17"/>
        </w:numPr>
        <w:tabs>
          <w:tab w:pos="678" w:val="left" w:leader="none"/>
        </w:tabs>
        <w:spacing w:line="260" w:lineRule="exact" w:before="0" w:after="0"/>
        <w:ind w:left="677" w:right="114" w:hanging="284"/>
        <w:jc w:val="both"/>
        <w:rPr>
          <w:sz w:val="23"/>
        </w:rPr>
      </w:pPr>
      <w:r>
        <w:rPr>
          <w:sz w:val="23"/>
        </w:rPr>
        <w:t>Con relación a la </w:t>
      </w:r>
      <w:r>
        <w:rPr>
          <w:i/>
          <w:sz w:val="23"/>
        </w:rPr>
        <w:t>restricción competencial de las formaciones sociales </w:t>
      </w:r>
      <w:r>
        <w:rPr>
          <w:i/>
          <w:sz w:val="23"/>
        </w:rPr>
        <w:t>más</w:t>
      </w:r>
      <w:r>
        <w:rPr>
          <w:i/>
          <w:spacing w:val="-7"/>
          <w:sz w:val="23"/>
        </w:rPr>
        <w:t> </w:t>
      </w:r>
      <w:r>
        <w:rPr>
          <w:i/>
          <w:sz w:val="23"/>
        </w:rPr>
        <w:t>complejas</w:t>
      </w:r>
      <w:r>
        <w:rPr>
          <w:sz w:val="23"/>
        </w:rPr>
        <w:t>,</w:t>
      </w:r>
      <w:r>
        <w:rPr>
          <w:spacing w:val="-7"/>
          <w:sz w:val="23"/>
        </w:rPr>
        <w:t> </w:t>
      </w:r>
      <w:r>
        <w:rPr>
          <w:sz w:val="23"/>
        </w:rPr>
        <w:t>garante</w:t>
      </w:r>
      <w:r>
        <w:rPr>
          <w:spacing w:val="-7"/>
          <w:sz w:val="23"/>
        </w:rPr>
        <w:t> </w:t>
      </w:r>
      <w:r>
        <w:rPr>
          <w:sz w:val="23"/>
        </w:rPr>
        <w:t>de</w:t>
      </w:r>
      <w:r>
        <w:rPr>
          <w:spacing w:val="-7"/>
          <w:sz w:val="23"/>
        </w:rPr>
        <w:t> </w:t>
      </w:r>
      <w:r>
        <w:rPr>
          <w:sz w:val="23"/>
        </w:rPr>
        <w:t>que</w:t>
      </w:r>
      <w:r>
        <w:rPr>
          <w:spacing w:val="-7"/>
          <w:sz w:val="23"/>
        </w:rPr>
        <w:t> </w:t>
      </w:r>
      <w:r>
        <w:rPr>
          <w:sz w:val="23"/>
        </w:rPr>
        <w:t>las</w:t>
      </w:r>
      <w:r>
        <w:rPr>
          <w:spacing w:val="-7"/>
          <w:sz w:val="23"/>
        </w:rPr>
        <w:t> </w:t>
      </w:r>
      <w:r>
        <w:rPr>
          <w:sz w:val="23"/>
        </w:rPr>
        <w:t>instituciones</w:t>
      </w:r>
      <w:r>
        <w:rPr>
          <w:spacing w:val="-7"/>
          <w:sz w:val="23"/>
        </w:rPr>
        <w:t> </w:t>
      </w:r>
      <w:r>
        <w:rPr>
          <w:sz w:val="23"/>
        </w:rPr>
        <w:t>estatales</w:t>
      </w:r>
      <w:r>
        <w:rPr>
          <w:spacing w:val="-7"/>
          <w:sz w:val="23"/>
        </w:rPr>
        <w:t> </w:t>
      </w:r>
      <w:r>
        <w:rPr>
          <w:sz w:val="23"/>
        </w:rPr>
        <w:t>no</w:t>
      </w:r>
      <w:r>
        <w:rPr>
          <w:spacing w:val="-7"/>
          <w:sz w:val="23"/>
        </w:rPr>
        <w:t> </w:t>
      </w:r>
      <w:r>
        <w:rPr>
          <w:sz w:val="23"/>
        </w:rPr>
        <w:t>ejecuten</w:t>
      </w:r>
      <w:r>
        <w:rPr>
          <w:spacing w:val="-7"/>
          <w:sz w:val="23"/>
        </w:rPr>
        <w:t> </w:t>
      </w:r>
      <w:r>
        <w:rPr>
          <w:sz w:val="23"/>
        </w:rPr>
        <w:t>en forma exclusiva el proceso de planeación, las legislaciones estatales de la materia resultan relativamente afines con la proyección subsidiaria, lo cual revela una asignación de competencias que incongruente con las prácticas asociativas descrita en el numeral anterior. Los rasgos comunes</w:t>
      </w:r>
      <w:r>
        <w:rPr>
          <w:spacing w:val="-22"/>
          <w:sz w:val="23"/>
        </w:rPr>
        <w:t> </w:t>
      </w:r>
      <w:r>
        <w:rPr>
          <w:sz w:val="23"/>
        </w:rPr>
        <w:t>de</w:t>
      </w:r>
      <w:r>
        <w:rPr>
          <w:spacing w:val="-22"/>
          <w:sz w:val="23"/>
        </w:rPr>
        <w:t> </w:t>
      </w:r>
      <w:r>
        <w:rPr>
          <w:sz w:val="23"/>
        </w:rPr>
        <w:t>las</w:t>
      </w:r>
      <w:r>
        <w:rPr>
          <w:spacing w:val="-22"/>
          <w:sz w:val="23"/>
        </w:rPr>
        <w:t> </w:t>
      </w:r>
      <w:r>
        <w:rPr>
          <w:sz w:val="23"/>
        </w:rPr>
        <w:t>leyes</w:t>
      </w:r>
      <w:r>
        <w:rPr>
          <w:spacing w:val="-22"/>
          <w:sz w:val="23"/>
        </w:rPr>
        <w:t> </w:t>
      </w:r>
      <w:r>
        <w:rPr>
          <w:sz w:val="23"/>
        </w:rPr>
        <w:t>estatales</w:t>
      </w:r>
      <w:r>
        <w:rPr>
          <w:spacing w:val="-23"/>
          <w:sz w:val="23"/>
        </w:rPr>
        <w:t> </w:t>
      </w:r>
      <w:r>
        <w:rPr>
          <w:sz w:val="23"/>
        </w:rPr>
        <w:t>de</w:t>
      </w:r>
      <w:r>
        <w:rPr>
          <w:spacing w:val="-23"/>
          <w:sz w:val="23"/>
        </w:rPr>
        <w:t> </w:t>
      </w:r>
      <w:r>
        <w:rPr>
          <w:sz w:val="23"/>
        </w:rPr>
        <w:t>planeación</w:t>
      </w:r>
      <w:r>
        <w:rPr>
          <w:spacing w:val="-23"/>
          <w:sz w:val="23"/>
        </w:rPr>
        <w:t> </w:t>
      </w:r>
      <w:r>
        <w:rPr>
          <w:sz w:val="23"/>
        </w:rPr>
        <w:t>se</w:t>
      </w:r>
      <w:r>
        <w:rPr>
          <w:spacing w:val="-23"/>
          <w:sz w:val="23"/>
        </w:rPr>
        <w:t> </w:t>
      </w:r>
      <w:r>
        <w:rPr>
          <w:sz w:val="23"/>
        </w:rPr>
        <w:t>refieren</w:t>
      </w:r>
      <w:r>
        <w:rPr>
          <w:spacing w:val="-23"/>
          <w:sz w:val="23"/>
        </w:rPr>
        <w:t> </w:t>
      </w:r>
      <w:r>
        <w:rPr>
          <w:sz w:val="23"/>
        </w:rPr>
        <w:t>a</w:t>
      </w:r>
      <w:r>
        <w:rPr>
          <w:spacing w:val="-23"/>
          <w:sz w:val="23"/>
        </w:rPr>
        <w:t> </w:t>
      </w:r>
      <w:r>
        <w:rPr>
          <w:sz w:val="23"/>
        </w:rPr>
        <w:t>la</w:t>
      </w:r>
      <w:r>
        <w:rPr>
          <w:spacing w:val="-23"/>
          <w:sz w:val="23"/>
        </w:rPr>
        <w:t> </w:t>
      </w:r>
      <w:r>
        <w:rPr>
          <w:sz w:val="23"/>
        </w:rPr>
        <w:t>participación controlada de representantes ciudadanos según dos escenarios: los subcomités</w:t>
      </w:r>
      <w:r>
        <w:rPr>
          <w:spacing w:val="-14"/>
          <w:sz w:val="23"/>
        </w:rPr>
        <w:t> </w:t>
      </w:r>
      <w:r>
        <w:rPr>
          <w:sz w:val="23"/>
        </w:rPr>
        <w:t>temáticos</w:t>
      </w:r>
      <w:r>
        <w:rPr>
          <w:spacing w:val="-15"/>
          <w:sz w:val="23"/>
        </w:rPr>
        <w:t> </w:t>
      </w:r>
      <w:r>
        <w:rPr>
          <w:sz w:val="23"/>
        </w:rPr>
        <w:t>o</w:t>
      </w:r>
      <w:r>
        <w:rPr>
          <w:spacing w:val="-15"/>
          <w:sz w:val="23"/>
        </w:rPr>
        <w:t> </w:t>
      </w:r>
      <w:r>
        <w:rPr>
          <w:sz w:val="23"/>
        </w:rPr>
        <w:t>regionales</w:t>
      </w:r>
      <w:r>
        <w:rPr>
          <w:spacing w:val="-15"/>
          <w:sz w:val="23"/>
        </w:rPr>
        <w:t> </w:t>
      </w:r>
      <w:r>
        <w:rPr>
          <w:sz w:val="23"/>
        </w:rPr>
        <w:t>y</w:t>
      </w:r>
      <w:r>
        <w:rPr>
          <w:spacing w:val="-15"/>
          <w:sz w:val="23"/>
        </w:rPr>
        <w:t> </w:t>
      </w:r>
      <w:r>
        <w:rPr>
          <w:sz w:val="23"/>
        </w:rPr>
        <w:t>la</w:t>
      </w:r>
      <w:r>
        <w:rPr>
          <w:spacing w:val="-15"/>
          <w:sz w:val="23"/>
        </w:rPr>
        <w:t> </w:t>
      </w:r>
      <w:r>
        <w:rPr>
          <w:sz w:val="23"/>
        </w:rPr>
        <w:t>asamblea</w:t>
      </w:r>
      <w:r>
        <w:rPr>
          <w:spacing w:val="-16"/>
          <w:sz w:val="23"/>
        </w:rPr>
        <w:t> </w:t>
      </w:r>
      <w:r>
        <w:rPr>
          <w:sz w:val="23"/>
        </w:rPr>
        <w:t>plenaria</w:t>
      </w:r>
      <w:r>
        <w:rPr>
          <w:spacing w:val="-15"/>
          <w:sz w:val="23"/>
        </w:rPr>
        <w:t> </w:t>
      </w:r>
      <w:r>
        <w:rPr>
          <w:sz w:val="23"/>
        </w:rPr>
        <w:t>de</w:t>
      </w:r>
      <w:r>
        <w:rPr>
          <w:spacing w:val="-15"/>
          <w:sz w:val="23"/>
        </w:rPr>
        <w:t> </w:t>
      </w:r>
      <w:r>
        <w:rPr>
          <w:sz w:val="23"/>
        </w:rPr>
        <w:t>la</w:t>
      </w:r>
      <w:r>
        <w:rPr>
          <w:spacing w:val="-15"/>
          <w:sz w:val="23"/>
        </w:rPr>
        <w:t> </w:t>
      </w:r>
      <w:r>
        <w:rPr>
          <w:sz w:val="23"/>
        </w:rPr>
        <w:t>comisión o</w:t>
      </w:r>
      <w:r>
        <w:rPr>
          <w:spacing w:val="-5"/>
          <w:sz w:val="23"/>
        </w:rPr>
        <w:t> </w:t>
      </w:r>
      <w:r>
        <w:rPr>
          <w:sz w:val="23"/>
        </w:rPr>
        <w:t>Comité</w:t>
      </w:r>
      <w:r>
        <w:rPr>
          <w:spacing w:val="-5"/>
          <w:sz w:val="23"/>
        </w:rPr>
        <w:t> </w:t>
      </w:r>
      <w:r>
        <w:rPr>
          <w:sz w:val="23"/>
        </w:rPr>
        <w:t>de</w:t>
      </w:r>
      <w:r>
        <w:rPr>
          <w:spacing w:val="-5"/>
          <w:sz w:val="23"/>
        </w:rPr>
        <w:t> </w:t>
      </w:r>
      <w:r>
        <w:rPr>
          <w:sz w:val="23"/>
        </w:rPr>
        <w:t>Planeación</w:t>
      </w:r>
      <w:r>
        <w:rPr>
          <w:spacing w:val="-5"/>
          <w:sz w:val="23"/>
        </w:rPr>
        <w:t> </w:t>
      </w:r>
      <w:r>
        <w:rPr>
          <w:sz w:val="23"/>
        </w:rPr>
        <w:t>para</w:t>
      </w:r>
      <w:r>
        <w:rPr>
          <w:spacing w:val="-5"/>
          <w:sz w:val="23"/>
        </w:rPr>
        <w:t> </w:t>
      </w:r>
      <w:r>
        <w:rPr>
          <w:sz w:val="23"/>
        </w:rPr>
        <w:t>el</w:t>
      </w:r>
      <w:r>
        <w:rPr>
          <w:spacing w:val="-5"/>
          <w:sz w:val="23"/>
        </w:rPr>
        <w:t> </w:t>
      </w:r>
      <w:r>
        <w:rPr>
          <w:sz w:val="23"/>
        </w:rPr>
        <w:t>Desarrollo</w:t>
      </w:r>
      <w:r>
        <w:rPr>
          <w:spacing w:val="-4"/>
          <w:sz w:val="23"/>
        </w:rPr>
        <w:t> </w:t>
      </w:r>
      <w:r>
        <w:rPr>
          <w:sz w:val="23"/>
        </w:rPr>
        <w:t>del</w:t>
      </w:r>
      <w:r>
        <w:rPr>
          <w:spacing w:val="-5"/>
          <w:sz w:val="23"/>
        </w:rPr>
        <w:t> </w:t>
      </w:r>
      <w:r>
        <w:rPr>
          <w:sz w:val="23"/>
        </w:rPr>
        <w:t>Estado</w:t>
      </w:r>
      <w:r>
        <w:rPr>
          <w:spacing w:val="-6"/>
          <w:sz w:val="23"/>
        </w:rPr>
        <w:t> </w:t>
      </w:r>
      <w:r>
        <w:rPr>
          <w:sz w:val="23"/>
        </w:rPr>
        <w:t>(COPLADE).</w:t>
      </w:r>
      <w:r>
        <w:rPr>
          <w:spacing w:val="-5"/>
          <w:sz w:val="23"/>
        </w:rPr>
        <w:t> </w:t>
      </w:r>
      <w:r>
        <w:rPr>
          <w:sz w:val="23"/>
        </w:rPr>
        <w:t>La reglamentación municipal generalmente es</w:t>
      </w:r>
      <w:r>
        <w:rPr>
          <w:spacing w:val="-2"/>
          <w:sz w:val="23"/>
        </w:rPr>
        <w:t> </w:t>
      </w:r>
      <w:r>
        <w:rPr>
          <w:sz w:val="23"/>
        </w:rPr>
        <w:t>afín.</w:t>
      </w:r>
    </w:p>
    <w:p>
      <w:pPr>
        <w:pStyle w:val="BodyText"/>
        <w:spacing w:before="7"/>
        <w:rPr>
          <w:sz w:val="22"/>
        </w:rPr>
      </w:pPr>
    </w:p>
    <w:p>
      <w:pPr>
        <w:pStyle w:val="ListParagraph"/>
        <w:numPr>
          <w:ilvl w:val="1"/>
          <w:numId w:val="17"/>
        </w:numPr>
        <w:tabs>
          <w:tab w:pos="678" w:val="left" w:leader="none"/>
        </w:tabs>
        <w:spacing w:line="260" w:lineRule="exact" w:before="0" w:after="0"/>
        <w:ind w:left="677" w:right="116" w:hanging="284"/>
        <w:jc w:val="both"/>
        <w:rPr>
          <w:sz w:val="23"/>
        </w:rPr>
      </w:pPr>
      <w:r>
        <w:rPr>
          <w:sz w:val="23"/>
        </w:rPr>
        <w:t>Sobre la </w:t>
      </w:r>
      <w:r>
        <w:rPr>
          <w:i/>
          <w:sz w:val="23"/>
        </w:rPr>
        <w:t>evaluación de las sociedades más simples para el ejercicio </w:t>
      </w:r>
      <w:r>
        <w:rPr>
          <w:i/>
          <w:sz w:val="23"/>
        </w:rPr>
        <w:t>subsidiario</w:t>
      </w:r>
      <w:r>
        <w:rPr>
          <w:sz w:val="23"/>
        </w:rPr>
        <w:t>, elemento promotor de la valoración de la eficiencia social en</w:t>
      </w:r>
      <w:r>
        <w:rPr>
          <w:spacing w:val="-11"/>
          <w:sz w:val="23"/>
        </w:rPr>
        <w:t> </w:t>
      </w:r>
      <w:r>
        <w:rPr>
          <w:sz w:val="23"/>
        </w:rPr>
        <w:t>la</w:t>
      </w:r>
      <w:r>
        <w:rPr>
          <w:spacing w:val="-11"/>
          <w:sz w:val="23"/>
        </w:rPr>
        <w:t> </w:t>
      </w:r>
      <w:r>
        <w:rPr>
          <w:sz w:val="23"/>
        </w:rPr>
        <w:t>planeación</w:t>
      </w:r>
      <w:r>
        <w:rPr>
          <w:spacing w:val="-11"/>
          <w:sz w:val="23"/>
        </w:rPr>
        <w:t> </w:t>
      </w:r>
      <w:r>
        <w:rPr>
          <w:sz w:val="23"/>
        </w:rPr>
        <w:t>democrática,</w:t>
      </w:r>
      <w:r>
        <w:rPr>
          <w:spacing w:val="-11"/>
          <w:sz w:val="23"/>
        </w:rPr>
        <w:t> </w:t>
      </w:r>
      <w:r>
        <w:rPr>
          <w:sz w:val="23"/>
        </w:rPr>
        <w:t>lo</w:t>
      </w:r>
      <w:r>
        <w:rPr>
          <w:spacing w:val="-11"/>
          <w:sz w:val="23"/>
        </w:rPr>
        <w:t> </w:t>
      </w:r>
      <w:r>
        <w:rPr>
          <w:sz w:val="23"/>
        </w:rPr>
        <w:t>único</w:t>
      </w:r>
      <w:r>
        <w:rPr>
          <w:spacing w:val="-11"/>
          <w:sz w:val="23"/>
        </w:rPr>
        <w:t> </w:t>
      </w:r>
      <w:r>
        <w:rPr>
          <w:sz w:val="23"/>
        </w:rPr>
        <w:t>destacable</w:t>
      </w:r>
      <w:r>
        <w:rPr>
          <w:spacing w:val="-11"/>
          <w:sz w:val="23"/>
        </w:rPr>
        <w:t> </w:t>
      </w:r>
      <w:r>
        <w:rPr>
          <w:sz w:val="23"/>
        </w:rPr>
        <w:t>es</w:t>
      </w:r>
      <w:r>
        <w:rPr>
          <w:spacing w:val="-11"/>
          <w:sz w:val="23"/>
        </w:rPr>
        <w:t> </w:t>
      </w:r>
      <w:r>
        <w:rPr>
          <w:sz w:val="23"/>
        </w:rPr>
        <w:t>que</w:t>
      </w:r>
      <w:r>
        <w:rPr>
          <w:spacing w:val="-11"/>
          <w:sz w:val="23"/>
        </w:rPr>
        <w:t> </w:t>
      </w:r>
      <w:r>
        <w:rPr>
          <w:sz w:val="23"/>
        </w:rPr>
        <w:t>en</w:t>
      </w:r>
      <w:r>
        <w:rPr>
          <w:spacing w:val="-11"/>
          <w:sz w:val="23"/>
        </w:rPr>
        <w:t> </w:t>
      </w:r>
      <w:r>
        <w:rPr>
          <w:sz w:val="23"/>
        </w:rPr>
        <w:t>el</w:t>
      </w:r>
      <w:r>
        <w:rPr>
          <w:spacing w:val="-11"/>
          <w:sz w:val="23"/>
        </w:rPr>
        <w:t> </w:t>
      </w:r>
      <w:r>
        <w:rPr>
          <w:sz w:val="23"/>
        </w:rPr>
        <w:t>Estado</w:t>
      </w:r>
      <w:r>
        <w:rPr>
          <w:spacing w:val="-12"/>
          <w:sz w:val="23"/>
        </w:rPr>
        <w:t> </w:t>
      </w:r>
      <w:r>
        <w:rPr>
          <w:sz w:val="23"/>
        </w:rPr>
        <w:t>de Jalisco</w:t>
      </w:r>
      <w:r>
        <w:rPr>
          <w:spacing w:val="-5"/>
          <w:sz w:val="23"/>
        </w:rPr>
        <w:t> </w:t>
      </w:r>
      <w:r>
        <w:rPr>
          <w:sz w:val="23"/>
        </w:rPr>
        <w:t>existe</w:t>
      </w:r>
      <w:r>
        <w:rPr>
          <w:spacing w:val="-6"/>
          <w:sz w:val="23"/>
        </w:rPr>
        <w:t> </w:t>
      </w:r>
      <w:r>
        <w:rPr>
          <w:sz w:val="23"/>
        </w:rPr>
        <w:t>una</w:t>
      </w:r>
      <w:r>
        <w:rPr>
          <w:spacing w:val="-6"/>
          <w:sz w:val="23"/>
        </w:rPr>
        <w:t> </w:t>
      </w:r>
      <w:r>
        <w:rPr>
          <w:sz w:val="23"/>
        </w:rPr>
        <w:t>estrategia</w:t>
      </w:r>
      <w:r>
        <w:rPr>
          <w:spacing w:val="-6"/>
          <w:sz w:val="23"/>
        </w:rPr>
        <w:t> </w:t>
      </w:r>
      <w:r>
        <w:rPr>
          <w:sz w:val="23"/>
        </w:rPr>
        <w:t>de</w:t>
      </w:r>
      <w:r>
        <w:rPr>
          <w:spacing w:val="-6"/>
          <w:sz w:val="23"/>
        </w:rPr>
        <w:t> </w:t>
      </w:r>
      <w:r>
        <w:rPr>
          <w:sz w:val="23"/>
        </w:rPr>
        <w:t>capacitación</w:t>
      </w:r>
      <w:r>
        <w:rPr>
          <w:spacing w:val="-7"/>
          <w:sz w:val="23"/>
        </w:rPr>
        <w:t> </w:t>
      </w:r>
      <w:r>
        <w:rPr>
          <w:sz w:val="23"/>
        </w:rPr>
        <w:t>y</w:t>
      </w:r>
      <w:r>
        <w:rPr>
          <w:spacing w:val="-6"/>
          <w:sz w:val="23"/>
        </w:rPr>
        <w:t> </w:t>
      </w:r>
      <w:r>
        <w:rPr>
          <w:sz w:val="23"/>
        </w:rPr>
        <w:t>desarrollo</w:t>
      </w:r>
      <w:r>
        <w:rPr>
          <w:spacing w:val="-6"/>
          <w:sz w:val="23"/>
        </w:rPr>
        <w:t> </w:t>
      </w:r>
      <w:r>
        <w:rPr>
          <w:sz w:val="23"/>
        </w:rPr>
        <w:t>de</w:t>
      </w:r>
      <w:r>
        <w:rPr>
          <w:spacing w:val="-6"/>
          <w:sz w:val="23"/>
        </w:rPr>
        <w:t> </w:t>
      </w:r>
      <w:r>
        <w:rPr>
          <w:sz w:val="23"/>
        </w:rPr>
        <w:t>habilidades de liderazgo para el incremento de la participación ciudadana: la </w:t>
      </w:r>
      <w:r>
        <w:rPr>
          <w:i/>
          <w:sz w:val="23"/>
        </w:rPr>
        <w:t>Gran </w:t>
      </w:r>
      <w:r>
        <w:rPr>
          <w:i/>
          <w:sz w:val="23"/>
        </w:rPr>
        <w:t>Alianza por Jalisco</w:t>
      </w:r>
      <w:r>
        <w:rPr>
          <w:sz w:val="23"/>
        </w:rPr>
        <w:t>. Esa estrategia surgió de un diagnóstico muy general</w:t>
      </w:r>
      <w:r>
        <w:rPr>
          <w:spacing w:val="-8"/>
          <w:sz w:val="23"/>
        </w:rPr>
        <w:t> </w:t>
      </w:r>
      <w:r>
        <w:rPr>
          <w:sz w:val="23"/>
        </w:rPr>
        <w:t>y</w:t>
      </w:r>
      <w:r>
        <w:rPr>
          <w:spacing w:val="-8"/>
          <w:sz w:val="23"/>
        </w:rPr>
        <w:t> </w:t>
      </w:r>
      <w:r>
        <w:rPr>
          <w:sz w:val="23"/>
        </w:rPr>
        <w:t>esa</w:t>
      </w:r>
      <w:r>
        <w:rPr>
          <w:spacing w:val="-8"/>
          <w:sz w:val="23"/>
        </w:rPr>
        <w:t> </w:t>
      </w:r>
      <w:r>
        <w:rPr>
          <w:sz w:val="23"/>
        </w:rPr>
        <w:t>evaluación</w:t>
      </w:r>
      <w:r>
        <w:rPr>
          <w:spacing w:val="-9"/>
          <w:sz w:val="23"/>
        </w:rPr>
        <w:t> </w:t>
      </w:r>
      <w:r>
        <w:rPr>
          <w:sz w:val="23"/>
        </w:rPr>
        <w:t>inicial</w:t>
      </w:r>
      <w:r>
        <w:rPr>
          <w:spacing w:val="-8"/>
          <w:sz w:val="23"/>
        </w:rPr>
        <w:t> </w:t>
      </w:r>
      <w:r>
        <w:rPr>
          <w:sz w:val="23"/>
        </w:rPr>
        <w:t>no</w:t>
      </w:r>
      <w:r>
        <w:rPr>
          <w:spacing w:val="-8"/>
          <w:sz w:val="23"/>
        </w:rPr>
        <w:t> </w:t>
      </w:r>
      <w:r>
        <w:rPr>
          <w:sz w:val="23"/>
        </w:rPr>
        <w:t>ha</w:t>
      </w:r>
      <w:r>
        <w:rPr>
          <w:spacing w:val="-8"/>
          <w:sz w:val="23"/>
        </w:rPr>
        <w:t> </w:t>
      </w:r>
      <w:r>
        <w:rPr>
          <w:sz w:val="23"/>
        </w:rPr>
        <w:t>tenido</w:t>
      </w:r>
      <w:r>
        <w:rPr>
          <w:spacing w:val="-8"/>
          <w:sz w:val="23"/>
        </w:rPr>
        <w:t> </w:t>
      </w:r>
      <w:r>
        <w:rPr>
          <w:sz w:val="23"/>
        </w:rPr>
        <w:t>continuidad.</w:t>
      </w:r>
      <w:r>
        <w:rPr>
          <w:spacing w:val="-8"/>
          <w:sz w:val="23"/>
        </w:rPr>
        <w:t> </w:t>
      </w:r>
      <w:r>
        <w:rPr>
          <w:sz w:val="23"/>
        </w:rPr>
        <w:t>En</w:t>
      </w:r>
      <w:r>
        <w:rPr>
          <w:spacing w:val="-8"/>
          <w:sz w:val="23"/>
        </w:rPr>
        <w:t> </w:t>
      </w:r>
      <w:r>
        <w:rPr>
          <w:sz w:val="23"/>
        </w:rPr>
        <w:t>el</w:t>
      </w:r>
      <w:r>
        <w:rPr>
          <w:spacing w:val="-8"/>
          <w:sz w:val="23"/>
        </w:rPr>
        <w:t> </w:t>
      </w:r>
      <w:r>
        <w:rPr>
          <w:sz w:val="23"/>
        </w:rPr>
        <w:t>resto</w:t>
      </w:r>
      <w:r>
        <w:rPr>
          <w:spacing w:val="-8"/>
          <w:sz w:val="23"/>
        </w:rPr>
        <w:t> </w:t>
      </w:r>
      <w:r>
        <w:rPr>
          <w:sz w:val="23"/>
        </w:rPr>
        <w:t>de los estados de la muestra, la evaluación de la participación ciudadana no parece ser factor para la depuración estratégica</w:t>
      </w:r>
      <w:r>
        <w:rPr>
          <w:spacing w:val="-3"/>
          <w:sz w:val="23"/>
        </w:rPr>
        <w:t> </w:t>
      </w:r>
      <w:r>
        <w:rPr>
          <w:sz w:val="23"/>
        </w:rPr>
        <w:t>estatal.</w:t>
      </w:r>
    </w:p>
    <w:p>
      <w:pPr>
        <w:pStyle w:val="BodyText"/>
        <w:spacing w:before="7"/>
        <w:rPr>
          <w:sz w:val="22"/>
        </w:rPr>
      </w:pPr>
    </w:p>
    <w:p>
      <w:pPr>
        <w:pStyle w:val="ListParagraph"/>
        <w:numPr>
          <w:ilvl w:val="1"/>
          <w:numId w:val="17"/>
        </w:numPr>
        <w:tabs>
          <w:tab w:pos="678" w:val="left" w:leader="none"/>
        </w:tabs>
        <w:spacing w:line="260" w:lineRule="exact" w:before="0" w:after="0"/>
        <w:ind w:left="677" w:right="114" w:hanging="284"/>
        <w:jc w:val="both"/>
        <w:rPr>
          <w:sz w:val="23"/>
        </w:rPr>
      </w:pPr>
      <w:r>
        <w:rPr>
          <w:sz w:val="23"/>
        </w:rPr>
        <w:t>Con</w:t>
      </w:r>
      <w:r>
        <w:rPr>
          <w:spacing w:val="-7"/>
          <w:sz w:val="23"/>
        </w:rPr>
        <w:t> </w:t>
      </w:r>
      <w:r>
        <w:rPr>
          <w:sz w:val="23"/>
        </w:rPr>
        <w:t>base</w:t>
      </w:r>
      <w:r>
        <w:rPr>
          <w:spacing w:val="-7"/>
          <w:sz w:val="23"/>
        </w:rPr>
        <w:t> </w:t>
      </w:r>
      <w:r>
        <w:rPr>
          <w:sz w:val="23"/>
        </w:rPr>
        <w:t>en</w:t>
      </w:r>
      <w:r>
        <w:rPr>
          <w:spacing w:val="-7"/>
          <w:sz w:val="23"/>
        </w:rPr>
        <w:t> </w:t>
      </w:r>
      <w:r>
        <w:rPr>
          <w:sz w:val="23"/>
        </w:rPr>
        <w:t>el</w:t>
      </w:r>
      <w:r>
        <w:rPr>
          <w:spacing w:val="-7"/>
          <w:sz w:val="23"/>
        </w:rPr>
        <w:t> </w:t>
      </w:r>
      <w:r>
        <w:rPr>
          <w:i/>
          <w:sz w:val="23"/>
        </w:rPr>
        <w:t>avance</w:t>
      </w:r>
      <w:r>
        <w:rPr>
          <w:i/>
          <w:spacing w:val="-7"/>
          <w:sz w:val="23"/>
        </w:rPr>
        <w:t> </w:t>
      </w:r>
      <w:r>
        <w:rPr>
          <w:i/>
          <w:sz w:val="23"/>
        </w:rPr>
        <w:t>competencial</w:t>
      </w:r>
      <w:r>
        <w:rPr>
          <w:i/>
          <w:spacing w:val="-7"/>
          <w:sz w:val="23"/>
        </w:rPr>
        <w:t> </w:t>
      </w:r>
      <w:r>
        <w:rPr>
          <w:i/>
          <w:sz w:val="23"/>
        </w:rPr>
        <w:t>de</w:t>
      </w:r>
      <w:r>
        <w:rPr>
          <w:i/>
          <w:spacing w:val="-7"/>
          <w:sz w:val="23"/>
        </w:rPr>
        <w:t> </w:t>
      </w:r>
      <w:r>
        <w:rPr>
          <w:i/>
          <w:sz w:val="23"/>
        </w:rPr>
        <w:t>las</w:t>
      </w:r>
      <w:r>
        <w:rPr>
          <w:i/>
          <w:spacing w:val="-7"/>
          <w:sz w:val="23"/>
        </w:rPr>
        <w:t> </w:t>
      </w:r>
      <w:r>
        <w:rPr>
          <w:i/>
          <w:sz w:val="23"/>
        </w:rPr>
        <w:t>sociedades</w:t>
      </w:r>
      <w:r>
        <w:rPr>
          <w:i/>
          <w:spacing w:val="-7"/>
          <w:sz w:val="23"/>
        </w:rPr>
        <w:t> </w:t>
      </w:r>
      <w:r>
        <w:rPr>
          <w:i/>
          <w:sz w:val="23"/>
        </w:rPr>
        <w:t>más</w:t>
      </w:r>
      <w:r>
        <w:rPr>
          <w:i/>
          <w:spacing w:val="-7"/>
          <w:sz w:val="23"/>
        </w:rPr>
        <w:t> </w:t>
      </w:r>
      <w:r>
        <w:rPr>
          <w:i/>
          <w:sz w:val="23"/>
        </w:rPr>
        <w:t>simples,</w:t>
      </w:r>
      <w:r>
        <w:rPr>
          <w:i/>
          <w:spacing w:val="-6"/>
          <w:sz w:val="23"/>
        </w:rPr>
        <w:t> </w:t>
      </w:r>
      <w:r>
        <w:rPr>
          <w:sz w:val="23"/>
        </w:rPr>
        <w:t>los conjuntos sociales revisados coinciden en ejercer derechos ciudadanos mínimos</w:t>
      </w:r>
      <w:r>
        <w:rPr>
          <w:spacing w:val="-18"/>
          <w:sz w:val="23"/>
        </w:rPr>
        <w:t> </w:t>
      </w:r>
      <w:r>
        <w:rPr>
          <w:sz w:val="23"/>
        </w:rPr>
        <w:t>de</w:t>
      </w:r>
      <w:r>
        <w:rPr>
          <w:spacing w:val="-17"/>
          <w:sz w:val="23"/>
        </w:rPr>
        <w:t> </w:t>
      </w:r>
      <w:r>
        <w:rPr>
          <w:sz w:val="23"/>
        </w:rPr>
        <w:t>propuesta,</w:t>
      </w:r>
      <w:r>
        <w:rPr>
          <w:spacing w:val="-17"/>
          <w:sz w:val="23"/>
        </w:rPr>
        <w:t> </w:t>
      </w:r>
      <w:r>
        <w:rPr>
          <w:sz w:val="23"/>
        </w:rPr>
        <w:t>exigencia</w:t>
      </w:r>
      <w:r>
        <w:rPr>
          <w:spacing w:val="-18"/>
          <w:sz w:val="23"/>
        </w:rPr>
        <w:t> </w:t>
      </w:r>
      <w:r>
        <w:rPr>
          <w:sz w:val="23"/>
        </w:rPr>
        <w:t>y</w:t>
      </w:r>
      <w:r>
        <w:rPr>
          <w:spacing w:val="-17"/>
          <w:sz w:val="23"/>
        </w:rPr>
        <w:t> </w:t>
      </w:r>
      <w:r>
        <w:rPr>
          <w:sz w:val="23"/>
        </w:rPr>
        <w:t>crítica</w:t>
      </w:r>
      <w:r>
        <w:rPr>
          <w:spacing w:val="-18"/>
          <w:sz w:val="23"/>
        </w:rPr>
        <w:t> </w:t>
      </w:r>
      <w:r>
        <w:rPr>
          <w:sz w:val="23"/>
        </w:rPr>
        <w:t>en</w:t>
      </w:r>
      <w:r>
        <w:rPr>
          <w:spacing w:val="-17"/>
          <w:sz w:val="23"/>
        </w:rPr>
        <w:t> </w:t>
      </w:r>
      <w:r>
        <w:rPr>
          <w:sz w:val="23"/>
        </w:rPr>
        <w:t>los</w:t>
      </w:r>
      <w:r>
        <w:rPr>
          <w:spacing w:val="-17"/>
          <w:sz w:val="23"/>
        </w:rPr>
        <w:t> </w:t>
      </w:r>
      <w:r>
        <w:rPr>
          <w:sz w:val="23"/>
        </w:rPr>
        <w:t>procesos</w:t>
      </w:r>
      <w:r>
        <w:rPr>
          <w:spacing w:val="-17"/>
          <w:sz w:val="23"/>
        </w:rPr>
        <w:t> </w:t>
      </w:r>
      <w:r>
        <w:rPr>
          <w:sz w:val="23"/>
        </w:rPr>
        <w:t>de</w:t>
      </w:r>
      <w:r>
        <w:rPr>
          <w:spacing w:val="-17"/>
          <w:sz w:val="23"/>
        </w:rPr>
        <w:t> </w:t>
      </w:r>
      <w:r>
        <w:rPr>
          <w:sz w:val="23"/>
        </w:rPr>
        <w:t>planeación; legitimando así el breve espacio de tolerancia política que les otorgan sus respectivos gobiernos estatales y</w:t>
      </w:r>
      <w:r>
        <w:rPr>
          <w:spacing w:val="-3"/>
          <w:sz w:val="23"/>
        </w:rPr>
        <w:t> </w:t>
      </w:r>
      <w:r>
        <w:rPr>
          <w:sz w:val="23"/>
        </w:rPr>
        <w:t>municipales.</w:t>
      </w:r>
    </w:p>
    <w:p>
      <w:pPr>
        <w:pStyle w:val="BodyText"/>
        <w:rPr>
          <w:sz w:val="22"/>
        </w:rPr>
      </w:pPr>
    </w:p>
    <w:p>
      <w:pPr>
        <w:pStyle w:val="Heading3"/>
        <w:ind w:left="110"/>
      </w:pPr>
      <w:bookmarkStart w:name="_TOC_250003" w:id="40"/>
      <w:bookmarkEnd w:id="40"/>
      <w:r>
        <w:rPr/>
        <w:t>Simplemente: la simulación hidalguense.</w:t>
      </w:r>
    </w:p>
    <w:p>
      <w:pPr>
        <w:pStyle w:val="BodyText"/>
        <w:spacing w:before="9"/>
        <w:rPr>
          <w:b/>
          <w:sz w:val="22"/>
        </w:rPr>
      </w:pPr>
    </w:p>
    <w:p>
      <w:pPr>
        <w:pStyle w:val="BodyText"/>
        <w:spacing w:line="260" w:lineRule="exact"/>
        <w:ind w:left="110" w:right="115"/>
        <w:jc w:val="both"/>
      </w:pPr>
      <w:r>
        <w:rPr/>
        <w:t>Según el marco jurídico estatal, la respectiva ley de planeación para el desarrollo señala que los funcionarios adscritos al Comité de Planeación</w:t>
      </w:r>
      <w:r>
        <w:rPr>
          <w:spacing w:val="-35"/>
        </w:rPr>
        <w:t> </w:t>
      </w:r>
      <w:r>
        <w:rPr/>
        <w:t>para el Desarrollo del Estado de Hidalgo (COPLADEHI) deben ser aquellos que encabezan</w:t>
      </w:r>
      <w:r>
        <w:rPr>
          <w:spacing w:val="-12"/>
        </w:rPr>
        <w:t> </w:t>
      </w:r>
      <w:r>
        <w:rPr/>
        <w:t>cada</w:t>
      </w:r>
      <w:r>
        <w:rPr>
          <w:spacing w:val="-11"/>
        </w:rPr>
        <w:t> </w:t>
      </w:r>
      <w:r>
        <w:rPr/>
        <w:t>una</w:t>
      </w:r>
      <w:r>
        <w:rPr>
          <w:spacing w:val="-11"/>
        </w:rPr>
        <w:t> </w:t>
      </w:r>
      <w:r>
        <w:rPr/>
        <w:t>de</w:t>
      </w:r>
      <w:r>
        <w:rPr>
          <w:spacing w:val="-11"/>
        </w:rPr>
        <w:t> </w:t>
      </w:r>
      <w:r>
        <w:rPr/>
        <w:t>las</w:t>
      </w:r>
      <w:r>
        <w:rPr>
          <w:spacing w:val="-11"/>
        </w:rPr>
        <w:t> </w:t>
      </w:r>
      <w:r>
        <w:rPr/>
        <w:t>dependencias</w:t>
      </w:r>
      <w:r>
        <w:rPr>
          <w:spacing w:val="-11"/>
        </w:rPr>
        <w:t> </w:t>
      </w:r>
      <w:r>
        <w:rPr/>
        <w:t>del</w:t>
      </w:r>
      <w:r>
        <w:rPr>
          <w:spacing w:val="-11"/>
        </w:rPr>
        <w:t> </w:t>
      </w:r>
      <w:r>
        <w:rPr/>
        <w:t>gobierno</w:t>
      </w:r>
      <w:r>
        <w:rPr>
          <w:spacing w:val="-11"/>
        </w:rPr>
        <w:t> </w:t>
      </w:r>
      <w:r>
        <w:rPr/>
        <w:t>estatal,</w:t>
      </w:r>
      <w:r>
        <w:rPr>
          <w:spacing w:val="-12"/>
        </w:rPr>
        <w:t> </w:t>
      </w:r>
      <w:r>
        <w:rPr/>
        <w:t>los</w:t>
      </w:r>
      <w:r>
        <w:rPr>
          <w:spacing w:val="-11"/>
        </w:rPr>
        <w:t> </w:t>
      </w:r>
      <w:r>
        <w:rPr/>
        <w:t>delegados</w:t>
      </w:r>
      <w:r>
        <w:rPr>
          <w:spacing w:val="-11"/>
        </w:rPr>
        <w:t> </w:t>
      </w:r>
      <w:r>
        <w:rPr/>
        <w:t>de las dependencias de la administración pública federal, así como los </w:t>
      </w:r>
      <w:r>
        <w:rPr>
          <w:spacing w:val="51"/>
        </w:rPr>
        <w:t> </w:t>
      </w:r>
      <w:r>
        <w:rPr/>
        <w:t>titulares</w:t>
      </w:r>
    </w:p>
    <w:p>
      <w:pPr>
        <w:spacing w:after="0" w:line="260" w:lineRule="exact"/>
        <w:jc w:val="both"/>
        <w:sectPr>
          <w:pgSz w:w="9360" w:h="13040"/>
          <w:pgMar w:header="527" w:footer="515" w:top="720" w:bottom="700" w:left="740" w:right="1300"/>
        </w:sectPr>
      </w:pPr>
    </w:p>
    <w:p>
      <w:pPr>
        <w:pStyle w:val="BodyText"/>
        <w:spacing w:before="11"/>
        <w:rPr>
          <w:sz w:val="29"/>
        </w:rPr>
      </w:pPr>
    </w:p>
    <w:p>
      <w:pPr>
        <w:spacing w:line="235" w:lineRule="auto" w:before="75"/>
        <w:ind w:left="117" w:right="108" w:firstLine="0"/>
        <w:jc w:val="both"/>
        <w:rPr>
          <w:sz w:val="23"/>
        </w:rPr>
      </w:pPr>
      <w:r>
        <w:rPr>
          <w:sz w:val="23"/>
        </w:rPr>
        <w:t>de organismos descentralizados. Por su parte, los grupos sociales y privados deben ser aquellos constituidos formalmente y que de manera organizada </w:t>
      </w:r>
      <w:r>
        <w:rPr>
          <w:i/>
          <w:sz w:val="23"/>
        </w:rPr>
        <w:t>tengan interés de participar dentro de algún subcomité sectorial o especial </w:t>
      </w:r>
      <w:r>
        <w:rPr>
          <w:sz w:val="23"/>
        </w:rPr>
        <w:t>con los que cuenta el COPLADEHI; tales son los casos de clubes sociales    y de servicio, instituciones educativas, colegios, barras y asociaciones de profesionistas, organismos y asociaciones civiles y ciudadanía en general</w:t>
      </w:r>
      <w:r>
        <w:rPr>
          <w:position w:val="8"/>
          <w:sz w:val="13"/>
        </w:rPr>
        <w:t>244</w:t>
      </w:r>
      <w:r>
        <w:rPr>
          <w:sz w:val="23"/>
        </w:rPr>
        <w:t>. La</w:t>
      </w:r>
      <w:r>
        <w:rPr>
          <w:spacing w:val="-15"/>
          <w:sz w:val="23"/>
        </w:rPr>
        <w:t> </w:t>
      </w:r>
      <w:r>
        <w:rPr>
          <w:sz w:val="23"/>
        </w:rPr>
        <w:t>ley</w:t>
      </w:r>
      <w:r>
        <w:rPr>
          <w:spacing w:val="-15"/>
          <w:sz w:val="23"/>
        </w:rPr>
        <w:t> </w:t>
      </w:r>
      <w:r>
        <w:rPr>
          <w:sz w:val="23"/>
        </w:rPr>
        <w:t>referida</w:t>
      </w:r>
      <w:r>
        <w:rPr>
          <w:spacing w:val="-14"/>
          <w:sz w:val="23"/>
        </w:rPr>
        <w:t> </w:t>
      </w:r>
      <w:r>
        <w:rPr>
          <w:sz w:val="23"/>
        </w:rPr>
        <w:t>prescribe</w:t>
      </w:r>
      <w:r>
        <w:rPr>
          <w:spacing w:val="-14"/>
          <w:sz w:val="23"/>
        </w:rPr>
        <w:t> </w:t>
      </w:r>
      <w:r>
        <w:rPr>
          <w:sz w:val="23"/>
        </w:rPr>
        <w:t>también</w:t>
      </w:r>
      <w:r>
        <w:rPr>
          <w:spacing w:val="-15"/>
          <w:sz w:val="23"/>
        </w:rPr>
        <w:t> </w:t>
      </w:r>
      <w:r>
        <w:rPr>
          <w:sz w:val="23"/>
        </w:rPr>
        <w:t>el</w:t>
      </w:r>
      <w:r>
        <w:rPr>
          <w:spacing w:val="-15"/>
          <w:sz w:val="23"/>
        </w:rPr>
        <w:t> </w:t>
      </w:r>
      <w:r>
        <w:rPr>
          <w:sz w:val="23"/>
        </w:rPr>
        <w:t>funcionamiento</w:t>
      </w:r>
      <w:r>
        <w:rPr>
          <w:spacing w:val="-15"/>
          <w:sz w:val="23"/>
        </w:rPr>
        <w:t> </w:t>
      </w:r>
      <w:r>
        <w:rPr>
          <w:sz w:val="23"/>
        </w:rPr>
        <w:t>de</w:t>
      </w:r>
      <w:r>
        <w:rPr>
          <w:spacing w:val="-15"/>
          <w:sz w:val="23"/>
        </w:rPr>
        <w:t> </w:t>
      </w:r>
      <w:r>
        <w:rPr>
          <w:sz w:val="23"/>
        </w:rPr>
        <w:t>Comités</w:t>
      </w:r>
      <w:r>
        <w:rPr>
          <w:spacing w:val="-14"/>
          <w:sz w:val="23"/>
        </w:rPr>
        <w:t> </w:t>
      </w:r>
      <w:r>
        <w:rPr>
          <w:sz w:val="23"/>
        </w:rPr>
        <w:t>de</w:t>
      </w:r>
      <w:r>
        <w:rPr>
          <w:spacing w:val="-15"/>
          <w:sz w:val="23"/>
        </w:rPr>
        <w:t> </w:t>
      </w:r>
      <w:r>
        <w:rPr>
          <w:sz w:val="23"/>
        </w:rPr>
        <w:t>Planeación para el Desarrollo Regional (COPLADER), los cuales deben integrarse por los Comités de Planeación para el Desarrollo Municipal (COPLADEM) respectivos, los sectores social y privado, la ciudadanía en general de cada región y en su caso, las comunidades indígenas existentes; así como las dependencias federales y entidades de la administración pública estatal. Los COPLADER</w:t>
      </w:r>
      <w:r>
        <w:rPr>
          <w:spacing w:val="-13"/>
          <w:sz w:val="23"/>
        </w:rPr>
        <w:t> </w:t>
      </w:r>
      <w:r>
        <w:rPr>
          <w:sz w:val="23"/>
        </w:rPr>
        <w:t>deben</w:t>
      </w:r>
      <w:r>
        <w:rPr>
          <w:spacing w:val="-13"/>
          <w:sz w:val="23"/>
        </w:rPr>
        <w:t> </w:t>
      </w:r>
      <w:r>
        <w:rPr>
          <w:sz w:val="23"/>
        </w:rPr>
        <w:t>establecer</w:t>
      </w:r>
      <w:r>
        <w:rPr>
          <w:spacing w:val="-13"/>
          <w:sz w:val="23"/>
        </w:rPr>
        <w:t> </w:t>
      </w:r>
      <w:r>
        <w:rPr>
          <w:sz w:val="23"/>
        </w:rPr>
        <w:t>su</w:t>
      </w:r>
      <w:r>
        <w:rPr>
          <w:spacing w:val="-13"/>
          <w:sz w:val="23"/>
        </w:rPr>
        <w:t> </w:t>
      </w:r>
      <w:r>
        <w:rPr>
          <w:sz w:val="23"/>
        </w:rPr>
        <w:t>sede</w:t>
      </w:r>
      <w:r>
        <w:rPr>
          <w:spacing w:val="-12"/>
          <w:sz w:val="23"/>
        </w:rPr>
        <w:t> </w:t>
      </w:r>
      <w:r>
        <w:rPr>
          <w:sz w:val="23"/>
        </w:rPr>
        <w:t>de</w:t>
      </w:r>
      <w:r>
        <w:rPr>
          <w:spacing w:val="-13"/>
          <w:sz w:val="23"/>
        </w:rPr>
        <w:t> </w:t>
      </w:r>
      <w:r>
        <w:rPr>
          <w:sz w:val="23"/>
        </w:rPr>
        <w:t>acuerdo</w:t>
      </w:r>
      <w:r>
        <w:rPr>
          <w:spacing w:val="-13"/>
          <w:sz w:val="23"/>
        </w:rPr>
        <w:t> </w:t>
      </w:r>
      <w:r>
        <w:rPr>
          <w:sz w:val="23"/>
        </w:rPr>
        <w:t>a</w:t>
      </w:r>
      <w:r>
        <w:rPr>
          <w:spacing w:val="-13"/>
          <w:sz w:val="23"/>
        </w:rPr>
        <w:t> </w:t>
      </w:r>
      <w:r>
        <w:rPr>
          <w:sz w:val="23"/>
        </w:rPr>
        <w:t>la</w:t>
      </w:r>
      <w:r>
        <w:rPr>
          <w:spacing w:val="-13"/>
          <w:sz w:val="23"/>
        </w:rPr>
        <w:t> </w:t>
      </w:r>
      <w:r>
        <w:rPr>
          <w:sz w:val="23"/>
        </w:rPr>
        <w:t>integración</w:t>
      </w:r>
      <w:r>
        <w:rPr>
          <w:spacing w:val="-14"/>
          <w:sz w:val="23"/>
        </w:rPr>
        <w:t> </w:t>
      </w:r>
      <w:r>
        <w:rPr>
          <w:sz w:val="23"/>
        </w:rPr>
        <w:t>regional</w:t>
      </w:r>
      <w:r>
        <w:rPr>
          <w:spacing w:val="-13"/>
          <w:sz w:val="23"/>
        </w:rPr>
        <w:t> </w:t>
      </w:r>
      <w:r>
        <w:rPr>
          <w:sz w:val="23"/>
        </w:rPr>
        <w:t>del estado, misma que incluye catorce regiones y tres subregiones: </w:t>
      </w:r>
      <w:r>
        <w:rPr>
          <w:i/>
          <w:sz w:val="23"/>
        </w:rPr>
        <w:t>Pachuca (I), </w:t>
      </w:r>
      <w:r>
        <w:rPr>
          <w:i/>
          <w:sz w:val="23"/>
        </w:rPr>
        <w:t>Atotonilco el Grande (I-A), Tulancingo de Bravo (II), </w:t>
      </w:r>
      <w:r>
        <w:rPr>
          <w:i/>
          <w:spacing w:val="-4"/>
          <w:sz w:val="23"/>
        </w:rPr>
        <w:t>Tula </w:t>
      </w:r>
      <w:r>
        <w:rPr>
          <w:i/>
          <w:sz w:val="23"/>
        </w:rPr>
        <w:t>de Allende (III), Huichapan (IV), Jacala </w:t>
      </w:r>
      <w:r>
        <w:rPr>
          <w:i/>
          <w:spacing w:val="-3"/>
          <w:sz w:val="23"/>
        </w:rPr>
        <w:t>(V-A), </w:t>
      </w:r>
      <w:r>
        <w:rPr>
          <w:i/>
          <w:sz w:val="23"/>
        </w:rPr>
        <w:t>Ixmiquilpan (VI), Actopan (VII), Metztitlán (VIII),</w:t>
      </w:r>
      <w:r>
        <w:rPr>
          <w:i/>
          <w:spacing w:val="-8"/>
          <w:sz w:val="23"/>
        </w:rPr>
        <w:t> </w:t>
      </w:r>
      <w:r>
        <w:rPr>
          <w:i/>
          <w:sz w:val="23"/>
        </w:rPr>
        <w:t>Zacualtipan</w:t>
      </w:r>
      <w:r>
        <w:rPr>
          <w:i/>
          <w:spacing w:val="-7"/>
          <w:sz w:val="23"/>
        </w:rPr>
        <w:t> </w:t>
      </w:r>
      <w:r>
        <w:rPr>
          <w:i/>
          <w:sz w:val="23"/>
        </w:rPr>
        <w:t>(VIII-A),</w:t>
      </w:r>
      <w:r>
        <w:rPr>
          <w:i/>
          <w:spacing w:val="-8"/>
          <w:sz w:val="23"/>
        </w:rPr>
        <w:t> </w:t>
      </w:r>
      <w:r>
        <w:rPr>
          <w:i/>
          <w:sz w:val="23"/>
        </w:rPr>
        <w:t>Molango</w:t>
      </w:r>
      <w:r>
        <w:rPr>
          <w:i/>
          <w:spacing w:val="-8"/>
          <w:sz w:val="23"/>
        </w:rPr>
        <w:t> </w:t>
      </w:r>
      <w:r>
        <w:rPr>
          <w:i/>
          <w:sz w:val="23"/>
        </w:rPr>
        <w:t>(IX),</w:t>
      </w:r>
      <w:r>
        <w:rPr>
          <w:i/>
          <w:spacing w:val="-8"/>
          <w:sz w:val="23"/>
        </w:rPr>
        <w:t> </w:t>
      </w:r>
      <w:r>
        <w:rPr>
          <w:i/>
          <w:sz w:val="23"/>
        </w:rPr>
        <w:t>Huejutla</w:t>
      </w:r>
      <w:r>
        <w:rPr>
          <w:i/>
          <w:spacing w:val="-8"/>
          <w:sz w:val="23"/>
        </w:rPr>
        <w:t> </w:t>
      </w:r>
      <w:r>
        <w:rPr>
          <w:i/>
          <w:sz w:val="23"/>
        </w:rPr>
        <w:t>de</w:t>
      </w:r>
      <w:r>
        <w:rPr>
          <w:i/>
          <w:spacing w:val="-8"/>
          <w:sz w:val="23"/>
        </w:rPr>
        <w:t> </w:t>
      </w:r>
      <w:r>
        <w:rPr>
          <w:i/>
          <w:sz w:val="23"/>
        </w:rPr>
        <w:t>Reyes</w:t>
      </w:r>
      <w:r>
        <w:rPr>
          <w:i/>
          <w:spacing w:val="-8"/>
          <w:sz w:val="23"/>
        </w:rPr>
        <w:t> </w:t>
      </w:r>
      <w:r>
        <w:rPr>
          <w:i/>
          <w:sz w:val="23"/>
        </w:rPr>
        <w:t>(X),</w:t>
      </w:r>
      <w:r>
        <w:rPr>
          <w:i/>
          <w:spacing w:val="-12"/>
          <w:sz w:val="23"/>
        </w:rPr>
        <w:t> </w:t>
      </w:r>
      <w:r>
        <w:rPr>
          <w:i/>
          <w:sz w:val="23"/>
        </w:rPr>
        <w:t>Apan</w:t>
      </w:r>
      <w:r>
        <w:rPr>
          <w:i/>
          <w:spacing w:val="-8"/>
          <w:sz w:val="23"/>
        </w:rPr>
        <w:t> </w:t>
      </w:r>
      <w:r>
        <w:rPr>
          <w:i/>
          <w:sz w:val="23"/>
        </w:rPr>
        <w:t>(XI), Tizayuca (XII), </w:t>
      </w:r>
      <w:r>
        <w:rPr>
          <w:i/>
          <w:spacing w:val="-4"/>
          <w:sz w:val="23"/>
        </w:rPr>
        <w:t>Tepehua </w:t>
      </w:r>
      <w:r>
        <w:rPr>
          <w:i/>
          <w:sz w:val="23"/>
        </w:rPr>
        <w:t>(XIII) y </w:t>
      </w:r>
      <w:r>
        <w:rPr>
          <w:i/>
          <w:spacing w:val="-4"/>
          <w:sz w:val="23"/>
        </w:rPr>
        <w:t>Tepeji </w:t>
      </w:r>
      <w:r>
        <w:rPr>
          <w:i/>
          <w:sz w:val="23"/>
        </w:rPr>
        <w:t>del Río</w:t>
      </w:r>
      <w:r>
        <w:rPr>
          <w:i/>
          <w:spacing w:val="4"/>
          <w:sz w:val="23"/>
        </w:rPr>
        <w:t> </w:t>
      </w:r>
      <w:r>
        <w:rPr>
          <w:i/>
          <w:sz w:val="23"/>
        </w:rPr>
        <w:t>(XIV)</w:t>
      </w:r>
      <w:r>
        <w:rPr>
          <w:position w:val="8"/>
          <w:sz w:val="13"/>
        </w:rPr>
        <w:t>245</w:t>
      </w:r>
      <w:r>
        <w:rPr>
          <w:sz w:val="23"/>
        </w:rPr>
        <w:t>.</w:t>
      </w:r>
    </w:p>
    <w:p>
      <w:pPr>
        <w:pStyle w:val="BodyText"/>
        <w:spacing w:before="10"/>
        <w:rPr>
          <w:sz w:val="22"/>
        </w:rPr>
      </w:pPr>
    </w:p>
    <w:p>
      <w:pPr>
        <w:pStyle w:val="BodyText"/>
        <w:spacing w:line="260" w:lineRule="exact"/>
        <w:ind w:left="117" w:right="107"/>
        <w:jc w:val="both"/>
      </w:pPr>
      <w:r>
        <w:rPr/>
        <w:t>Sin embargo, pese a que el marco jurídico estatal señala las opciones para   la integración de representantes ciudadanos a los órganos formales de planeación, en el funcionamiento cotidiano de esos órganos no se encontró representante ciudadano alguno. La revisión incluyó los siguientes  </w:t>
      </w:r>
      <w:r>
        <w:rPr>
          <w:spacing w:val="13"/>
        </w:rPr>
        <w:t> </w:t>
      </w:r>
      <w:r>
        <w:rPr/>
        <w:t>eventos:</w:t>
      </w:r>
    </w:p>
    <w:p>
      <w:pPr>
        <w:pStyle w:val="ListParagraph"/>
        <w:numPr>
          <w:ilvl w:val="0"/>
          <w:numId w:val="18"/>
        </w:numPr>
        <w:tabs>
          <w:tab w:pos="382" w:val="left" w:leader="none"/>
        </w:tabs>
        <w:spacing w:line="235" w:lineRule="auto" w:before="0" w:after="0"/>
        <w:ind w:left="117" w:right="108" w:firstLine="0"/>
        <w:jc w:val="both"/>
        <w:rPr>
          <w:sz w:val="23"/>
        </w:rPr>
      </w:pPr>
      <w:r>
        <w:rPr/>
        <w:pict>
          <v:line style="position:absolute;mso-position-horizontal-relative:page;mso-position-vertical-relative:paragraph;z-index:5824;mso-wrap-distance-left:0;mso-wrap-distance-right:0" from="70.866096pt,147.802689pt" to="142.866096pt,147.802689pt" stroked="true" strokeweight="1pt" strokecolor="#000000">
            <w10:wrap type="topAndBottom"/>
          </v:line>
        </w:pict>
      </w:r>
      <w:r>
        <w:rPr>
          <w:sz w:val="23"/>
        </w:rPr>
        <w:t>en la sesión ordinaria del subcomité de educación del 19 de noviembre  del 2010, se reunieron dieciséis funcionarios estatales y federales con obje- to de </w:t>
      </w:r>
      <w:r>
        <w:rPr>
          <w:i/>
          <w:sz w:val="23"/>
        </w:rPr>
        <w:t>“conocer la metodología para la actualización del programa sectorial </w:t>
      </w:r>
      <w:r>
        <w:rPr>
          <w:i/>
          <w:sz w:val="23"/>
        </w:rPr>
        <w:t>de educación y los programas especiales” </w:t>
      </w:r>
      <w:r>
        <w:rPr>
          <w:position w:val="8"/>
          <w:sz w:val="13"/>
        </w:rPr>
        <w:t>246</w:t>
      </w:r>
      <w:r>
        <w:rPr>
          <w:i/>
          <w:sz w:val="23"/>
        </w:rPr>
        <w:t>; </w:t>
      </w:r>
      <w:r>
        <w:rPr>
          <w:sz w:val="23"/>
        </w:rPr>
        <w:t>b) en la sesión ordinaria del subcomité especial de información del COPLADEHI del 7 de noviembre   del 2010, se reunieron treinta y siete funcionarios estatales para </w:t>
      </w:r>
      <w:r>
        <w:rPr>
          <w:i/>
          <w:sz w:val="23"/>
        </w:rPr>
        <w:t>“cumplir   </w:t>
      </w:r>
      <w:r>
        <w:rPr>
          <w:i/>
          <w:sz w:val="23"/>
        </w:rPr>
        <w:t>en forma oportuna a la entrega de la información para la elaboración del sexto informe de gobierno”… </w:t>
      </w:r>
      <w:r>
        <w:rPr>
          <w:sz w:val="23"/>
        </w:rPr>
        <w:t>para lo cual se señaló la </w:t>
      </w:r>
      <w:r>
        <w:rPr>
          <w:i/>
          <w:sz w:val="23"/>
        </w:rPr>
        <w:t>“metodología para la </w:t>
      </w:r>
      <w:r>
        <w:rPr>
          <w:i/>
          <w:sz w:val="23"/>
        </w:rPr>
        <w:t>presentación de la información… y del anexo estadístico respectivo”</w:t>
      </w:r>
      <w:r>
        <w:rPr>
          <w:position w:val="8"/>
          <w:sz w:val="13"/>
        </w:rPr>
        <w:t>247</w:t>
      </w:r>
      <w:r>
        <w:rPr>
          <w:sz w:val="23"/>
        </w:rPr>
        <w:t>; y c) en la sesión ordinaria del subcomité especial del deporte del 10 de diciembre de</w:t>
      </w:r>
      <w:r>
        <w:rPr>
          <w:spacing w:val="30"/>
          <w:sz w:val="23"/>
        </w:rPr>
        <w:t> </w:t>
      </w:r>
      <w:r>
        <w:rPr>
          <w:sz w:val="23"/>
        </w:rPr>
        <w:t>2010,</w:t>
      </w:r>
      <w:r>
        <w:rPr>
          <w:spacing w:val="30"/>
          <w:sz w:val="23"/>
        </w:rPr>
        <w:t> </w:t>
      </w:r>
      <w:r>
        <w:rPr>
          <w:sz w:val="23"/>
        </w:rPr>
        <w:t>se</w:t>
      </w:r>
      <w:r>
        <w:rPr>
          <w:spacing w:val="30"/>
          <w:sz w:val="23"/>
        </w:rPr>
        <w:t> </w:t>
      </w:r>
      <w:r>
        <w:rPr>
          <w:sz w:val="23"/>
        </w:rPr>
        <w:t>reunieron</w:t>
      </w:r>
      <w:r>
        <w:rPr>
          <w:spacing w:val="30"/>
          <w:sz w:val="23"/>
        </w:rPr>
        <w:t> </w:t>
      </w:r>
      <w:r>
        <w:rPr>
          <w:sz w:val="23"/>
        </w:rPr>
        <w:t>siete</w:t>
      </w:r>
      <w:r>
        <w:rPr>
          <w:spacing w:val="30"/>
          <w:sz w:val="23"/>
        </w:rPr>
        <w:t> </w:t>
      </w:r>
      <w:r>
        <w:rPr>
          <w:sz w:val="23"/>
        </w:rPr>
        <w:t>funcionarios</w:t>
      </w:r>
      <w:r>
        <w:rPr>
          <w:spacing w:val="30"/>
          <w:sz w:val="23"/>
        </w:rPr>
        <w:t> </w:t>
      </w:r>
      <w:r>
        <w:rPr>
          <w:sz w:val="23"/>
        </w:rPr>
        <w:t>estatales</w:t>
      </w:r>
      <w:r>
        <w:rPr>
          <w:spacing w:val="29"/>
          <w:sz w:val="23"/>
        </w:rPr>
        <w:t> </w:t>
      </w:r>
      <w:r>
        <w:rPr>
          <w:sz w:val="23"/>
        </w:rPr>
        <w:t>que</w:t>
      </w:r>
      <w:r>
        <w:rPr>
          <w:spacing w:val="30"/>
          <w:sz w:val="23"/>
        </w:rPr>
        <w:t> </w:t>
      </w:r>
      <w:r>
        <w:rPr>
          <w:sz w:val="23"/>
        </w:rPr>
        <w:t>fueron</w:t>
      </w:r>
      <w:r>
        <w:rPr>
          <w:spacing w:val="30"/>
          <w:sz w:val="23"/>
        </w:rPr>
        <w:t> </w:t>
      </w:r>
      <w:r>
        <w:rPr>
          <w:sz w:val="23"/>
        </w:rPr>
        <w:t>partícipes</w:t>
      </w:r>
      <w:r>
        <w:rPr>
          <w:spacing w:val="30"/>
          <w:sz w:val="23"/>
        </w:rPr>
        <w:t> </w:t>
      </w:r>
      <w:r>
        <w:rPr>
          <w:sz w:val="23"/>
        </w:rPr>
        <w:t>de</w:t>
      </w:r>
    </w:p>
    <w:p>
      <w:pPr>
        <w:spacing w:line="200" w:lineRule="exact" w:before="1"/>
        <w:ind w:left="400" w:right="108" w:hanging="284"/>
        <w:jc w:val="both"/>
        <w:rPr>
          <w:sz w:val="18"/>
        </w:rPr>
      </w:pPr>
      <w:r>
        <w:rPr>
          <w:position w:val="7"/>
          <w:sz w:val="11"/>
        </w:rPr>
        <w:t>244 </w:t>
      </w:r>
      <w:r>
        <w:rPr>
          <w:sz w:val="18"/>
        </w:rPr>
        <w:t>Información proporcionada por la unidad de información pública gubernamental del poder ejecutivo del Estado de Hidalgo, según solicitud con el número de expediente 00202410 del sistema INFOMEX Hidalgo, 4 de febrero del año 2011.</w:t>
      </w:r>
    </w:p>
    <w:p>
      <w:pPr>
        <w:spacing w:before="27"/>
        <w:ind w:left="117" w:right="0" w:firstLine="0"/>
        <w:jc w:val="both"/>
        <w:rPr>
          <w:i/>
          <w:sz w:val="18"/>
        </w:rPr>
      </w:pPr>
      <w:r>
        <w:rPr>
          <w:w w:val="105"/>
          <w:position w:val="7"/>
          <w:sz w:val="11"/>
        </w:rPr>
        <w:t>245  </w:t>
      </w:r>
      <w:r>
        <w:rPr>
          <w:i/>
          <w:w w:val="105"/>
          <w:sz w:val="18"/>
        </w:rPr>
        <w:t>Ibídem.</w:t>
      </w:r>
    </w:p>
    <w:p>
      <w:pPr>
        <w:spacing w:before="28"/>
        <w:ind w:left="117" w:right="0" w:firstLine="0"/>
        <w:jc w:val="both"/>
        <w:rPr>
          <w:i/>
          <w:sz w:val="18"/>
        </w:rPr>
      </w:pPr>
      <w:r>
        <w:rPr>
          <w:w w:val="105"/>
          <w:position w:val="7"/>
          <w:sz w:val="11"/>
        </w:rPr>
        <w:t>246  </w:t>
      </w:r>
      <w:r>
        <w:rPr>
          <w:i/>
          <w:w w:val="105"/>
          <w:sz w:val="18"/>
        </w:rPr>
        <w:t>Ibídem.</w:t>
      </w:r>
    </w:p>
    <w:p>
      <w:pPr>
        <w:spacing w:before="28"/>
        <w:ind w:left="117" w:right="0" w:firstLine="0"/>
        <w:jc w:val="both"/>
        <w:rPr>
          <w:i/>
          <w:sz w:val="18"/>
        </w:rPr>
      </w:pPr>
      <w:r>
        <w:rPr>
          <w:w w:val="105"/>
          <w:position w:val="7"/>
          <w:sz w:val="11"/>
        </w:rPr>
        <w:t>247  </w:t>
      </w:r>
      <w:r>
        <w:rPr>
          <w:i/>
          <w:w w:val="105"/>
          <w:sz w:val="18"/>
        </w:rPr>
        <w:t>Ibídem.</w:t>
      </w:r>
    </w:p>
    <w:p>
      <w:pPr>
        <w:spacing w:after="0"/>
        <w:jc w:val="both"/>
        <w:rPr>
          <w:sz w:val="18"/>
        </w:rPr>
        <w:sectPr>
          <w:pgSz w:w="9360" w:h="13040"/>
          <w:pgMar w:header="547" w:footer="514" w:top="940" w:bottom="700" w:left="1300" w:right="740"/>
        </w:sectPr>
      </w:pPr>
    </w:p>
    <w:p>
      <w:pPr>
        <w:pStyle w:val="BodyText"/>
        <w:rPr>
          <w:i/>
          <w:sz w:val="20"/>
        </w:rPr>
      </w:pPr>
    </w:p>
    <w:p>
      <w:pPr>
        <w:pStyle w:val="BodyText"/>
        <w:spacing w:before="1"/>
        <w:rPr>
          <w:i/>
          <w:sz w:val="29"/>
        </w:rPr>
      </w:pPr>
    </w:p>
    <w:p>
      <w:pPr>
        <w:spacing w:line="235" w:lineRule="auto" w:before="75"/>
        <w:ind w:left="110" w:right="114" w:firstLine="0"/>
        <w:jc w:val="both"/>
        <w:rPr>
          <w:sz w:val="23"/>
        </w:rPr>
      </w:pPr>
      <w:r>
        <w:rPr>
          <w:sz w:val="23"/>
        </w:rPr>
        <w:t>la </w:t>
      </w:r>
      <w:r>
        <w:rPr>
          <w:i/>
          <w:sz w:val="23"/>
        </w:rPr>
        <w:t>“presentación del informe programático correspondiente al periodo </w:t>
      </w:r>
      <w:r>
        <w:rPr>
          <w:i/>
          <w:sz w:val="23"/>
        </w:rPr>
        <w:t>abril-noviembre 2010, y </w:t>
      </w:r>
      <w:r>
        <w:rPr>
          <w:i/>
          <w:spacing w:val="-2"/>
          <w:sz w:val="23"/>
        </w:rPr>
        <w:t>rubros </w:t>
      </w:r>
      <w:r>
        <w:rPr>
          <w:i/>
          <w:sz w:val="23"/>
        </w:rPr>
        <w:t>que se actualizaron en el programa especial programa estatal de cultura física y deporte 2005-2011”… </w:t>
      </w:r>
      <w:r>
        <w:rPr>
          <w:sz w:val="23"/>
        </w:rPr>
        <w:t>así mismo, se hizo la </w:t>
      </w:r>
      <w:r>
        <w:rPr>
          <w:i/>
          <w:sz w:val="23"/>
        </w:rPr>
        <w:t>“presentación de la propuesta de calendarización para el ejercicio </w:t>
      </w:r>
      <w:r>
        <w:rPr>
          <w:i/>
          <w:spacing w:val="-4"/>
          <w:sz w:val="23"/>
        </w:rPr>
        <w:t>2011” </w:t>
      </w:r>
      <w:r>
        <w:rPr>
          <w:sz w:val="23"/>
        </w:rPr>
        <w:t>(dos al año, en junio y diciembre)</w:t>
      </w:r>
      <w:r>
        <w:rPr>
          <w:position w:val="8"/>
          <w:sz w:val="13"/>
        </w:rPr>
        <w:t>248</w:t>
      </w:r>
      <w:r>
        <w:rPr>
          <w:sz w:val="23"/>
        </w:rPr>
        <w:t>. En lo anterior, se observa que  las sesiones de los subcomités del COPLADEHI sirven básicamente para la coordinación</w:t>
      </w:r>
      <w:r>
        <w:rPr>
          <w:spacing w:val="-14"/>
          <w:sz w:val="23"/>
        </w:rPr>
        <w:t> </w:t>
      </w:r>
      <w:r>
        <w:rPr>
          <w:sz w:val="23"/>
        </w:rPr>
        <w:t>interorganizacional</w:t>
      </w:r>
      <w:r>
        <w:rPr>
          <w:spacing w:val="-13"/>
          <w:sz w:val="23"/>
        </w:rPr>
        <w:t> </w:t>
      </w:r>
      <w:r>
        <w:rPr>
          <w:sz w:val="23"/>
        </w:rPr>
        <w:t>del</w:t>
      </w:r>
      <w:r>
        <w:rPr>
          <w:spacing w:val="-13"/>
          <w:sz w:val="23"/>
        </w:rPr>
        <w:t> </w:t>
      </w:r>
      <w:r>
        <w:rPr>
          <w:sz w:val="23"/>
        </w:rPr>
        <w:t>mismo</w:t>
      </w:r>
      <w:r>
        <w:rPr>
          <w:spacing w:val="-13"/>
          <w:sz w:val="23"/>
        </w:rPr>
        <w:t> </w:t>
      </w:r>
      <w:r>
        <w:rPr>
          <w:sz w:val="23"/>
        </w:rPr>
        <w:t>gobierno</w:t>
      </w:r>
      <w:r>
        <w:rPr>
          <w:spacing w:val="-13"/>
          <w:sz w:val="23"/>
        </w:rPr>
        <w:t> </w:t>
      </w:r>
      <w:r>
        <w:rPr>
          <w:sz w:val="23"/>
        </w:rPr>
        <w:t>estatal,</w:t>
      </w:r>
      <w:r>
        <w:rPr>
          <w:spacing w:val="-14"/>
          <w:sz w:val="23"/>
        </w:rPr>
        <w:t> </w:t>
      </w:r>
      <w:r>
        <w:rPr>
          <w:sz w:val="23"/>
        </w:rPr>
        <w:t>quedando</w:t>
      </w:r>
      <w:r>
        <w:rPr>
          <w:spacing w:val="-13"/>
          <w:sz w:val="23"/>
        </w:rPr>
        <w:t> </w:t>
      </w:r>
      <w:r>
        <w:rPr>
          <w:sz w:val="23"/>
        </w:rPr>
        <w:t>fuera, además de los representantes ciudadanos, los delegados de la administración pública federal.</w:t>
      </w:r>
    </w:p>
    <w:p>
      <w:pPr>
        <w:pStyle w:val="BodyText"/>
        <w:spacing w:before="7"/>
        <w:rPr>
          <w:sz w:val="22"/>
        </w:rPr>
      </w:pPr>
    </w:p>
    <w:p>
      <w:pPr>
        <w:spacing w:line="235" w:lineRule="auto" w:before="1"/>
        <w:ind w:left="110" w:right="111" w:firstLine="0"/>
        <w:jc w:val="both"/>
        <w:rPr>
          <w:sz w:val="23"/>
        </w:rPr>
      </w:pPr>
      <w:r>
        <w:rPr>
          <w:sz w:val="23"/>
        </w:rPr>
        <w:t>En paralelo al trabajo del COPLADEHI, el Consejo Consultivo Ciudadano (CCC)</w:t>
      </w:r>
      <w:r>
        <w:rPr>
          <w:spacing w:val="-12"/>
          <w:sz w:val="23"/>
        </w:rPr>
        <w:t> </w:t>
      </w:r>
      <w:r>
        <w:rPr>
          <w:sz w:val="23"/>
        </w:rPr>
        <w:t>fue</w:t>
      </w:r>
      <w:r>
        <w:rPr>
          <w:spacing w:val="-12"/>
          <w:sz w:val="23"/>
        </w:rPr>
        <w:t> </w:t>
      </w:r>
      <w:r>
        <w:rPr>
          <w:sz w:val="23"/>
        </w:rPr>
        <w:t>creado</w:t>
      </w:r>
      <w:r>
        <w:rPr>
          <w:spacing w:val="-12"/>
          <w:sz w:val="23"/>
        </w:rPr>
        <w:t> </w:t>
      </w:r>
      <w:r>
        <w:rPr>
          <w:sz w:val="23"/>
        </w:rPr>
        <w:t>en</w:t>
      </w:r>
      <w:r>
        <w:rPr>
          <w:spacing w:val="-12"/>
          <w:sz w:val="23"/>
        </w:rPr>
        <w:t> </w:t>
      </w:r>
      <w:r>
        <w:rPr>
          <w:sz w:val="23"/>
        </w:rPr>
        <w:t>el</w:t>
      </w:r>
      <w:r>
        <w:rPr>
          <w:spacing w:val="-12"/>
          <w:sz w:val="23"/>
        </w:rPr>
        <w:t> </w:t>
      </w:r>
      <w:r>
        <w:rPr>
          <w:sz w:val="23"/>
        </w:rPr>
        <w:t>año</w:t>
      </w:r>
      <w:r>
        <w:rPr>
          <w:spacing w:val="-12"/>
          <w:sz w:val="23"/>
        </w:rPr>
        <w:t> </w:t>
      </w:r>
      <w:r>
        <w:rPr>
          <w:sz w:val="23"/>
        </w:rPr>
        <w:t>2006</w:t>
      </w:r>
      <w:r>
        <w:rPr>
          <w:spacing w:val="-12"/>
          <w:sz w:val="23"/>
        </w:rPr>
        <w:t> </w:t>
      </w:r>
      <w:r>
        <w:rPr>
          <w:sz w:val="23"/>
        </w:rPr>
        <w:t>para</w:t>
      </w:r>
      <w:r>
        <w:rPr>
          <w:spacing w:val="-12"/>
          <w:sz w:val="23"/>
        </w:rPr>
        <w:t> </w:t>
      </w:r>
      <w:r>
        <w:rPr>
          <w:sz w:val="23"/>
        </w:rPr>
        <w:t>encargarse</w:t>
      </w:r>
      <w:r>
        <w:rPr>
          <w:spacing w:val="-12"/>
          <w:sz w:val="23"/>
        </w:rPr>
        <w:t> </w:t>
      </w:r>
      <w:r>
        <w:rPr>
          <w:sz w:val="23"/>
        </w:rPr>
        <w:t>de</w:t>
      </w:r>
      <w:r>
        <w:rPr>
          <w:spacing w:val="-12"/>
          <w:sz w:val="23"/>
        </w:rPr>
        <w:t> </w:t>
      </w:r>
      <w:r>
        <w:rPr>
          <w:sz w:val="23"/>
        </w:rPr>
        <w:t>organizar</w:t>
      </w:r>
      <w:r>
        <w:rPr>
          <w:spacing w:val="-11"/>
          <w:sz w:val="23"/>
        </w:rPr>
        <w:t> </w:t>
      </w:r>
      <w:r>
        <w:rPr>
          <w:sz w:val="23"/>
        </w:rPr>
        <w:t>la</w:t>
      </w:r>
      <w:r>
        <w:rPr>
          <w:spacing w:val="-12"/>
          <w:sz w:val="23"/>
        </w:rPr>
        <w:t> </w:t>
      </w:r>
      <w:r>
        <w:rPr>
          <w:sz w:val="23"/>
        </w:rPr>
        <w:t>participación de</w:t>
      </w:r>
      <w:r>
        <w:rPr>
          <w:spacing w:val="-17"/>
          <w:sz w:val="23"/>
        </w:rPr>
        <w:t> </w:t>
      </w:r>
      <w:r>
        <w:rPr>
          <w:sz w:val="23"/>
        </w:rPr>
        <w:t>los</w:t>
      </w:r>
      <w:r>
        <w:rPr>
          <w:spacing w:val="-17"/>
          <w:sz w:val="23"/>
        </w:rPr>
        <w:t> </w:t>
      </w:r>
      <w:r>
        <w:rPr>
          <w:sz w:val="23"/>
        </w:rPr>
        <w:t>ciudadanos</w:t>
      </w:r>
      <w:r>
        <w:rPr>
          <w:spacing w:val="-17"/>
          <w:sz w:val="23"/>
        </w:rPr>
        <w:t> </w:t>
      </w:r>
      <w:r>
        <w:rPr>
          <w:sz w:val="23"/>
        </w:rPr>
        <w:t>y</w:t>
      </w:r>
      <w:r>
        <w:rPr>
          <w:spacing w:val="-17"/>
          <w:sz w:val="23"/>
        </w:rPr>
        <w:t> </w:t>
      </w:r>
      <w:r>
        <w:rPr>
          <w:sz w:val="23"/>
        </w:rPr>
        <w:t>orientarla</w:t>
      </w:r>
      <w:r>
        <w:rPr>
          <w:spacing w:val="-17"/>
          <w:sz w:val="23"/>
        </w:rPr>
        <w:t> </w:t>
      </w:r>
      <w:r>
        <w:rPr>
          <w:sz w:val="23"/>
        </w:rPr>
        <w:t>hacia</w:t>
      </w:r>
      <w:r>
        <w:rPr>
          <w:spacing w:val="-17"/>
          <w:sz w:val="23"/>
        </w:rPr>
        <w:t> </w:t>
      </w:r>
      <w:r>
        <w:rPr>
          <w:sz w:val="23"/>
        </w:rPr>
        <w:t>la</w:t>
      </w:r>
      <w:r>
        <w:rPr>
          <w:spacing w:val="-17"/>
          <w:sz w:val="23"/>
        </w:rPr>
        <w:t> </w:t>
      </w:r>
      <w:r>
        <w:rPr>
          <w:sz w:val="23"/>
        </w:rPr>
        <w:t>búsqueda</w:t>
      </w:r>
      <w:r>
        <w:rPr>
          <w:spacing w:val="-17"/>
          <w:sz w:val="23"/>
        </w:rPr>
        <w:t> </w:t>
      </w:r>
      <w:r>
        <w:rPr>
          <w:sz w:val="23"/>
        </w:rPr>
        <w:t>de</w:t>
      </w:r>
      <w:r>
        <w:rPr>
          <w:spacing w:val="-17"/>
          <w:sz w:val="23"/>
        </w:rPr>
        <w:t> </w:t>
      </w:r>
      <w:r>
        <w:rPr>
          <w:i/>
          <w:sz w:val="23"/>
        </w:rPr>
        <w:t>soluciones</w:t>
      </w:r>
      <w:r>
        <w:rPr>
          <w:i/>
          <w:spacing w:val="-16"/>
          <w:sz w:val="23"/>
        </w:rPr>
        <w:t> </w:t>
      </w:r>
      <w:r>
        <w:rPr>
          <w:i/>
          <w:sz w:val="23"/>
        </w:rPr>
        <w:t>a</w:t>
      </w:r>
      <w:r>
        <w:rPr>
          <w:i/>
          <w:spacing w:val="-17"/>
          <w:sz w:val="23"/>
        </w:rPr>
        <w:t> </w:t>
      </w:r>
      <w:r>
        <w:rPr>
          <w:i/>
          <w:sz w:val="23"/>
        </w:rPr>
        <w:t>los</w:t>
      </w:r>
      <w:r>
        <w:rPr>
          <w:i/>
          <w:spacing w:val="-17"/>
          <w:sz w:val="23"/>
        </w:rPr>
        <w:t> </w:t>
      </w:r>
      <w:r>
        <w:rPr>
          <w:i/>
          <w:sz w:val="23"/>
        </w:rPr>
        <w:t>problemas </w:t>
      </w:r>
      <w:r>
        <w:rPr>
          <w:i/>
          <w:sz w:val="23"/>
        </w:rPr>
        <w:t>que aquejan a la sociedad hidalguense. </w:t>
      </w:r>
      <w:r>
        <w:rPr>
          <w:sz w:val="23"/>
        </w:rPr>
        <w:t>Además de su carácter autónomo, se </w:t>
      </w:r>
      <w:r>
        <w:rPr>
          <w:spacing w:val="5"/>
          <w:sz w:val="23"/>
        </w:rPr>
        <w:t>afirmaqueenel</w:t>
      </w:r>
      <w:r>
        <w:rPr>
          <w:spacing w:val="-32"/>
          <w:sz w:val="23"/>
        </w:rPr>
        <w:t> </w:t>
      </w:r>
      <w:r>
        <w:rPr>
          <w:sz w:val="23"/>
        </w:rPr>
        <w:t>CCC</w:t>
      </w:r>
      <w:r>
        <w:rPr>
          <w:spacing w:val="-32"/>
          <w:sz w:val="23"/>
        </w:rPr>
        <w:t> </w:t>
      </w:r>
      <w:r>
        <w:rPr>
          <w:i/>
          <w:spacing w:val="4"/>
          <w:sz w:val="23"/>
        </w:rPr>
        <w:t>alainversa</w:t>
      </w:r>
      <w:r>
        <w:rPr>
          <w:i/>
          <w:spacing w:val="-32"/>
          <w:sz w:val="23"/>
        </w:rPr>
        <w:t> </w:t>
      </w:r>
      <w:r>
        <w:rPr>
          <w:i/>
          <w:sz w:val="23"/>
        </w:rPr>
        <w:t>del</w:t>
      </w:r>
      <w:r>
        <w:rPr>
          <w:i/>
          <w:spacing w:val="-32"/>
          <w:sz w:val="23"/>
        </w:rPr>
        <w:t> </w:t>
      </w:r>
      <w:r>
        <w:rPr>
          <w:i/>
          <w:sz w:val="23"/>
        </w:rPr>
        <w:t>COPLADEHI</w:t>
      </w:r>
      <w:r>
        <w:rPr>
          <w:i/>
          <w:spacing w:val="-32"/>
          <w:sz w:val="23"/>
        </w:rPr>
        <w:t> </w:t>
      </w:r>
      <w:r>
        <w:rPr>
          <w:spacing w:val="2"/>
          <w:sz w:val="23"/>
        </w:rPr>
        <w:t>lamayoría</w:t>
      </w:r>
      <w:r>
        <w:rPr>
          <w:spacing w:val="-32"/>
          <w:sz w:val="23"/>
        </w:rPr>
        <w:t> </w:t>
      </w:r>
      <w:r>
        <w:rPr>
          <w:sz w:val="23"/>
        </w:rPr>
        <w:t>de</w:t>
      </w:r>
      <w:r>
        <w:rPr>
          <w:spacing w:val="-32"/>
          <w:sz w:val="23"/>
        </w:rPr>
        <w:t> </w:t>
      </w:r>
      <w:r>
        <w:rPr>
          <w:sz w:val="23"/>
        </w:rPr>
        <w:t>sus</w:t>
      </w:r>
      <w:r>
        <w:rPr>
          <w:spacing w:val="-32"/>
          <w:sz w:val="23"/>
        </w:rPr>
        <w:t> </w:t>
      </w:r>
      <w:r>
        <w:rPr>
          <w:sz w:val="23"/>
        </w:rPr>
        <w:t>integrantes son ciudadanos. No obstante, el formato de trabajo se subordina plenamente a</w:t>
      </w:r>
      <w:r>
        <w:rPr>
          <w:spacing w:val="-5"/>
          <w:sz w:val="23"/>
        </w:rPr>
        <w:t> </w:t>
      </w:r>
      <w:r>
        <w:rPr>
          <w:sz w:val="23"/>
        </w:rPr>
        <w:t>la</w:t>
      </w:r>
      <w:r>
        <w:rPr>
          <w:spacing w:val="-5"/>
          <w:sz w:val="23"/>
        </w:rPr>
        <w:t> </w:t>
      </w:r>
      <w:r>
        <w:rPr>
          <w:sz w:val="23"/>
        </w:rPr>
        <w:t>lógica</w:t>
      </w:r>
      <w:r>
        <w:rPr>
          <w:spacing w:val="-5"/>
          <w:sz w:val="23"/>
        </w:rPr>
        <w:t> </w:t>
      </w:r>
      <w:r>
        <w:rPr>
          <w:sz w:val="23"/>
        </w:rPr>
        <w:t>de</w:t>
      </w:r>
      <w:r>
        <w:rPr>
          <w:spacing w:val="-5"/>
          <w:sz w:val="23"/>
        </w:rPr>
        <w:t> </w:t>
      </w:r>
      <w:r>
        <w:rPr>
          <w:sz w:val="23"/>
        </w:rPr>
        <w:t>los</w:t>
      </w:r>
      <w:r>
        <w:rPr>
          <w:spacing w:val="-5"/>
          <w:sz w:val="23"/>
        </w:rPr>
        <w:t> </w:t>
      </w:r>
      <w:r>
        <w:rPr>
          <w:sz w:val="23"/>
        </w:rPr>
        <w:t>sectores</w:t>
      </w:r>
      <w:r>
        <w:rPr>
          <w:spacing w:val="-4"/>
          <w:sz w:val="23"/>
        </w:rPr>
        <w:t> </w:t>
      </w:r>
      <w:r>
        <w:rPr>
          <w:sz w:val="23"/>
        </w:rPr>
        <w:t>administrativos</w:t>
      </w:r>
      <w:r>
        <w:rPr>
          <w:spacing w:val="-6"/>
          <w:sz w:val="23"/>
        </w:rPr>
        <w:t> </w:t>
      </w:r>
      <w:r>
        <w:rPr>
          <w:sz w:val="23"/>
        </w:rPr>
        <w:t>estatales,</w:t>
      </w:r>
      <w:r>
        <w:rPr>
          <w:spacing w:val="-6"/>
          <w:sz w:val="23"/>
        </w:rPr>
        <w:t> </w:t>
      </w:r>
      <w:r>
        <w:rPr>
          <w:sz w:val="23"/>
        </w:rPr>
        <w:t>pues</w:t>
      </w:r>
      <w:r>
        <w:rPr>
          <w:spacing w:val="-5"/>
          <w:sz w:val="23"/>
        </w:rPr>
        <w:t> </w:t>
      </w:r>
      <w:r>
        <w:rPr>
          <w:sz w:val="23"/>
        </w:rPr>
        <w:t>la</w:t>
      </w:r>
      <w:r>
        <w:rPr>
          <w:spacing w:val="-5"/>
          <w:sz w:val="23"/>
        </w:rPr>
        <w:t> </w:t>
      </w:r>
      <w:r>
        <w:rPr>
          <w:sz w:val="23"/>
        </w:rPr>
        <w:t>secuencia</w:t>
      </w:r>
      <w:r>
        <w:rPr>
          <w:spacing w:val="-4"/>
          <w:sz w:val="23"/>
        </w:rPr>
        <w:t> </w:t>
      </w:r>
      <w:r>
        <w:rPr>
          <w:sz w:val="23"/>
        </w:rPr>
        <w:t>relativa es la siguiente: </w:t>
      </w:r>
      <w:r>
        <w:rPr>
          <w:i/>
          <w:sz w:val="23"/>
        </w:rPr>
        <w:t>se integra un programa de trabajo, se citan a funcionarios </w:t>
      </w:r>
      <w:r>
        <w:rPr>
          <w:i/>
          <w:sz w:val="23"/>
        </w:rPr>
        <w:t>estatales</w:t>
      </w:r>
      <w:r>
        <w:rPr>
          <w:i/>
          <w:spacing w:val="-8"/>
          <w:sz w:val="23"/>
        </w:rPr>
        <w:t> </w:t>
      </w:r>
      <w:r>
        <w:rPr>
          <w:i/>
          <w:sz w:val="23"/>
        </w:rPr>
        <w:t>para</w:t>
      </w:r>
      <w:r>
        <w:rPr>
          <w:i/>
          <w:spacing w:val="-7"/>
          <w:sz w:val="23"/>
        </w:rPr>
        <w:t> </w:t>
      </w:r>
      <w:r>
        <w:rPr>
          <w:i/>
          <w:sz w:val="23"/>
        </w:rPr>
        <w:t>tratar</w:t>
      </w:r>
      <w:r>
        <w:rPr>
          <w:i/>
          <w:spacing w:val="-8"/>
          <w:sz w:val="23"/>
        </w:rPr>
        <w:t> </w:t>
      </w:r>
      <w:r>
        <w:rPr>
          <w:i/>
          <w:sz w:val="23"/>
        </w:rPr>
        <w:t>de</w:t>
      </w:r>
      <w:r>
        <w:rPr>
          <w:i/>
          <w:spacing w:val="-7"/>
          <w:sz w:val="23"/>
        </w:rPr>
        <w:t> </w:t>
      </w:r>
      <w:r>
        <w:rPr>
          <w:i/>
          <w:sz w:val="23"/>
        </w:rPr>
        <w:t>conocer</w:t>
      </w:r>
      <w:r>
        <w:rPr>
          <w:i/>
          <w:spacing w:val="-8"/>
          <w:sz w:val="23"/>
        </w:rPr>
        <w:t> </w:t>
      </w:r>
      <w:r>
        <w:rPr>
          <w:i/>
          <w:sz w:val="23"/>
        </w:rPr>
        <w:t>integralmente</w:t>
      </w:r>
      <w:r>
        <w:rPr>
          <w:i/>
          <w:spacing w:val="-8"/>
          <w:sz w:val="23"/>
        </w:rPr>
        <w:t> </w:t>
      </w:r>
      <w:r>
        <w:rPr>
          <w:i/>
          <w:sz w:val="23"/>
        </w:rPr>
        <w:t>la</w:t>
      </w:r>
      <w:r>
        <w:rPr>
          <w:i/>
          <w:spacing w:val="-7"/>
          <w:sz w:val="23"/>
        </w:rPr>
        <w:t> </w:t>
      </w:r>
      <w:r>
        <w:rPr>
          <w:i/>
          <w:sz w:val="23"/>
        </w:rPr>
        <w:t>estructura</w:t>
      </w:r>
      <w:r>
        <w:rPr>
          <w:i/>
          <w:spacing w:val="-8"/>
          <w:sz w:val="23"/>
        </w:rPr>
        <w:t> </w:t>
      </w:r>
      <w:r>
        <w:rPr>
          <w:i/>
          <w:sz w:val="23"/>
        </w:rPr>
        <w:t>gubernamental</w:t>
      </w:r>
      <w:r>
        <w:rPr>
          <w:i/>
          <w:spacing w:val="-7"/>
          <w:sz w:val="23"/>
        </w:rPr>
        <w:t> </w:t>
      </w:r>
      <w:r>
        <w:rPr>
          <w:i/>
          <w:sz w:val="23"/>
        </w:rPr>
        <w:t>y poder</w:t>
      </w:r>
      <w:r>
        <w:rPr>
          <w:i/>
          <w:spacing w:val="-16"/>
          <w:sz w:val="23"/>
        </w:rPr>
        <w:t> </w:t>
      </w:r>
      <w:r>
        <w:rPr>
          <w:i/>
          <w:sz w:val="23"/>
        </w:rPr>
        <w:t>ubicar</w:t>
      </w:r>
      <w:r>
        <w:rPr>
          <w:i/>
          <w:spacing w:val="-16"/>
          <w:sz w:val="23"/>
        </w:rPr>
        <w:t> </w:t>
      </w:r>
      <w:r>
        <w:rPr>
          <w:i/>
          <w:sz w:val="23"/>
        </w:rPr>
        <w:t>los</w:t>
      </w:r>
      <w:r>
        <w:rPr>
          <w:i/>
          <w:spacing w:val="-16"/>
          <w:sz w:val="23"/>
        </w:rPr>
        <w:t> </w:t>
      </w:r>
      <w:r>
        <w:rPr>
          <w:i/>
          <w:sz w:val="23"/>
        </w:rPr>
        <w:t>cuestionamientos,</w:t>
      </w:r>
      <w:r>
        <w:rPr>
          <w:i/>
          <w:spacing w:val="-17"/>
          <w:sz w:val="23"/>
        </w:rPr>
        <w:t> </w:t>
      </w:r>
      <w:r>
        <w:rPr>
          <w:i/>
          <w:sz w:val="23"/>
        </w:rPr>
        <w:t>y</w:t>
      </w:r>
      <w:r>
        <w:rPr>
          <w:i/>
          <w:spacing w:val="-16"/>
          <w:sz w:val="23"/>
        </w:rPr>
        <w:t> </w:t>
      </w:r>
      <w:r>
        <w:rPr>
          <w:i/>
          <w:sz w:val="23"/>
        </w:rPr>
        <w:t>se</w:t>
      </w:r>
      <w:r>
        <w:rPr>
          <w:i/>
          <w:spacing w:val="-16"/>
          <w:sz w:val="23"/>
        </w:rPr>
        <w:t> </w:t>
      </w:r>
      <w:r>
        <w:rPr>
          <w:i/>
          <w:sz w:val="23"/>
        </w:rPr>
        <w:t>realizan</w:t>
      </w:r>
      <w:r>
        <w:rPr>
          <w:i/>
          <w:spacing w:val="-16"/>
          <w:sz w:val="23"/>
        </w:rPr>
        <w:t> </w:t>
      </w:r>
      <w:r>
        <w:rPr>
          <w:i/>
          <w:sz w:val="23"/>
        </w:rPr>
        <w:t>las</w:t>
      </w:r>
      <w:r>
        <w:rPr>
          <w:i/>
          <w:spacing w:val="-16"/>
          <w:sz w:val="23"/>
        </w:rPr>
        <w:t> </w:t>
      </w:r>
      <w:r>
        <w:rPr>
          <w:i/>
          <w:sz w:val="23"/>
        </w:rPr>
        <w:t>sugerencias</w:t>
      </w:r>
      <w:r>
        <w:rPr>
          <w:i/>
          <w:spacing w:val="-16"/>
          <w:sz w:val="23"/>
        </w:rPr>
        <w:t> </w:t>
      </w:r>
      <w:r>
        <w:rPr>
          <w:i/>
          <w:sz w:val="23"/>
        </w:rPr>
        <w:t>para</w:t>
      </w:r>
      <w:r>
        <w:rPr>
          <w:i/>
          <w:spacing w:val="-16"/>
          <w:sz w:val="23"/>
        </w:rPr>
        <w:t> </w:t>
      </w:r>
      <w:r>
        <w:rPr>
          <w:i/>
          <w:sz w:val="23"/>
        </w:rPr>
        <w:t>conocer la</w:t>
      </w:r>
      <w:r>
        <w:rPr>
          <w:i/>
          <w:spacing w:val="-10"/>
          <w:sz w:val="23"/>
        </w:rPr>
        <w:t> </w:t>
      </w:r>
      <w:r>
        <w:rPr>
          <w:i/>
          <w:sz w:val="23"/>
        </w:rPr>
        <w:t>viabilidad</w:t>
      </w:r>
      <w:r>
        <w:rPr>
          <w:i/>
          <w:spacing w:val="-11"/>
          <w:sz w:val="23"/>
        </w:rPr>
        <w:t> </w:t>
      </w:r>
      <w:r>
        <w:rPr>
          <w:i/>
          <w:sz w:val="23"/>
        </w:rPr>
        <w:t>de</w:t>
      </w:r>
      <w:r>
        <w:rPr>
          <w:i/>
          <w:spacing w:val="-10"/>
          <w:sz w:val="23"/>
        </w:rPr>
        <w:t> </w:t>
      </w:r>
      <w:r>
        <w:rPr>
          <w:i/>
          <w:sz w:val="23"/>
        </w:rPr>
        <w:t>las</w:t>
      </w:r>
      <w:r>
        <w:rPr>
          <w:i/>
          <w:spacing w:val="-10"/>
          <w:sz w:val="23"/>
        </w:rPr>
        <w:t> </w:t>
      </w:r>
      <w:r>
        <w:rPr>
          <w:i/>
          <w:sz w:val="23"/>
        </w:rPr>
        <w:t>mismas</w:t>
      </w:r>
      <w:r>
        <w:rPr>
          <w:position w:val="8"/>
          <w:sz w:val="13"/>
        </w:rPr>
        <w:t>249</w:t>
      </w:r>
      <w:r>
        <w:rPr>
          <w:sz w:val="23"/>
        </w:rPr>
        <w:t>.</w:t>
      </w:r>
      <w:r>
        <w:rPr>
          <w:spacing w:val="-10"/>
          <w:sz w:val="23"/>
        </w:rPr>
        <w:t> </w:t>
      </w:r>
      <w:r>
        <w:rPr>
          <w:sz w:val="23"/>
        </w:rPr>
        <w:t>De</w:t>
      </w:r>
      <w:r>
        <w:rPr>
          <w:spacing w:val="-10"/>
          <w:sz w:val="23"/>
        </w:rPr>
        <w:t> </w:t>
      </w:r>
      <w:r>
        <w:rPr>
          <w:sz w:val="23"/>
        </w:rPr>
        <w:t>ese</w:t>
      </w:r>
      <w:r>
        <w:rPr>
          <w:spacing w:val="-10"/>
          <w:sz w:val="23"/>
        </w:rPr>
        <w:t> </w:t>
      </w:r>
      <w:r>
        <w:rPr>
          <w:sz w:val="23"/>
        </w:rPr>
        <w:t>modo,</w:t>
      </w:r>
      <w:r>
        <w:rPr>
          <w:spacing w:val="-10"/>
          <w:sz w:val="23"/>
        </w:rPr>
        <w:t> </w:t>
      </w:r>
      <w:r>
        <w:rPr>
          <w:sz w:val="23"/>
        </w:rPr>
        <w:t>las</w:t>
      </w:r>
      <w:r>
        <w:rPr>
          <w:spacing w:val="-10"/>
          <w:sz w:val="23"/>
        </w:rPr>
        <w:t> </w:t>
      </w:r>
      <w:r>
        <w:rPr>
          <w:sz w:val="23"/>
        </w:rPr>
        <w:t>propuestas</w:t>
      </w:r>
      <w:r>
        <w:rPr>
          <w:spacing w:val="-10"/>
          <w:sz w:val="23"/>
        </w:rPr>
        <w:t> </w:t>
      </w:r>
      <w:r>
        <w:rPr>
          <w:sz w:val="23"/>
        </w:rPr>
        <w:t>ciudadanas</w:t>
      </w:r>
      <w:r>
        <w:rPr>
          <w:spacing w:val="-11"/>
          <w:sz w:val="23"/>
        </w:rPr>
        <w:t> </w:t>
      </w:r>
      <w:r>
        <w:rPr>
          <w:sz w:val="23"/>
        </w:rPr>
        <w:t>no</w:t>
      </w:r>
      <w:r>
        <w:rPr>
          <w:spacing w:val="-10"/>
          <w:sz w:val="23"/>
        </w:rPr>
        <w:t> </w:t>
      </w:r>
      <w:r>
        <w:rPr>
          <w:sz w:val="23"/>
        </w:rPr>
        <w:t>son insumos para el diseño estratégico sino simples sugerencias que se someten al juicio de los funcionarios estatales. A manera de ejemplo, un consejero</w:t>
      </w:r>
      <w:r>
        <w:rPr>
          <w:spacing w:val="-26"/>
          <w:sz w:val="23"/>
        </w:rPr>
        <w:t> </w:t>
      </w:r>
      <w:r>
        <w:rPr>
          <w:sz w:val="23"/>
        </w:rPr>
        <w:t>del CCC ha propuesto la construcción de un sistema de transporte colectivo tipo </w:t>
      </w:r>
      <w:r>
        <w:rPr>
          <w:i/>
          <w:sz w:val="23"/>
        </w:rPr>
        <w:t>bus</w:t>
      </w:r>
      <w:r>
        <w:rPr>
          <w:i/>
          <w:spacing w:val="-16"/>
          <w:sz w:val="23"/>
        </w:rPr>
        <w:t> </w:t>
      </w:r>
      <w:r>
        <w:rPr>
          <w:i/>
          <w:sz w:val="23"/>
        </w:rPr>
        <w:t>rapid</w:t>
      </w:r>
      <w:r>
        <w:rPr>
          <w:i/>
          <w:spacing w:val="-16"/>
          <w:sz w:val="23"/>
        </w:rPr>
        <w:t> </w:t>
      </w:r>
      <w:r>
        <w:rPr>
          <w:i/>
          <w:sz w:val="23"/>
        </w:rPr>
        <w:t>transit</w:t>
      </w:r>
      <w:r>
        <w:rPr>
          <w:i/>
          <w:spacing w:val="-16"/>
          <w:sz w:val="23"/>
        </w:rPr>
        <w:t> </w:t>
      </w:r>
      <w:r>
        <w:rPr>
          <w:spacing w:val="-3"/>
          <w:sz w:val="23"/>
        </w:rPr>
        <w:t>(BRT)</w:t>
      </w:r>
      <w:r>
        <w:rPr>
          <w:spacing w:val="-16"/>
          <w:sz w:val="23"/>
        </w:rPr>
        <w:t> </w:t>
      </w:r>
      <w:r>
        <w:rPr>
          <w:sz w:val="23"/>
        </w:rPr>
        <w:t>para</w:t>
      </w:r>
      <w:r>
        <w:rPr>
          <w:spacing w:val="-16"/>
          <w:sz w:val="23"/>
        </w:rPr>
        <w:t> </w:t>
      </w:r>
      <w:r>
        <w:rPr>
          <w:sz w:val="23"/>
        </w:rPr>
        <w:t>la</w:t>
      </w:r>
      <w:r>
        <w:rPr>
          <w:spacing w:val="-16"/>
          <w:sz w:val="23"/>
        </w:rPr>
        <w:t> </w:t>
      </w:r>
      <w:r>
        <w:rPr>
          <w:sz w:val="23"/>
        </w:rPr>
        <w:t>ciudad</w:t>
      </w:r>
      <w:r>
        <w:rPr>
          <w:spacing w:val="-17"/>
          <w:sz w:val="23"/>
        </w:rPr>
        <w:t> </w:t>
      </w:r>
      <w:r>
        <w:rPr>
          <w:sz w:val="23"/>
        </w:rPr>
        <w:t>de</w:t>
      </w:r>
      <w:r>
        <w:rPr>
          <w:spacing w:val="-16"/>
          <w:sz w:val="23"/>
        </w:rPr>
        <w:t> </w:t>
      </w:r>
      <w:r>
        <w:rPr>
          <w:sz w:val="23"/>
        </w:rPr>
        <w:t>Pachuca</w:t>
      </w:r>
      <w:r>
        <w:rPr>
          <w:position w:val="8"/>
          <w:sz w:val="13"/>
        </w:rPr>
        <w:t>250</w:t>
      </w:r>
      <w:r>
        <w:rPr>
          <w:sz w:val="23"/>
        </w:rPr>
        <w:t>,</w:t>
      </w:r>
      <w:r>
        <w:rPr>
          <w:spacing w:val="-16"/>
          <w:sz w:val="23"/>
        </w:rPr>
        <w:t> </w:t>
      </w:r>
      <w:r>
        <w:rPr>
          <w:sz w:val="23"/>
        </w:rPr>
        <w:t>este</w:t>
      </w:r>
      <w:r>
        <w:rPr>
          <w:spacing w:val="-16"/>
          <w:sz w:val="23"/>
        </w:rPr>
        <w:t> </w:t>
      </w:r>
      <w:r>
        <w:rPr>
          <w:sz w:val="23"/>
        </w:rPr>
        <w:t>consejero</w:t>
      </w:r>
      <w:r>
        <w:rPr>
          <w:spacing w:val="-17"/>
          <w:sz w:val="23"/>
        </w:rPr>
        <w:t> </w:t>
      </w:r>
      <w:r>
        <w:rPr>
          <w:sz w:val="23"/>
        </w:rPr>
        <w:t>manifiesta que (el proyecto) </w:t>
      </w:r>
      <w:r>
        <w:rPr>
          <w:i/>
          <w:sz w:val="23"/>
        </w:rPr>
        <w:t>lo han conocido los gobernadores </w:t>
      </w:r>
      <w:r>
        <w:rPr>
          <w:sz w:val="23"/>
        </w:rPr>
        <w:t>(1999-2005) y (2005- 2011)</w:t>
      </w:r>
      <w:r>
        <w:rPr>
          <w:i/>
          <w:sz w:val="23"/>
        </w:rPr>
        <w:t>, los secretarios de obras públicas respectivos, el presidente municipal </w:t>
      </w:r>
      <w:r>
        <w:rPr>
          <w:sz w:val="23"/>
        </w:rPr>
        <w:t>(de Pachuca 2003-2006) </w:t>
      </w:r>
      <w:r>
        <w:rPr>
          <w:i/>
          <w:sz w:val="23"/>
        </w:rPr>
        <w:t>y el director general de </w:t>
      </w:r>
      <w:r>
        <w:rPr>
          <w:i/>
          <w:spacing w:val="-3"/>
          <w:sz w:val="23"/>
        </w:rPr>
        <w:t>Volvo</w:t>
      </w:r>
      <w:r>
        <w:rPr>
          <w:spacing w:val="-3"/>
          <w:position w:val="8"/>
          <w:sz w:val="13"/>
        </w:rPr>
        <w:t>251</w:t>
      </w:r>
      <w:r>
        <w:rPr>
          <w:i/>
          <w:spacing w:val="-3"/>
          <w:sz w:val="23"/>
        </w:rPr>
        <w:t>.  </w:t>
      </w:r>
      <w:r>
        <w:rPr>
          <w:sz w:val="23"/>
        </w:rPr>
        <w:t>El sistema </w:t>
      </w:r>
      <w:r>
        <w:rPr>
          <w:spacing w:val="-5"/>
          <w:sz w:val="23"/>
        </w:rPr>
        <w:t>BRT  </w:t>
      </w:r>
      <w:r>
        <w:rPr>
          <w:sz w:val="23"/>
        </w:rPr>
        <w:t>de Pachuca se consideró factible con apoyo de DINA y el financiamiento internacional</w:t>
      </w:r>
      <w:r>
        <w:rPr>
          <w:spacing w:val="-9"/>
          <w:sz w:val="23"/>
        </w:rPr>
        <w:t> </w:t>
      </w:r>
      <w:r>
        <w:rPr>
          <w:sz w:val="23"/>
        </w:rPr>
        <w:t>de</w:t>
      </w:r>
      <w:r>
        <w:rPr>
          <w:spacing w:val="-9"/>
          <w:sz w:val="23"/>
        </w:rPr>
        <w:t> </w:t>
      </w:r>
      <w:r>
        <w:rPr>
          <w:sz w:val="23"/>
        </w:rPr>
        <w:t>un</w:t>
      </w:r>
      <w:r>
        <w:rPr>
          <w:spacing w:val="-9"/>
          <w:sz w:val="23"/>
        </w:rPr>
        <w:t> </w:t>
      </w:r>
      <w:r>
        <w:rPr>
          <w:sz w:val="23"/>
        </w:rPr>
        <w:t>banco</w:t>
      </w:r>
      <w:r>
        <w:rPr>
          <w:spacing w:val="-9"/>
          <w:sz w:val="23"/>
        </w:rPr>
        <w:t> </w:t>
      </w:r>
      <w:r>
        <w:rPr>
          <w:sz w:val="23"/>
        </w:rPr>
        <w:t>sueco</w:t>
      </w:r>
      <w:r>
        <w:rPr>
          <w:position w:val="8"/>
          <w:sz w:val="13"/>
        </w:rPr>
        <w:t>252</w:t>
      </w:r>
      <w:r>
        <w:rPr>
          <w:sz w:val="23"/>
        </w:rPr>
        <w:t>,</w:t>
      </w:r>
      <w:r>
        <w:rPr>
          <w:spacing w:val="-9"/>
          <w:sz w:val="23"/>
        </w:rPr>
        <w:t> </w:t>
      </w:r>
      <w:r>
        <w:rPr>
          <w:sz w:val="23"/>
        </w:rPr>
        <w:t>sin</w:t>
      </w:r>
      <w:r>
        <w:rPr>
          <w:spacing w:val="-8"/>
          <w:sz w:val="23"/>
        </w:rPr>
        <w:t> </w:t>
      </w:r>
      <w:r>
        <w:rPr>
          <w:sz w:val="23"/>
        </w:rPr>
        <w:t>embargo,</w:t>
      </w:r>
      <w:r>
        <w:rPr>
          <w:spacing w:val="-9"/>
          <w:sz w:val="23"/>
        </w:rPr>
        <w:t> </w:t>
      </w:r>
      <w:r>
        <w:rPr>
          <w:sz w:val="23"/>
        </w:rPr>
        <w:t>a</w:t>
      </w:r>
      <w:r>
        <w:rPr>
          <w:spacing w:val="-9"/>
          <w:sz w:val="23"/>
        </w:rPr>
        <w:t> </w:t>
      </w:r>
      <w:r>
        <w:rPr>
          <w:sz w:val="23"/>
        </w:rPr>
        <w:t>la</w:t>
      </w:r>
      <w:r>
        <w:rPr>
          <w:spacing w:val="-9"/>
          <w:sz w:val="23"/>
        </w:rPr>
        <w:t> </w:t>
      </w:r>
      <w:r>
        <w:rPr>
          <w:sz w:val="23"/>
        </w:rPr>
        <w:t>fecha</w:t>
      </w:r>
      <w:r>
        <w:rPr>
          <w:spacing w:val="-8"/>
          <w:sz w:val="23"/>
        </w:rPr>
        <w:t> </w:t>
      </w:r>
      <w:r>
        <w:rPr>
          <w:sz w:val="23"/>
        </w:rPr>
        <w:t>no</w:t>
      </w:r>
      <w:r>
        <w:rPr>
          <w:spacing w:val="-9"/>
          <w:sz w:val="23"/>
        </w:rPr>
        <w:t> </w:t>
      </w:r>
      <w:r>
        <w:rPr>
          <w:sz w:val="23"/>
        </w:rPr>
        <w:t>existen</w:t>
      </w:r>
      <w:r>
        <w:rPr>
          <w:spacing w:val="-9"/>
          <w:sz w:val="23"/>
        </w:rPr>
        <w:t> </w:t>
      </w:r>
      <w:r>
        <w:rPr>
          <w:sz w:val="23"/>
        </w:rPr>
        <w:t>avances</w:t>
      </w:r>
    </w:p>
    <w:p>
      <w:pPr>
        <w:pStyle w:val="BodyText"/>
        <w:rPr>
          <w:sz w:val="11"/>
        </w:rPr>
      </w:pPr>
      <w:r>
        <w:rPr/>
        <w:pict>
          <v:line style="position:absolute;mso-position-horizontal-relative:page;mso-position-vertical-relative:paragraph;z-index:5848;mso-wrap-distance-left:0;mso-wrap-distance-right:0" from="42.519699pt,8.813595pt" to="114.519699pt,8.813595pt" stroked="true" strokeweight="1pt" strokecolor="#000000">
            <w10:wrap type="topAndBottom"/>
          </v:line>
        </w:pict>
      </w:r>
    </w:p>
    <w:p>
      <w:pPr>
        <w:spacing w:before="28"/>
        <w:ind w:left="110" w:right="0" w:firstLine="0"/>
        <w:jc w:val="left"/>
        <w:rPr>
          <w:i/>
          <w:sz w:val="18"/>
        </w:rPr>
      </w:pPr>
      <w:r>
        <w:rPr>
          <w:w w:val="105"/>
          <w:position w:val="7"/>
          <w:sz w:val="11"/>
        </w:rPr>
        <w:t>248  </w:t>
      </w:r>
      <w:r>
        <w:rPr>
          <w:i/>
          <w:w w:val="105"/>
          <w:sz w:val="18"/>
        </w:rPr>
        <w:t>Ibídem.</w:t>
      </w:r>
    </w:p>
    <w:p>
      <w:pPr>
        <w:spacing w:line="249" w:lineRule="auto" w:before="28"/>
        <w:ind w:left="393" w:right="114" w:hanging="284"/>
        <w:jc w:val="both"/>
        <w:rPr>
          <w:sz w:val="18"/>
        </w:rPr>
      </w:pPr>
      <w:r>
        <w:rPr>
          <w:position w:val="7"/>
          <w:sz w:val="11"/>
        </w:rPr>
        <w:t>249 </w:t>
      </w:r>
      <w:r>
        <w:rPr>
          <w:sz w:val="18"/>
        </w:rPr>
        <w:t>Información</w:t>
      </w:r>
      <w:r>
        <w:rPr>
          <w:spacing w:val="-11"/>
          <w:sz w:val="18"/>
        </w:rPr>
        <w:t> </w:t>
      </w:r>
      <w:r>
        <w:rPr>
          <w:sz w:val="18"/>
        </w:rPr>
        <w:t>proporcionada</w:t>
      </w:r>
      <w:r>
        <w:rPr>
          <w:spacing w:val="-11"/>
          <w:sz w:val="18"/>
        </w:rPr>
        <w:t> </w:t>
      </w:r>
      <w:r>
        <w:rPr>
          <w:sz w:val="18"/>
        </w:rPr>
        <w:t>para</w:t>
      </w:r>
      <w:r>
        <w:rPr>
          <w:spacing w:val="-11"/>
          <w:sz w:val="18"/>
        </w:rPr>
        <w:t> </w:t>
      </w:r>
      <w:r>
        <w:rPr>
          <w:sz w:val="18"/>
        </w:rPr>
        <w:t>esta</w:t>
      </w:r>
      <w:r>
        <w:rPr>
          <w:spacing w:val="-12"/>
          <w:sz w:val="18"/>
        </w:rPr>
        <w:t> </w:t>
      </w:r>
      <w:r>
        <w:rPr>
          <w:sz w:val="18"/>
        </w:rPr>
        <w:t>investigación</w:t>
      </w:r>
      <w:r>
        <w:rPr>
          <w:spacing w:val="-12"/>
          <w:sz w:val="18"/>
        </w:rPr>
        <w:t> </w:t>
      </w:r>
      <w:r>
        <w:rPr>
          <w:sz w:val="18"/>
        </w:rPr>
        <w:t>en</w:t>
      </w:r>
      <w:r>
        <w:rPr>
          <w:spacing w:val="-11"/>
          <w:sz w:val="18"/>
        </w:rPr>
        <w:t> </w:t>
      </w:r>
      <w:r>
        <w:rPr>
          <w:sz w:val="18"/>
        </w:rPr>
        <w:t>entrevista</w:t>
      </w:r>
      <w:r>
        <w:rPr>
          <w:spacing w:val="-12"/>
          <w:sz w:val="18"/>
        </w:rPr>
        <w:t> </w:t>
      </w:r>
      <w:r>
        <w:rPr>
          <w:sz w:val="18"/>
        </w:rPr>
        <w:t>el</w:t>
      </w:r>
      <w:r>
        <w:rPr>
          <w:spacing w:val="-11"/>
          <w:sz w:val="18"/>
        </w:rPr>
        <w:t> </w:t>
      </w:r>
      <w:r>
        <w:rPr>
          <w:sz w:val="18"/>
        </w:rPr>
        <w:t>titular</w:t>
      </w:r>
      <w:r>
        <w:rPr>
          <w:spacing w:val="-11"/>
          <w:sz w:val="18"/>
        </w:rPr>
        <w:t> </w:t>
      </w:r>
      <w:r>
        <w:rPr>
          <w:sz w:val="18"/>
        </w:rPr>
        <w:t>del</w:t>
      </w:r>
      <w:r>
        <w:rPr>
          <w:spacing w:val="-11"/>
          <w:sz w:val="18"/>
        </w:rPr>
        <w:t> </w:t>
      </w:r>
      <w:r>
        <w:rPr>
          <w:sz w:val="18"/>
        </w:rPr>
        <w:t>consejo</w:t>
      </w:r>
      <w:r>
        <w:rPr>
          <w:spacing w:val="-12"/>
          <w:sz w:val="18"/>
        </w:rPr>
        <w:t> </w:t>
      </w:r>
      <w:r>
        <w:rPr>
          <w:sz w:val="18"/>
        </w:rPr>
        <w:t>consultivo ciudadano, 8 de marzo del</w:t>
      </w:r>
      <w:r>
        <w:rPr>
          <w:spacing w:val="-10"/>
          <w:sz w:val="18"/>
        </w:rPr>
        <w:t> </w:t>
      </w:r>
      <w:r>
        <w:rPr>
          <w:sz w:val="18"/>
        </w:rPr>
        <w:t>2011.</w:t>
      </w:r>
    </w:p>
    <w:p>
      <w:pPr>
        <w:spacing w:line="249" w:lineRule="auto" w:before="20"/>
        <w:ind w:left="393" w:right="115" w:hanging="284"/>
        <w:jc w:val="both"/>
        <w:rPr>
          <w:sz w:val="18"/>
        </w:rPr>
      </w:pPr>
      <w:r>
        <w:rPr>
          <w:position w:val="7"/>
          <w:sz w:val="11"/>
        </w:rPr>
        <w:t>250 </w:t>
      </w:r>
      <w:r>
        <w:rPr>
          <w:sz w:val="18"/>
        </w:rPr>
        <w:t>José Alberto Parra nació el 8 de abril de 1961, es ingeniero industrial electricista del Instituto Tecnológico</w:t>
      </w:r>
      <w:r>
        <w:rPr>
          <w:spacing w:val="-7"/>
          <w:sz w:val="18"/>
        </w:rPr>
        <w:t> </w:t>
      </w:r>
      <w:r>
        <w:rPr>
          <w:sz w:val="18"/>
        </w:rPr>
        <w:t>de</w:t>
      </w:r>
      <w:r>
        <w:rPr>
          <w:spacing w:val="-7"/>
          <w:sz w:val="18"/>
        </w:rPr>
        <w:t> </w:t>
      </w:r>
      <w:r>
        <w:rPr>
          <w:sz w:val="18"/>
        </w:rPr>
        <w:t>Pachuca,</w:t>
      </w:r>
      <w:r>
        <w:rPr>
          <w:spacing w:val="-6"/>
          <w:sz w:val="18"/>
        </w:rPr>
        <w:t> </w:t>
      </w:r>
      <w:r>
        <w:rPr>
          <w:sz w:val="18"/>
        </w:rPr>
        <w:t>fue</w:t>
      </w:r>
      <w:r>
        <w:rPr>
          <w:spacing w:val="-7"/>
          <w:sz w:val="18"/>
        </w:rPr>
        <w:t> </w:t>
      </w:r>
      <w:r>
        <w:rPr>
          <w:sz w:val="18"/>
        </w:rPr>
        <w:t>gerente</w:t>
      </w:r>
      <w:r>
        <w:rPr>
          <w:spacing w:val="-7"/>
          <w:sz w:val="18"/>
        </w:rPr>
        <w:t> </w:t>
      </w:r>
      <w:r>
        <w:rPr>
          <w:sz w:val="18"/>
        </w:rPr>
        <w:t>de</w:t>
      </w:r>
      <w:r>
        <w:rPr>
          <w:spacing w:val="-7"/>
          <w:sz w:val="18"/>
        </w:rPr>
        <w:t> </w:t>
      </w:r>
      <w:r>
        <w:rPr>
          <w:sz w:val="18"/>
        </w:rPr>
        <w:t>ingeniería</w:t>
      </w:r>
      <w:r>
        <w:rPr>
          <w:spacing w:val="-7"/>
          <w:sz w:val="18"/>
        </w:rPr>
        <w:t> </w:t>
      </w:r>
      <w:r>
        <w:rPr>
          <w:sz w:val="18"/>
        </w:rPr>
        <w:t>de</w:t>
      </w:r>
      <w:r>
        <w:rPr>
          <w:spacing w:val="-7"/>
          <w:sz w:val="18"/>
        </w:rPr>
        <w:t> </w:t>
      </w:r>
      <w:r>
        <w:rPr>
          <w:sz w:val="18"/>
        </w:rPr>
        <w:t>Bombardier,</w:t>
      </w:r>
      <w:r>
        <w:rPr>
          <w:spacing w:val="-7"/>
          <w:sz w:val="18"/>
        </w:rPr>
        <w:t> </w:t>
      </w:r>
      <w:r>
        <w:rPr>
          <w:sz w:val="18"/>
        </w:rPr>
        <w:t>es</w:t>
      </w:r>
      <w:r>
        <w:rPr>
          <w:spacing w:val="-7"/>
          <w:sz w:val="18"/>
        </w:rPr>
        <w:t> </w:t>
      </w:r>
      <w:r>
        <w:rPr>
          <w:sz w:val="18"/>
        </w:rPr>
        <w:t>consejero</w:t>
      </w:r>
      <w:r>
        <w:rPr>
          <w:spacing w:val="-7"/>
          <w:sz w:val="18"/>
        </w:rPr>
        <w:t> </w:t>
      </w:r>
      <w:r>
        <w:rPr>
          <w:sz w:val="18"/>
        </w:rPr>
        <w:t>en</w:t>
      </w:r>
      <w:r>
        <w:rPr>
          <w:spacing w:val="-7"/>
          <w:sz w:val="18"/>
        </w:rPr>
        <w:t> </w:t>
      </w:r>
      <w:r>
        <w:rPr>
          <w:sz w:val="18"/>
        </w:rPr>
        <w:t>la</w:t>
      </w:r>
      <w:r>
        <w:rPr>
          <w:spacing w:val="-7"/>
          <w:sz w:val="18"/>
        </w:rPr>
        <w:t> </w:t>
      </w:r>
      <w:r>
        <w:rPr>
          <w:sz w:val="18"/>
        </w:rPr>
        <w:t>Comisión de Obras Públicas del Consejo Consultivo Ciudadano, es representante de empresas globales del ramo de transporte como Dellner Couplers Inc y Transtechnik Corp</w:t>
      </w:r>
      <w:r>
        <w:rPr>
          <w:spacing w:val="-23"/>
          <w:sz w:val="18"/>
        </w:rPr>
        <w:t> </w:t>
      </w:r>
      <w:r>
        <w:rPr>
          <w:sz w:val="18"/>
        </w:rPr>
        <w:t>USA.</w:t>
      </w:r>
    </w:p>
    <w:p>
      <w:pPr>
        <w:spacing w:line="249" w:lineRule="auto" w:before="20"/>
        <w:ind w:left="393" w:right="115" w:hanging="284"/>
        <w:jc w:val="both"/>
        <w:rPr>
          <w:sz w:val="18"/>
        </w:rPr>
      </w:pPr>
      <w:r>
        <w:rPr>
          <w:position w:val="7"/>
          <w:sz w:val="11"/>
        </w:rPr>
        <w:t>251 </w:t>
      </w:r>
      <w:r>
        <w:rPr>
          <w:sz w:val="18"/>
        </w:rPr>
        <w:t>Información proporcionada para esta investigación en entrevista con el Ing. José Alberto Parra. 18 de marzo del 2011.</w:t>
      </w:r>
    </w:p>
    <w:p>
      <w:pPr>
        <w:spacing w:before="20"/>
        <w:ind w:left="110" w:right="0" w:firstLine="0"/>
        <w:jc w:val="left"/>
        <w:rPr>
          <w:i/>
          <w:sz w:val="18"/>
        </w:rPr>
      </w:pPr>
      <w:r>
        <w:rPr>
          <w:w w:val="105"/>
          <w:position w:val="7"/>
          <w:sz w:val="11"/>
        </w:rPr>
        <w:t>252  </w:t>
      </w:r>
      <w:r>
        <w:rPr>
          <w:i/>
          <w:w w:val="105"/>
          <w:sz w:val="18"/>
        </w:rPr>
        <w:t>Ibídem.</w:t>
      </w:r>
    </w:p>
    <w:p>
      <w:pPr>
        <w:spacing w:after="0"/>
        <w:jc w:val="left"/>
        <w:rPr>
          <w:sz w:val="18"/>
        </w:rPr>
        <w:sectPr>
          <w:pgSz w:w="9360" w:h="13040"/>
          <w:pgMar w:header="527" w:footer="515" w:top="720" w:bottom="700" w:left="740" w:right="1300"/>
        </w:sectPr>
      </w:pPr>
    </w:p>
    <w:p>
      <w:pPr>
        <w:pStyle w:val="BodyText"/>
        <w:spacing w:before="11"/>
        <w:rPr>
          <w:i/>
          <w:sz w:val="29"/>
        </w:rPr>
      </w:pPr>
    </w:p>
    <w:p>
      <w:pPr>
        <w:spacing w:line="235" w:lineRule="auto" w:before="75"/>
        <w:ind w:left="117" w:right="107" w:firstLine="0"/>
        <w:jc w:val="both"/>
        <w:rPr>
          <w:sz w:val="23"/>
        </w:rPr>
      </w:pPr>
      <w:r>
        <w:rPr>
          <w:sz w:val="23"/>
        </w:rPr>
        <w:t>significativos al respecto. En tal sentido, el consejero del CCC que nos</w:t>
      </w:r>
      <w:r>
        <w:rPr>
          <w:spacing w:val="-36"/>
          <w:sz w:val="23"/>
        </w:rPr>
        <w:t> </w:t>
      </w:r>
      <w:r>
        <w:rPr>
          <w:sz w:val="23"/>
        </w:rPr>
        <w:t>ocupa opina:</w:t>
      </w:r>
      <w:r>
        <w:rPr>
          <w:spacing w:val="-11"/>
          <w:sz w:val="23"/>
        </w:rPr>
        <w:t> </w:t>
      </w:r>
      <w:r>
        <w:rPr>
          <w:i/>
          <w:sz w:val="23"/>
        </w:rPr>
        <w:t>el</w:t>
      </w:r>
      <w:r>
        <w:rPr>
          <w:i/>
          <w:spacing w:val="-11"/>
          <w:sz w:val="23"/>
        </w:rPr>
        <w:t> </w:t>
      </w:r>
      <w:r>
        <w:rPr>
          <w:i/>
          <w:sz w:val="23"/>
        </w:rPr>
        <w:t>proyecto</w:t>
      </w:r>
      <w:r>
        <w:rPr>
          <w:i/>
          <w:spacing w:val="-11"/>
          <w:sz w:val="23"/>
        </w:rPr>
        <w:t> </w:t>
      </w:r>
      <w:r>
        <w:rPr>
          <w:i/>
          <w:sz w:val="23"/>
        </w:rPr>
        <w:t>les</w:t>
      </w:r>
      <w:r>
        <w:rPr>
          <w:i/>
          <w:spacing w:val="-11"/>
          <w:sz w:val="23"/>
        </w:rPr>
        <w:t> </w:t>
      </w:r>
      <w:r>
        <w:rPr>
          <w:i/>
          <w:sz w:val="23"/>
        </w:rPr>
        <w:t>gusta,</w:t>
      </w:r>
      <w:r>
        <w:rPr>
          <w:i/>
          <w:spacing w:val="-11"/>
          <w:sz w:val="23"/>
        </w:rPr>
        <w:t> </w:t>
      </w:r>
      <w:r>
        <w:rPr>
          <w:i/>
          <w:spacing w:val="-3"/>
          <w:sz w:val="23"/>
        </w:rPr>
        <w:t>pero</w:t>
      </w:r>
      <w:r>
        <w:rPr>
          <w:i/>
          <w:spacing w:val="-11"/>
          <w:sz w:val="23"/>
        </w:rPr>
        <w:t> </w:t>
      </w:r>
      <w:r>
        <w:rPr>
          <w:i/>
          <w:sz w:val="23"/>
        </w:rPr>
        <w:t>nunca</w:t>
      </w:r>
      <w:r>
        <w:rPr>
          <w:i/>
          <w:spacing w:val="-11"/>
          <w:sz w:val="23"/>
        </w:rPr>
        <w:t> </w:t>
      </w:r>
      <w:r>
        <w:rPr>
          <w:i/>
          <w:sz w:val="23"/>
        </w:rPr>
        <w:t>hay</w:t>
      </w:r>
      <w:r>
        <w:rPr>
          <w:i/>
          <w:spacing w:val="-11"/>
          <w:sz w:val="23"/>
        </w:rPr>
        <w:t> </w:t>
      </w:r>
      <w:r>
        <w:rPr>
          <w:i/>
          <w:sz w:val="23"/>
        </w:rPr>
        <w:t>una</w:t>
      </w:r>
      <w:r>
        <w:rPr>
          <w:i/>
          <w:spacing w:val="-11"/>
          <w:sz w:val="23"/>
        </w:rPr>
        <w:t> </w:t>
      </w:r>
      <w:r>
        <w:rPr>
          <w:i/>
          <w:sz w:val="23"/>
        </w:rPr>
        <w:t>respuesta</w:t>
      </w:r>
      <w:r>
        <w:rPr>
          <w:i/>
          <w:spacing w:val="-12"/>
          <w:sz w:val="23"/>
        </w:rPr>
        <w:t> </w:t>
      </w:r>
      <w:r>
        <w:rPr>
          <w:i/>
          <w:sz w:val="23"/>
        </w:rPr>
        <w:t>concreta…</w:t>
      </w:r>
      <w:r>
        <w:rPr>
          <w:i/>
          <w:spacing w:val="-11"/>
          <w:sz w:val="23"/>
        </w:rPr>
        <w:t> </w:t>
      </w:r>
      <w:r>
        <w:rPr>
          <w:i/>
          <w:sz w:val="23"/>
        </w:rPr>
        <w:t>el</w:t>
      </w:r>
      <w:r>
        <w:rPr>
          <w:i/>
          <w:spacing w:val="-11"/>
          <w:sz w:val="23"/>
        </w:rPr>
        <w:t> </w:t>
      </w:r>
      <w:r>
        <w:rPr>
          <w:i/>
          <w:sz w:val="23"/>
        </w:rPr>
        <w:t>CCC </w:t>
      </w:r>
      <w:r>
        <w:rPr>
          <w:i/>
          <w:sz w:val="23"/>
        </w:rPr>
        <w:t>es</w:t>
      </w:r>
      <w:r>
        <w:rPr>
          <w:i/>
          <w:spacing w:val="-10"/>
          <w:sz w:val="23"/>
        </w:rPr>
        <w:t> </w:t>
      </w:r>
      <w:r>
        <w:rPr>
          <w:i/>
          <w:sz w:val="23"/>
        </w:rPr>
        <w:t>una</w:t>
      </w:r>
      <w:r>
        <w:rPr>
          <w:i/>
          <w:spacing w:val="-10"/>
          <w:sz w:val="23"/>
        </w:rPr>
        <w:t> </w:t>
      </w:r>
      <w:r>
        <w:rPr>
          <w:i/>
          <w:sz w:val="23"/>
        </w:rPr>
        <w:t>buena</w:t>
      </w:r>
      <w:r>
        <w:rPr>
          <w:i/>
          <w:spacing w:val="-10"/>
          <w:sz w:val="23"/>
        </w:rPr>
        <w:t> </w:t>
      </w:r>
      <w:r>
        <w:rPr>
          <w:i/>
          <w:sz w:val="23"/>
        </w:rPr>
        <w:t>meza</w:t>
      </w:r>
      <w:r>
        <w:rPr>
          <w:i/>
          <w:spacing w:val="-9"/>
          <w:sz w:val="23"/>
        </w:rPr>
        <w:t> </w:t>
      </w:r>
      <w:r>
        <w:rPr>
          <w:i/>
          <w:sz w:val="23"/>
        </w:rPr>
        <w:t>de</w:t>
      </w:r>
      <w:r>
        <w:rPr>
          <w:i/>
          <w:spacing w:val="-10"/>
          <w:sz w:val="23"/>
        </w:rPr>
        <w:t> </w:t>
      </w:r>
      <w:r>
        <w:rPr>
          <w:i/>
          <w:sz w:val="23"/>
        </w:rPr>
        <w:t>propuestas,</w:t>
      </w:r>
      <w:r>
        <w:rPr>
          <w:i/>
          <w:spacing w:val="-10"/>
          <w:sz w:val="23"/>
        </w:rPr>
        <w:t> </w:t>
      </w:r>
      <w:r>
        <w:rPr>
          <w:i/>
          <w:spacing w:val="-3"/>
          <w:sz w:val="23"/>
        </w:rPr>
        <w:t>pero</w:t>
      </w:r>
      <w:r>
        <w:rPr>
          <w:i/>
          <w:spacing w:val="-10"/>
          <w:sz w:val="23"/>
        </w:rPr>
        <w:t> </w:t>
      </w:r>
      <w:r>
        <w:rPr>
          <w:i/>
          <w:sz w:val="23"/>
        </w:rPr>
        <w:t>no</w:t>
      </w:r>
      <w:r>
        <w:rPr>
          <w:i/>
          <w:spacing w:val="-10"/>
          <w:sz w:val="23"/>
        </w:rPr>
        <w:t> </w:t>
      </w:r>
      <w:r>
        <w:rPr>
          <w:i/>
          <w:sz w:val="23"/>
        </w:rPr>
        <w:t>tiene</w:t>
      </w:r>
      <w:r>
        <w:rPr>
          <w:i/>
          <w:spacing w:val="-10"/>
          <w:sz w:val="23"/>
        </w:rPr>
        <w:t> </w:t>
      </w:r>
      <w:r>
        <w:rPr>
          <w:i/>
          <w:sz w:val="23"/>
        </w:rPr>
        <w:t>presión</w:t>
      </w:r>
      <w:r>
        <w:rPr>
          <w:i/>
          <w:spacing w:val="-10"/>
          <w:sz w:val="23"/>
        </w:rPr>
        <w:t> </w:t>
      </w:r>
      <w:r>
        <w:rPr>
          <w:i/>
          <w:sz w:val="23"/>
        </w:rPr>
        <w:t>para</w:t>
      </w:r>
      <w:r>
        <w:rPr>
          <w:i/>
          <w:spacing w:val="-10"/>
          <w:sz w:val="23"/>
        </w:rPr>
        <w:t> </w:t>
      </w:r>
      <w:r>
        <w:rPr>
          <w:i/>
          <w:spacing w:val="-4"/>
          <w:sz w:val="23"/>
        </w:rPr>
        <w:t>resolver.</w:t>
      </w:r>
      <w:r>
        <w:rPr>
          <w:i/>
          <w:spacing w:val="-10"/>
          <w:sz w:val="23"/>
        </w:rPr>
        <w:t> </w:t>
      </w:r>
      <w:r>
        <w:rPr>
          <w:i/>
          <w:sz w:val="23"/>
        </w:rPr>
        <w:t>La</w:t>
      </w:r>
      <w:r>
        <w:rPr>
          <w:i/>
          <w:spacing w:val="-10"/>
          <w:sz w:val="23"/>
        </w:rPr>
        <w:t> </w:t>
      </w:r>
      <w:r>
        <w:rPr>
          <w:i/>
          <w:sz w:val="23"/>
        </w:rPr>
        <w:t>“no exigencia” hace pensar que constituye un órgano político controlado, cuyo consejo</w:t>
      </w:r>
      <w:r>
        <w:rPr>
          <w:i/>
          <w:spacing w:val="-14"/>
          <w:sz w:val="23"/>
        </w:rPr>
        <w:t> </w:t>
      </w:r>
      <w:r>
        <w:rPr>
          <w:i/>
          <w:sz w:val="23"/>
        </w:rPr>
        <w:t>no</w:t>
      </w:r>
      <w:r>
        <w:rPr>
          <w:i/>
          <w:spacing w:val="-14"/>
          <w:sz w:val="23"/>
        </w:rPr>
        <w:t> </w:t>
      </w:r>
      <w:r>
        <w:rPr>
          <w:i/>
          <w:sz w:val="23"/>
        </w:rPr>
        <w:t>está</w:t>
      </w:r>
      <w:r>
        <w:rPr>
          <w:i/>
          <w:spacing w:val="-14"/>
          <w:sz w:val="23"/>
        </w:rPr>
        <w:t> </w:t>
      </w:r>
      <w:r>
        <w:rPr>
          <w:i/>
          <w:sz w:val="23"/>
        </w:rPr>
        <w:t>realmente</w:t>
      </w:r>
      <w:r>
        <w:rPr>
          <w:i/>
          <w:spacing w:val="-14"/>
          <w:sz w:val="23"/>
        </w:rPr>
        <w:t> </w:t>
      </w:r>
      <w:r>
        <w:rPr>
          <w:i/>
          <w:sz w:val="23"/>
        </w:rPr>
        <w:t>“ciudadanizado”…</w:t>
      </w:r>
      <w:r>
        <w:rPr>
          <w:i/>
          <w:spacing w:val="-13"/>
          <w:sz w:val="23"/>
        </w:rPr>
        <w:t> </w:t>
      </w:r>
      <w:r>
        <w:rPr>
          <w:i/>
          <w:sz w:val="23"/>
        </w:rPr>
        <w:t>Son</w:t>
      </w:r>
      <w:r>
        <w:rPr>
          <w:i/>
          <w:spacing w:val="-14"/>
          <w:sz w:val="23"/>
        </w:rPr>
        <w:t> </w:t>
      </w:r>
      <w:r>
        <w:rPr>
          <w:sz w:val="23"/>
        </w:rPr>
        <w:t>(también)</w:t>
      </w:r>
      <w:r>
        <w:rPr>
          <w:spacing w:val="-14"/>
          <w:sz w:val="23"/>
        </w:rPr>
        <w:t> </w:t>
      </w:r>
      <w:r>
        <w:rPr>
          <w:i/>
          <w:sz w:val="23"/>
        </w:rPr>
        <w:t>ejemplos</w:t>
      </w:r>
      <w:r>
        <w:rPr>
          <w:i/>
          <w:spacing w:val="-14"/>
          <w:sz w:val="23"/>
        </w:rPr>
        <w:t> </w:t>
      </w:r>
      <w:r>
        <w:rPr>
          <w:i/>
          <w:sz w:val="23"/>
        </w:rPr>
        <w:t>de</w:t>
      </w:r>
      <w:r>
        <w:rPr>
          <w:i/>
          <w:spacing w:val="-14"/>
          <w:sz w:val="23"/>
        </w:rPr>
        <w:t> </w:t>
      </w:r>
      <w:r>
        <w:rPr>
          <w:i/>
          <w:sz w:val="23"/>
        </w:rPr>
        <w:t>“no </w:t>
      </w:r>
      <w:r>
        <w:rPr>
          <w:i/>
          <w:sz w:val="23"/>
        </w:rPr>
        <w:t>decisión”</w:t>
      </w:r>
      <w:r>
        <w:rPr>
          <w:i/>
          <w:spacing w:val="-6"/>
          <w:sz w:val="23"/>
        </w:rPr>
        <w:t> </w:t>
      </w:r>
      <w:r>
        <w:rPr>
          <w:i/>
          <w:sz w:val="23"/>
        </w:rPr>
        <w:t>las</w:t>
      </w:r>
      <w:r>
        <w:rPr>
          <w:i/>
          <w:spacing w:val="-6"/>
          <w:sz w:val="23"/>
        </w:rPr>
        <w:t> </w:t>
      </w:r>
      <w:r>
        <w:rPr>
          <w:i/>
          <w:sz w:val="23"/>
        </w:rPr>
        <w:t>reubicaciones</w:t>
      </w:r>
      <w:r>
        <w:rPr>
          <w:i/>
          <w:spacing w:val="-7"/>
          <w:sz w:val="23"/>
        </w:rPr>
        <w:t> </w:t>
      </w:r>
      <w:r>
        <w:rPr>
          <w:i/>
          <w:sz w:val="23"/>
        </w:rPr>
        <w:t>de</w:t>
      </w:r>
      <w:r>
        <w:rPr>
          <w:i/>
          <w:spacing w:val="-7"/>
          <w:sz w:val="23"/>
        </w:rPr>
        <w:t> </w:t>
      </w:r>
      <w:r>
        <w:rPr>
          <w:i/>
          <w:sz w:val="23"/>
        </w:rPr>
        <w:t>la</w:t>
      </w:r>
      <w:r>
        <w:rPr>
          <w:i/>
          <w:spacing w:val="-7"/>
          <w:sz w:val="23"/>
        </w:rPr>
        <w:t> </w:t>
      </w:r>
      <w:r>
        <w:rPr>
          <w:i/>
          <w:sz w:val="23"/>
        </w:rPr>
        <w:t>central</w:t>
      </w:r>
      <w:r>
        <w:rPr>
          <w:i/>
          <w:spacing w:val="-7"/>
          <w:sz w:val="23"/>
        </w:rPr>
        <w:t> </w:t>
      </w:r>
      <w:r>
        <w:rPr>
          <w:i/>
          <w:sz w:val="23"/>
        </w:rPr>
        <w:t>de</w:t>
      </w:r>
      <w:r>
        <w:rPr>
          <w:i/>
          <w:spacing w:val="-7"/>
          <w:sz w:val="23"/>
        </w:rPr>
        <w:t> </w:t>
      </w:r>
      <w:r>
        <w:rPr>
          <w:i/>
          <w:sz w:val="23"/>
        </w:rPr>
        <w:t>abasto</w:t>
      </w:r>
      <w:r>
        <w:rPr>
          <w:i/>
          <w:spacing w:val="-6"/>
          <w:sz w:val="23"/>
        </w:rPr>
        <w:t> </w:t>
      </w:r>
      <w:r>
        <w:rPr>
          <w:i/>
          <w:sz w:val="23"/>
        </w:rPr>
        <w:t>y</w:t>
      </w:r>
      <w:r>
        <w:rPr>
          <w:i/>
          <w:spacing w:val="-7"/>
          <w:sz w:val="23"/>
        </w:rPr>
        <w:t> </w:t>
      </w:r>
      <w:r>
        <w:rPr>
          <w:i/>
          <w:sz w:val="23"/>
        </w:rPr>
        <w:t>de</w:t>
      </w:r>
      <w:r>
        <w:rPr>
          <w:i/>
          <w:spacing w:val="-7"/>
          <w:sz w:val="23"/>
        </w:rPr>
        <w:t> </w:t>
      </w:r>
      <w:r>
        <w:rPr>
          <w:i/>
          <w:sz w:val="23"/>
        </w:rPr>
        <w:t>la</w:t>
      </w:r>
      <w:r>
        <w:rPr>
          <w:i/>
          <w:spacing w:val="-7"/>
          <w:sz w:val="23"/>
        </w:rPr>
        <w:t> </w:t>
      </w:r>
      <w:r>
        <w:rPr>
          <w:i/>
          <w:sz w:val="23"/>
        </w:rPr>
        <w:t>central</w:t>
      </w:r>
      <w:r>
        <w:rPr>
          <w:i/>
          <w:spacing w:val="-7"/>
          <w:sz w:val="23"/>
        </w:rPr>
        <w:t> </w:t>
      </w:r>
      <w:r>
        <w:rPr>
          <w:i/>
          <w:sz w:val="23"/>
        </w:rPr>
        <w:t>camionera </w:t>
      </w:r>
      <w:r>
        <w:rPr>
          <w:sz w:val="23"/>
        </w:rPr>
        <w:t>(ambas de</w:t>
      </w:r>
      <w:r>
        <w:rPr>
          <w:spacing w:val="-1"/>
          <w:sz w:val="23"/>
        </w:rPr>
        <w:t> </w:t>
      </w:r>
      <w:r>
        <w:rPr>
          <w:sz w:val="23"/>
        </w:rPr>
        <w:t>Pachuca)</w:t>
      </w:r>
      <w:r>
        <w:rPr>
          <w:position w:val="8"/>
          <w:sz w:val="13"/>
        </w:rPr>
        <w:t>253</w:t>
      </w:r>
      <w:r>
        <w:rPr>
          <w:sz w:val="23"/>
        </w:rPr>
        <w:t>.</w:t>
      </w:r>
    </w:p>
    <w:p>
      <w:pPr>
        <w:pStyle w:val="BodyText"/>
        <w:spacing w:before="10"/>
        <w:rPr>
          <w:sz w:val="22"/>
        </w:rPr>
      </w:pPr>
    </w:p>
    <w:p>
      <w:pPr>
        <w:pStyle w:val="BodyText"/>
        <w:spacing w:line="260" w:lineRule="exact"/>
        <w:ind w:left="117" w:right="108"/>
        <w:jc w:val="both"/>
      </w:pPr>
      <w:r>
        <w:rPr/>
        <w:t>A nivel de los ayuntamientos, los esquemas comunes son: 1) reproducir un Consejo Consultivo Ciudadano municipal, con el mismo funcionamiento señalado en el párrafo anterior; y 2) operar el COPLADEM, el cual en el </w:t>
      </w:r>
      <w:r>
        <w:rPr>
          <w:spacing w:val="-4"/>
        </w:rPr>
        <w:t>mejor</w:t>
      </w:r>
      <w:r>
        <w:rPr>
          <w:spacing w:val="-11"/>
        </w:rPr>
        <w:t> </w:t>
      </w:r>
      <w:r>
        <w:rPr/>
        <w:t>de</w:t>
      </w:r>
      <w:r>
        <w:rPr>
          <w:spacing w:val="-11"/>
        </w:rPr>
        <w:t> </w:t>
      </w:r>
      <w:r>
        <w:rPr>
          <w:spacing w:val="-3"/>
        </w:rPr>
        <w:t>los</w:t>
      </w:r>
      <w:r>
        <w:rPr>
          <w:spacing w:val="-11"/>
        </w:rPr>
        <w:t> </w:t>
      </w:r>
      <w:r>
        <w:rPr>
          <w:spacing w:val="-4"/>
        </w:rPr>
        <w:t>casos</w:t>
      </w:r>
      <w:r>
        <w:rPr>
          <w:spacing w:val="-11"/>
        </w:rPr>
        <w:t> </w:t>
      </w:r>
      <w:r>
        <w:rPr/>
        <w:t>se</w:t>
      </w:r>
      <w:r>
        <w:rPr>
          <w:spacing w:val="-11"/>
        </w:rPr>
        <w:t> </w:t>
      </w:r>
      <w:r>
        <w:rPr>
          <w:spacing w:val="-4"/>
        </w:rPr>
        <w:t>orienta</w:t>
      </w:r>
      <w:r>
        <w:rPr>
          <w:spacing w:val="-10"/>
        </w:rPr>
        <w:t> </w:t>
      </w:r>
      <w:r>
        <w:rPr>
          <w:spacing w:val="-4"/>
        </w:rPr>
        <w:t>preferentemente</w:t>
      </w:r>
      <w:r>
        <w:rPr>
          <w:spacing w:val="-10"/>
        </w:rPr>
        <w:t> </w:t>
      </w:r>
      <w:r>
        <w:rPr/>
        <w:t>a</w:t>
      </w:r>
      <w:r>
        <w:rPr>
          <w:spacing w:val="-11"/>
        </w:rPr>
        <w:t> </w:t>
      </w:r>
      <w:r>
        <w:rPr/>
        <w:t>la</w:t>
      </w:r>
      <w:r>
        <w:rPr>
          <w:spacing w:val="-11"/>
        </w:rPr>
        <w:t> </w:t>
      </w:r>
      <w:r>
        <w:rPr>
          <w:spacing w:val="-3"/>
        </w:rPr>
        <w:t>toma</w:t>
      </w:r>
      <w:r>
        <w:rPr>
          <w:spacing w:val="-11"/>
        </w:rPr>
        <w:t> </w:t>
      </w:r>
      <w:r>
        <w:rPr/>
        <w:t>de</w:t>
      </w:r>
      <w:r>
        <w:rPr>
          <w:spacing w:val="-11"/>
        </w:rPr>
        <w:t> </w:t>
      </w:r>
      <w:r>
        <w:rPr>
          <w:spacing w:val="-4"/>
        </w:rPr>
        <w:t>decisiones</w:t>
      </w:r>
      <w:r>
        <w:rPr>
          <w:spacing w:val="-10"/>
        </w:rPr>
        <w:t> </w:t>
      </w:r>
      <w:r>
        <w:rPr>
          <w:spacing w:val="-4"/>
        </w:rPr>
        <w:t>sobre</w:t>
      </w:r>
      <w:r>
        <w:rPr>
          <w:spacing w:val="-10"/>
        </w:rPr>
        <w:t> </w:t>
      </w:r>
      <w:r>
        <w:rPr>
          <w:spacing w:val="-4"/>
        </w:rPr>
        <w:t>obra pública, omitiendo </w:t>
      </w:r>
      <w:r>
        <w:rPr>
          <w:spacing w:val="-3"/>
        </w:rPr>
        <w:t>así las </w:t>
      </w:r>
      <w:r>
        <w:rPr>
          <w:spacing w:val="-4"/>
        </w:rPr>
        <w:t>demás temáticas administrativas. </w:t>
      </w:r>
      <w:r>
        <w:rPr/>
        <w:t>Un </w:t>
      </w:r>
      <w:r>
        <w:rPr>
          <w:spacing w:val="-4"/>
        </w:rPr>
        <w:t>modelo dig-  </w:t>
      </w:r>
      <w:r>
        <w:rPr>
          <w:spacing w:val="49"/>
        </w:rPr>
        <w:t> </w:t>
      </w:r>
      <w:r>
        <w:rPr/>
        <w:t>no de destacar es el referente al Instituto de Investigación y Planeación de Pachuca (IMPLAN), cuya función se orienta a la planeación urbana y del desarrollo,</w:t>
      </w:r>
      <w:r>
        <w:rPr>
          <w:spacing w:val="-17"/>
        </w:rPr>
        <w:t> </w:t>
      </w:r>
      <w:r>
        <w:rPr/>
        <w:t>así</w:t>
      </w:r>
      <w:r>
        <w:rPr>
          <w:spacing w:val="-17"/>
        </w:rPr>
        <w:t> </w:t>
      </w:r>
      <w:r>
        <w:rPr/>
        <w:t>como</w:t>
      </w:r>
      <w:r>
        <w:rPr>
          <w:spacing w:val="-17"/>
        </w:rPr>
        <w:t> </w:t>
      </w:r>
      <w:r>
        <w:rPr/>
        <w:t>a</w:t>
      </w:r>
      <w:r>
        <w:rPr>
          <w:spacing w:val="-16"/>
        </w:rPr>
        <w:t> </w:t>
      </w:r>
      <w:r>
        <w:rPr/>
        <w:t>la</w:t>
      </w:r>
      <w:r>
        <w:rPr>
          <w:spacing w:val="-17"/>
        </w:rPr>
        <w:t> </w:t>
      </w:r>
      <w:r>
        <w:rPr/>
        <w:t>asesoría</w:t>
      </w:r>
      <w:r>
        <w:rPr>
          <w:spacing w:val="-17"/>
        </w:rPr>
        <w:t> </w:t>
      </w:r>
      <w:r>
        <w:rPr/>
        <w:t>para</w:t>
      </w:r>
      <w:r>
        <w:rPr>
          <w:spacing w:val="-17"/>
        </w:rPr>
        <w:t> </w:t>
      </w:r>
      <w:r>
        <w:rPr/>
        <w:t>municipios</w:t>
      </w:r>
      <w:r>
        <w:rPr>
          <w:spacing w:val="-17"/>
        </w:rPr>
        <w:t> </w:t>
      </w:r>
      <w:r>
        <w:rPr/>
        <w:t>metropolitanos</w:t>
      </w:r>
      <w:r>
        <w:rPr>
          <w:spacing w:val="-17"/>
        </w:rPr>
        <w:t> </w:t>
      </w:r>
      <w:r>
        <w:rPr/>
        <w:t>que</w:t>
      </w:r>
      <w:r>
        <w:rPr>
          <w:spacing w:val="-16"/>
        </w:rPr>
        <w:t> </w:t>
      </w:r>
      <w:r>
        <w:rPr/>
        <w:t>solicitan su servicio. Para la toma de decisiones, el consejo deliberativo del IMPLAN está conformado por el presidente municipal de Pachuca, tres regidores (de distintos partidos políticos), un tesorero (que es el tesorero municipal), un secretario (que es el secretario de obras públicas), el secretario de seguridad pública, el secretario de desarrollo económico, el secretario de desarrollo social, y ocho representantes ciudadanos: dos representantes de educación media y superior, dos de asociaciones civiles registradas, dos de cámaras del municipio,</w:t>
      </w:r>
      <w:r>
        <w:rPr>
          <w:spacing w:val="-12"/>
        </w:rPr>
        <w:t> </w:t>
      </w:r>
      <w:r>
        <w:rPr/>
        <w:t>uno</w:t>
      </w:r>
      <w:r>
        <w:rPr>
          <w:spacing w:val="-11"/>
        </w:rPr>
        <w:t> </w:t>
      </w:r>
      <w:r>
        <w:rPr/>
        <w:t>del</w:t>
      </w:r>
      <w:r>
        <w:rPr>
          <w:spacing w:val="-11"/>
        </w:rPr>
        <w:t> </w:t>
      </w:r>
      <w:r>
        <w:rPr/>
        <w:t>gobierno</w:t>
      </w:r>
      <w:r>
        <w:rPr>
          <w:spacing w:val="-11"/>
        </w:rPr>
        <w:t> </w:t>
      </w:r>
      <w:r>
        <w:rPr/>
        <w:t>federal</w:t>
      </w:r>
      <w:r>
        <w:rPr>
          <w:spacing w:val="-11"/>
        </w:rPr>
        <w:t> </w:t>
      </w:r>
      <w:r>
        <w:rPr/>
        <w:t>(SEDESOL),</w:t>
      </w:r>
      <w:r>
        <w:rPr>
          <w:spacing w:val="-11"/>
        </w:rPr>
        <w:t> </w:t>
      </w:r>
      <w:r>
        <w:rPr/>
        <w:t>y</w:t>
      </w:r>
      <w:r>
        <w:rPr>
          <w:spacing w:val="-11"/>
        </w:rPr>
        <w:t> </w:t>
      </w:r>
      <w:r>
        <w:rPr/>
        <w:t>uno</w:t>
      </w:r>
      <w:r>
        <w:rPr>
          <w:spacing w:val="-11"/>
        </w:rPr>
        <w:t> </w:t>
      </w:r>
      <w:r>
        <w:rPr/>
        <w:t>de</w:t>
      </w:r>
      <w:r>
        <w:rPr>
          <w:spacing w:val="-11"/>
        </w:rPr>
        <w:t> </w:t>
      </w:r>
      <w:r>
        <w:rPr/>
        <w:t>clubes</w:t>
      </w:r>
      <w:r>
        <w:rPr>
          <w:spacing w:val="-11"/>
        </w:rPr>
        <w:t> </w:t>
      </w:r>
      <w:r>
        <w:rPr/>
        <w:t>de</w:t>
      </w:r>
      <w:r>
        <w:rPr>
          <w:spacing w:val="-11"/>
        </w:rPr>
        <w:t> </w:t>
      </w:r>
      <w:r>
        <w:rPr/>
        <w:t>servicio.</w:t>
      </w:r>
    </w:p>
    <w:p>
      <w:pPr>
        <w:pStyle w:val="BodyText"/>
        <w:rPr>
          <w:sz w:val="22"/>
        </w:rPr>
      </w:pPr>
    </w:p>
    <w:p>
      <w:pPr>
        <w:pStyle w:val="Heading3"/>
      </w:pPr>
      <w:bookmarkStart w:name="_TOC_250002" w:id="41"/>
      <w:bookmarkEnd w:id="41"/>
      <w:r>
        <w:rPr/>
        <w:t>Conclusiones del Capítulo VIII.</w:t>
      </w:r>
    </w:p>
    <w:p>
      <w:pPr>
        <w:pStyle w:val="BodyText"/>
        <w:spacing w:before="9"/>
        <w:rPr>
          <w:b/>
          <w:sz w:val="22"/>
        </w:rPr>
      </w:pPr>
    </w:p>
    <w:p>
      <w:pPr>
        <w:pStyle w:val="BodyText"/>
        <w:spacing w:line="260" w:lineRule="exact"/>
        <w:ind w:left="117" w:right="107"/>
        <w:jc w:val="both"/>
      </w:pPr>
      <w:r>
        <w:rPr/>
        <w:pict>
          <v:line style="position:absolute;mso-position-horizontal-relative:page;mso-position-vertical-relative:paragraph;z-index:5872;mso-wrap-distance-left:0;mso-wrap-distance-right:0" from="70.866096pt,149.733109pt" to="142.866096pt,149.733109pt" stroked="true" strokeweight="1pt" strokecolor="#000000">
            <w10:wrap type="topAndBottom"/>
          </v:line>
        </w:pict>
      </w:r>
      <w:r>
        <w:rPr/>
        <w:t>La evaluación de la incidencia ciudadanía en la definición de las políticas públicas hidalguenses es de 1.50, tal valoración se coloca por debajo de la media lograda en investigaciones anteriores (3.24). Utilizando  un modelo  de desarrollo similar a la Gran Alianza por Jalisco, la esencia subsidiaria podría potenciarse para implementar un programa de capacitación y desarrollo de habilidades de liderazgo francamente dirigido al incremento   de la participación ciudadana. Una vez obtenidos resultados tangibles de lo anterior, se deberá sensibilizar a los funcionarios hidalguenses estatales y municipales que participan en los procesos de planeación, a la vez que se reforme el funcionamiento excluyente del COPLADEHI y sus similares a nivel municipal, para concretar el objetivo de que las iniciativas  </w:t>
      </w:r>
      <w:r>
        <w:rPr>
          <w:spacing w:val="11"/>
        </w:rPr>
        <w:t> </w:t>
      </w:r>
      <w:r>
        <w:rPr/>
        <w:t>ciudadanas</w:t>
      </w:r>
    </w:p>
    <w:p>
      <w:pPr>
        <w:spacing w:before="28"/>
        <w:ind w:left="117" w:right="0" w:firstLine="0"/>
        <w:jc w:val="left"/>
        <w:rPr>
          <w:i/>
          <w:sz w:val="18"/>
        </w:rPr>
      </w:pPr>
      <w:r>
        <w:rPr>
          <w:w w:val="105"/>
          <w:position w:val="7"/>
          <w:sz w:val="11"/>
        </w:rPr>
        <w:t>253  </w:t>
      </w:r>
      <w:r>
        <w:rPr>
          <w:i/>
          <w:w w:val="105"/>
          <w:sz w:val="18"/>
        </w:rPr>
        <w:t>Ibídem.</w:t>
      </w:r>
    </w:p>
    <w:p>
      <w:pPr>
        <w:spacing w:after="0"/>
        <w:jc w:val="left"/>
        <w:rPr>
          <w:sz w:val="18"/>
        </w:rPr>
        <w:sectPr>
          <w:pgSz w:w="9360" w:h="13040"/>
          <w:pgMar w:header="547" w:footer="514" w:top="940" w:bottom="700" w:left="1300" w:right="740"/>
        </w:sectPr>
      </w:pPr>
    </w:p>
    <w:p>
      <w:pPr>
        <w:pStyle w:val="BodyText"/>
        <w:rPr>
          <w:i/>
          <w:sz w:val="20"/>
        </w:rPr>
      </w:pPr>
    </w:p>
    <w:p>
      <w:pPr>
        <w:pStyle w:val="BodyText"/>
        <w:spacing w:before="1"/>
        <w:rPr>
          <w:i/>
          <w:sz w:val="29"/>
        </w:rPr>
      </w:pPr>
    </w:p>
    <w:p>
      <w:pPr>
        <w:pStyle w:val="BodyText"/>
        <w:spacing w:line="260" w:lineRule="exact" w:before="77"/>
        <w:ind w:left="110" w:right="116"/>
        <w:jc w:val="both"/>
      </w:pPr>
      <w:r>
        <w:rPr/>
        <w:t>puedan manifestarse y tomarse seriamente a manera de insumos del proceso de</w:t>
      </w:r>
      <w:r>
        <w:rPr>
          <w:spacing w:val="-19"/>
        </w:rPr>
        <w:t> </w:t>
      </w:r>
      <w:r>
        <w:rPr/>
        <w:t>planeación.</w:t>
      </w:r>
      <w:r>
        <w:rPr>
          <w:spacing w:val="-19"/>
        </w:rPr>
        <w:t> </w:t>
      </w:r>
      <w:r>
        <w:rPr/>
        <w:t>En</w:t>
      </w:r>
      <w:r>
        <w:rPr>
          <w:spacing w:val="-19"/>
        </w:rPr>
        <w:t> </w:t>
      </w:r>
      <w:r>
        <w:rPr/>
        <w:t>una</w:t>
      </w:r>
      <w:r>
        <w:rPr>
          <w:spacing w:val="-19"/>
        </w:rPr>
        <w:t> </w:t>
      </w:r>
      <w:r>
        <w:rPr/>
        <w:t>etapa</w:t>
      </w:r>
      <w:r>
        <w:rPr>
          <w:spacing w:val="-19"/>
        </w:rPr>
        <w:t> </w:t>
      </w:r>
      <w:r>
        <w:rPr/>
        <w:t>más</w:t>
      </w:r>
      <w:r>
        <w:rPr>
          <w:spacing w:val="-19"/>
        </w:rPr>
        <w:t> </w:t>
      </w:r>
      <w:r>
        <w:rPr/>
        <w:t>avanzada,</w:t>
      </w:r>
      <w:r>
        <w:rPr>
          <w:spacing w:val="-19"/>
        </w:rPr>
        <w:t> </w:t>
      </w:r>
      <w:r>
        <w:rPr/>
        <w:t>se</w:t>
      </w:r>
      <w:r>
        <w:rPr>
          <w:spacing w:val="-19"/>
        </w:rPr>
        <w:t> </w:t>
      </w:r>
      <w:r>
        <w:rPr/>
        <w:t>pueden</w:t>
      </w:r>
      <w:r>
        <w:rPr>
          <w:spacing w:val="-19"/>
        </w:rPr>
        <w:t> </w:t>
      </w:r>
      <w:r>
        <w:rPr/>
        <w:t>sistematizar</w:t>
      </w:r>
      <w:r>
        <w:rPr>
          <w:spacing w:val="-19"/>
        </w:rPr>
        <w:t> </w:t>
      </w:r>
      <w:r>
        <w:rPr/>
        <w:t>los</w:t>
      </w:r>
      <w:r>
        <w:rPr>
          <w:spacing w:val="-19"/>
        </w:rPr>
        <w:t> </w:t>
      </w:r>
      <w:r>
        <w:rPr/>
        <w:t>periodos de planeación temática en forma análoga al desempeño del IMPLAN</w:t>
      </w:r>
      <w:r>
        <w:rPr>
          <w:spacing w:val="-4"/>
        </w:rPr>
        <w:t> </w:t>
      </w:r>
      <w:r>
        <w:rPr/>
        <w:t>León.</w:t>
      </w:r>
    </w:p>
    <w:p>
      <w:pPr>
        <w:spacing w:after="0" w:line="260" w:lineRule="exact"/>
        <w:jc w:val="both"/>
        <w:sectPr>
          <w:pgSz w:w="9360" w:h="13040"/>
          <w:pgMar w:header="527" w:footer="515" w:top="720" w:bottom="700" w:left="74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p>
    <w:p>
      <w:pPr>
        <w:pStyle w:val="Heading1"/>
        <w:spacing w:before="54"/>
        <w:ind w:left="1790" w:right="0"/>
        <w:jc w:val="left"/>
      </w:pPr>
      <w:bookmarkStart w:name="_TOC_250001" w:id="42"/>
      <w:bookmarkEnd w:id="42"/>
      <w:r>
        <w:rPr/>
        <w:t>Conclusiones Generales.</w:t>
      </w:r>
    </w:p>
    <w:p>
      <w:pPr>
        <w:spacing w:after="0"/>
        <w:jc w:val="left"/>
        <w:sectPr>
          <w:headerReference w:type="default" r:id="rId264"/>
          <w:footerReference w:type="default" r:id="rId265"/>
          <w:pgSz w:w="9360" w:h="13040"/>
          <w:pgMar w:header="0" w:footer="515" w:top="1200" w:bottom="700" w:left="1300" w:right="740"/>
          <w:pgNumType w:start="185"/>
        </w:sectPr>
      </w:pPr>
    </w:p>
    <w:p>
      <w:pPr>
        <w:pStyle w:val="BodyText"/>
        <w:spacing w:before="4"/>
        <w:rPr>
          <w:sz w:val="17"/>
        </w:rPr>
      </w:pPr>
    </w:p>
    <w:p>
      <w:pPr>
        <w:spacing w:after="0"/>
        <w:rPr>
          <w:sz w:val="17"/>
        </w:rPr>
        <w:sectPr>
          <w:headerReference w:type="default" r:id="rId266"/>
          <w:footerReference w:type="default" r:id="rId267"/>
          <w:pgSz w:w="9360" w:h="13040"/>
          <w:pgMar w:header="0" w:footer="0" w:top="1200" w:bottom="280" w:left="1300" w:right="13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9"/>
        </w:rPr>
      </w:pPr>
    </w:p>
    <w:p>
      <w:pPr>
        <w:pStyle w:val="BodyText"/>
        <w:ind w:left="118"/>
        <w:rPr>
          <w:sz w:val="20"/>
        </w:rPr>
      </w:pPr>
      <w:r>
        <w:rPr>
          <w:sz w:val="20"/>
        </w:rPr>
        <w:drawing>
          <wp:inline distT="0" distB="0" distL="0" distR="0">
            <wp:extent cx="4502911" cy="3377184"/>
            <wp:effectExtent l="0" t="0" r="0" b="0"/>
            <wp:docPr id="141" name="image122.png" descr=""/>
            <wp:cNvGraphicFramePr>
              <a:graphicFrameLocks noChangeAspect="1"/>
            </wp:cNvGraphicFramePr>
            <a:graphic>
              <a:graphicData uri="http://schemas.openxmlformats.org/drawingml/2006/picture">
                <pic:pic>
                  <pic:nvPicPr>
                    <pic:cNvPr id="142" name="image122.png"/>
                    <pic:cNvPicPr/>
                  </pic:nvPicPr>
                  <pic:blipFill>
                    <a:blip r:embed="rId270" cstate="print"/>
                    <a:stretch>
                      <a:fillRect/>
                    </a:stretch>
                  </pic:blipFill>
                  <pic:spPr>
                    <a:xfrm>
                      <a:off x="0" y="0"/>
                      <a:ext cx="4502911" cy="3377184"/>
                    </a:xfrm>
                    <a:prstGeom prst="rect">
                      <a:avLst/>
                    </a:prstGeom>
                  </pic:spPr>
                </pic:pic>
              </a:graphicData>
            </a:graphic>
          </wp:inline>
        </w:drawing>
      </w:r>
      <w:r>
        <w:rPr>
          <w:sz w:val="20"/>
        </w:rPr>
      </w:r>
    </w:p>
    <w:p>
      <w:pPr>
        <w:pStyle w:val="BodyText"/>
        <w:spacing w:before="8"/>
        <w:rPr>
          <w:sz w:val="14"/>
        </w:rPr>
      </w:pPr>
    </w:p>
    <w:p>
      <w:pPr>
        <w:pStyle w:val="BodyText"/>
        <w:spacing w:before="71"/>
        <w:ind w:left="739" w:right="732"/>
        <w:jc w:val="center"/>
      </w:pPr>
      <w:r>
        <w:rPr/>
        <w:t>Zimapán de Zavala.</w:t>
      </w:r>
    </w:p>
    <w:p>
      <w:pPr>
        <w:spacing w:after="0"/>
        <w:jc w:val="center"/>
        <w:sectPr>
          <w:headerReference w:type="default" r:id="rId268"/>
          <w:footerReference w:type="default" r:id="rId269"/>
          <w:pgSz w:w="9360" w:h="13040"/>
          <w:pgMar w:header="0" w:footer="515" w:top="1200" w:bottom="700" w:left="1300" w:right="740"/>
          <w:pgNumType w:start="187"/>
        </w:sectPr>
      </w:pPr>
    </w:p>
    <w:p>
      <w:pPr>
        <w:pStyle w:val="BodyText"/>
        <w:spacing w:before="4"/>
        <w:rPr>
          <w:sz w:val="17"/>
        </w:rPr>
      </w:pPr>
    </w:p>
    <w:p>
      <w:pPr>
        <w:spacing w:after="0"/>
        <w:rPr>
          <w:sz w:val="17"/>
        </w:rPr>
        <w:sectPr>
          <w:headerReference w:type="default" r:id="rId271"/>
          <w:footerReference w:type="default" r:id="rId272"/>
          <w:pgSz w:w="9360" w:h="13040"/>
          <w:pgMar w:header="0" w:footer="0" w:top="1200" w:bottom="280" w:left="1300" w:right="1300"/>
        </w:sectPr>
      </w:pPr>
    </w:p>
    <w:p>
      <w:pPr>
        <w:pStyle w:val="Heading2"/>
        <w:ind w:left="2413" w:right="0"/>
        <w:jc w:val="left"/>
      </w:pPr>
      <w:r>
        <w:rPr/>
        <w:t>Conclusiones Generales.</w:t>
      </w:r>
    </w:p>
    <w:p>
      <w:pPr>
        <w:pStyle w:val="BodyText"/>
        <w:rPr>
          <w:b/>
          <w:sz w:val="24"/>
        </w:rPr>
      </w:pPr>
    </w:p>
    <w:p>
      <w:pPr>
        <w:pStyle w:val="BodyText"/>
        <w:spacing w:before="2"/>
        <w:rPr>
          <w:b/>
          <w:sz w:val="21"/>
        </w:rPr>
      </w:pPr>
    </w:p>
    <w:p>
      <w:pPr>
        <w:pStyle w:val="BodyText"/>
        <w:spacing w:line="260" w:lineRule="exact"/>
        <w:ind w:left="117" w:right="107"/>
        <w:jc w:val="both"/>
      </w:pPr>
      <w:r>
        <w:rPr/>
        <w:t>En</w:t>
      </w:r>
      <w:r>
        <w:rPr>
          <w:spacing w:val="-15"/>
        </w:rPr>
        <w:t> </w:t>
      </w:r>
      <w:r>
        <w:rPr/>
        <w:t>el</w:t>
      </w:r>
      <w:r>
        <w:rPr>
          <w:spacing w:val="-15"/>
        </w:rPr>
        <w:t> </w:t>
      </w:r>
      <w:r>
        <w:rPr/>
        <w:t>uso</w:t>
      </w:r>
      <w:r>
        <w:rPr>
          <w:spacing w:val="-15"/>
        </w:rPr>
        <w:t> </w:t>
      </w:r>
      <w:r>
        <w:rPr/>
        <w:t>de</w:t>
      </w:r>
      <w:r>
        <w:rPr>
          <w:spacing w:val="-15"/>
        </w:rPr>
        <w:t> </w:t>
      </w:r>
      <w:r>
        <w:rPr/>
        <w:t>las</w:t>
      </w:r>
      <w:r>
        <w:rPr>
          <w:spacing w:val="-15"/>
        </w:rPr>
        <w:t> </w:t>
      </w:r>
      <w:r>
        <w:rPr/>
        <w:t>escalas</w:t>
      </w:r>
      <w:r>
        <w:rPr>
          <w:spacing w:val="-15"/>
        </w:rPr>
        <w:t> </w:t>
      </w:r>
      <w:r>
        <w:rPr/>
        <w:t>de</w:t>
      </w:r>
      <w:r>
        <w:rPr>
          <w:spacing w:val="-15"/>
        </w:rPr>
        <w:t> </w:t>
      </w:r>
      <w:r>
        <w:rPr/>
        <w:t>evaluación</w:t>
      </w:r>
      <w:r>
        <w:rPr>
          <w:spacing w:val="-16"/>
        </w:rPr>
        <w:t> </w:t>
      </w:r>
      <w:r>
        <w:rPr/>
        <w:t>del</w:t>
      </w:r>
      <w:r>
        <w:rPr>
          <w:spacing w:val="-15"/>
        </w:rPr>
        <w:t> </w:t>
      </w:r>
      <w:r>
        <w:rPr/>
        <w:t>federalismo</w:t>
      </w:r>
      <w:r>
        <w:rPr>
          <w:spacing w:val="-15"/>
        </w:rPr>
        <w:t> </w:t>
      </w:r>
      <w:r>
        <w:rPr/>
        <w:t>subsidiario,</w:t>
      </w:r>
      <w:r>
        <w:rPr>
          <w:spacing w:val="-14"/>
        </w:rPr>
        <w:t> </w:t>
      </w:r>
      <w:r>
        <w:rPr/>
        <w:t>el</w:t>
      </w:r>
      <w:r>
        <w:rPr>
          <w:spacing w:val="-15"/>
        </w:rPr>
        <w:t> </w:t>
      </w:r>
      <w:r>
        <w:rPr/>
        <w:t>promedio general que arroja la presente investigación es de 2.29. </w:t>
      </w:r>
      <w:r>
        <w:rPr>
          <w:spacing w:val="-6"/>
        </w:rPr>
        <w:t>Tal </w:t>
      </w:r>
      <w:r>
        <w:rPr/>
        <w:t>evaluación indica endebles capacidades subsidiarias en el contexto gubernamental hidalguense (estado</w:t>
      </w:r>
      <w:r>
        <w:rPr>
          <w:spacing w:val="-25"/>
        </w:rPr>
        <w:t> </w:t>
      </w:r>
      <w:r>
        <w:rPr/>
        <w:t>y</w:t>
      </w:r>
      <w:r>
        <w:rPr>
          <w:spacing w:val="-25"/>
        </w:rPr>
        <w:t> </w:t>
      </w:r>
      <w:r>
        <w:rPr/>
        <w:t>municipios),</w:t>
      </w:r>
      <w:r>
        <w:rPr>
          <w:spacing w:val="-26"/>
        </w:rPr>
        <w:t> </w:t>
      </w:r>
      <w:r>
        <w:rPr/>
        <w:t>pues</w:t>
      </w:r>
      <w:r>
        <w:rPr>
          <w:spacing w:val="-25"/>
        </w:rPr>
        <w:t> </w:t>
      </w:r>
      <w:r>
        <w:rPr/>
        <w:t>el</w:t>
      </w:r>
      <w:r>
        <w:rPr>
          <w:spacing w:val="-25"/>
        </w:rPr>
        <w:t> </w:t>
      </w:r>
      <w:r>
        <w:rPr/>
        <w:t>promedio</w:t>
      </w:r>
      <w:r>
        <w:rPr>
          <w:spacing w:val="-25"/>
        </w:rPr>
        <w:t> </w:t>
      </w:r>
      <w:r>
        <w:rPr/>
        <w:t>se</w:t>
      </w:r>
      <w:r>
        <w:rPr>
          <w:spacing w:val="-25"/>
        </w:rPr>
        <w:t> </w:t>
      </w:r>
      <w:r>
        <w:rPr/>
        <w:t>ubica</w:t>
      </w:r>
      <w:r>
        <w:rPr>
          <w:spacing w:val="-25"/>
        </w:rPr>
        <w:t> </w:t>
      </w:r>
      <w:r>
        <w:rPr/>
        <w:t>por</w:t>
      </w:r>
      <w:r>
        <w:rPr>
          <w:spacing w:val="-25"/>
        </w:rPr>
        <w:t> </w:t>
      </w:r>
      <w:r>
        <w:rPr/>
        <w:t>debajo</w:t>
      </w:r>
      <w:r>
        <w:rPr>
          <w:spacing w:val="-25"/>
        </w:rPr>
        <w:t> </w:t>
      </w:r>
      <w:r>
        <w:rPr/>
        <w:t>de</w:t>
      </w:r>
      <w:r>
        <w:rPr>
          <w:spacing w:val="-25"/>
        </w:rPr>
        <w:t> </w:t>
      </w:r>
      <w:r>
        <w:rPr/>
        <w:t>la</w:t>
      </w:r>
      <w:r>
        <w:rPr>
          <w:spacing w:val="-25"/>
        </w:rPr>
        <w:t> </w:t>
      </w:r>
      <w:r>
        <w:rPr/>
        <w:t>media</w:t>
      </w:r>
      <w:r>
        <w:rPr>
          <w:spacing w:val="-26"/>
        </w:rPr>
        <w:t> </w:t>
      </w:r>
      <w:r>
        <w:rPr/>
        <w:t>lograda en estudios anteriores (2.58). Los siguientes ámbitos intergubernamentales presentan las condiciones estructurales más</w:t>
      </w:r>
      <w:r>
        <w:rPr>
          <w:spacing w:val="-4"/>
        </w:rPr>
        <w:t> </w:t>
      </w:r>
      <w:r>
        <w:rPr/>
        <w:t>críticas:</w:t>
      </w:r>
    </w:p>
    <w:p>
      <w:pPr>
        <w:pStyle w:val="BodyText"/>
        <w:spacing w:before="7"/>
        <w:rPr>
          <w:sz w:val="22"/>
        </w:rPr>
      </w:pPr>
    </w:p>
    <w:p>
      <w:pPr>
        <w:pStyle w:val="ListParagraph"/>
        <w:numPr>
          <w:ilvl w:val="1"/>
          <w:numId w:val="18"/>
        </w:numPr>
        <w:tabs>
          <w:tab w:pos="685" w:val="left" w:leader="none"/>
        </w:tabs>
        <w:spacing w:line="260" w:lineRule="exact" w:before="0" w:after="0"/>
        <w:ind w:left="684" w:right="108" w:hanging="284"/>
        <w:jc w:val="both"/>
        <w:rPr>
          <w:sz w:val="23"/>
        </w:rPr>
      </w:pPr>
      <w:r>
        <w:rPr>
          <w:sz w:val="23"/>
        </w:rPr>
        <w:t>En </w:t>
      </w:r>
      <w:r>
        <w:rPr>
          <w:i/>
          <w:sz w:val="23"/>
        </w:rPr>
        <w:t>la coordinación recaudatoria entre el gobierno estatal y los </w:t>
      </w:r>
      <w:r>
        <w:rPr>
          <w:i/>
          <w:sz w:val="23"/>
        </w:rPr>
        <w:t>ayuntamientos hidalguenses, </w:t>
      </w:r>
      <w:r>
        <w:rPr>
          <w:sz w:val="23"/>
        </w:rPr>
        <w:t>el contexto hacendario del estado no cuenta con un Sistema Estatal de Coordinación Fiscal (SECF), además de que no se han descentralizado conceptos recaudatorios estatales hacia la instancia</w:t>
      </w:r>
      <w:r>
        <w:rPr>
          <w:spacing w:val="-1"/>
          <w:sz w:val="23"/>
        </w:rPr>
        <w:t> </w:t>
      </w:r>
      <w:r>
        <w:rPr>
          <w:sz w:val="23"/>
        </w:rPr>
        <w:t>municipal.</w:t>
      </w:r>
    </w:p>
    <w:p>
      <w:pPr>
        <w:pStyle w:val="BodyText"/>
        <w:spacing w:before="7"/>
        <w:rPr>
          <w:sz w:val="22"/>
        </w:rPr>
      </w:pPr>
    </w:p>
    <w:p>
      <w:pPr>
        <w:pStyle w:val="ListParagraph"/>
        <w:numPr>
          <w:ilvl w:val="1"/>
          <w:numId w:val="18"/>
        </w:numPr>
        <w:tabs>
          <w:tab w:pos="685" w:val="left" w:leader="none"/>
        </w:tabs>
        <w:spacing w:line="260" w:lineRule="exact" w:before="0" w:after="0"/>
        <w:ind w:left="684" w:right="108" w:hanging="284"/>
        <w:jc w:val="both"/>
        <w:rPr>
          <w:sz w:val="23"/>
        </w:rPr>
      </w:pPr>
      <w:r>
        <w:rPr>
          <w:sz w:val="23"/>
        </w:rPr>
        <w:t>En</w:t>
      </w:r>
      <w:r>
        <w:rPr>
          <w:spacing w:val="-18"/>
          <w:sz w:val="23"/>
        </w:rPr>
        <w:t> </w:t>
      </w:r>
      <w:r>
        <w:rPr>
          <w:i/>
          <w:sz w:val="23"/>
        </w:rPr>
        <w:t>el</w:t>
      </w:r>
      <w:r>
        <w:rPr>
          <w:i/>
          <w:spacing w:val="-18"/>
          <w:sz w:val="23"/>
        </w:rPr>
        <w:t> </w:t>
      </w:r>
      <w:r>
        <w:rPr>
          <w:i/>
          <w:sz w:val="23"/>
        </w:rPr>
        <w:t>gasto</w:t>
      </w:r>
      <w:r>
        <w:rPr>
          <w:i/>
          <w:spacing w:val="-18"/>
          <w:sz w:val="23"/>
        </w:rPr>
        <w:t> </w:t>
      </w:r>
      <w:r>
        <w:rPr>
          <w:i/>
          <w:sz w:val="23"/>
        </w:rPr>
        <w:t>cofinanciado</w:t>
      </w:r>
      <w:r>
        <w:rPr>
          <w:i/>
          <w:spacing w:val="-18"/>
          <w:sz w:val="23"/>
        </w:rPr>
        <w:t> </w:t>
      </w:r>
      <w:r>
        <w:rPr>
          <w:i/>
          <w:sz w:val="23"/>
        </w:rPr>
        <w:t>en</w:t>
      </w:r>
      <w:r>
        <w:rPr>
          <w:i/>
          <w:spacing w:val="-18"/>
          <w:sz w:val="23"/>
        </w:rPr>
        <w:t> </w:t>
      </w:r>
      <w:r>
        <w:rPr>
          <w:i/>
          <w:sz w:val="23"/>
        </w:rPr>
        <w:t>servicios</w:t>
      </w:r>
      <w:r>
        <w:rPr>
          <w:i/>
          <w:spacing w:val="-18"/>
          <w:sz w:val="23"/>
        </w:rPr>
        <w:t> </w:t>
      </w:r>
      <w:r>
        <w:rPr>
          <w:i/>
          <w:sz w:val="23"/>
        </w:rPr>
        <w:t>públicos</w:t>
      </w:r>
      <w:r>
        <w:rPr>
          <w:i/>
          <w:spacing w:val="-18"/>
          <w:sz w:val="23"/>
        </w:rPr>
        <w:t> </w:t>
      </w:r>
      <w:r>
        <w:rPr>
          <w:i/>
          <w:sz w:val="23"/>
        </w:rPr>
        <w:t>entre</w:t>
      </w:r>
      <w:r>
        <w:rPr>
          <w:i/>
          <w:spacing w:val="-18"/>
          <w:sz w:val="23"/>
        </w:rPr>
        <w:t> </w:t>
      </w:r>
      <w:r>
        <w:rPr>
          <w:i/>
          <w:sz w:val="23"/>
        </w:rPr>
        <w:t>el</w:t>
      </w:r>
      <w:r>
        <w:rPr>
          <w:i/>
          <w:spacing w:val="-18"/>
          <w:sz w:val="23"/>
        </w:rPr>
        <w:t> </w:t>
      </w:r>
      <w:r>
        <w:rPr>
          <w:i/>
          <w:sz w:val="23"/>
        </w:rPr>
        <w:t>gobierno</w:t>
      </w:r>
      <w:r>
        <w:rPr>
          <w:i/>
          <w:spacing w:val="-18"/>
          <w:sz w:val="23"/>
        </w:rPr>
        <w:t> </w:t>
      </w:r>
      <w:r>
        <w:rPr>
          <w:i/>
          <w:sz w:val="23"/>
        </w:rPr>
        <w:t>federal, </w:t>
      </w:r>
      <w:r>
        <w:rPr>
          <w:i/>
          <w:sz w:val="23"/>
        </w:rPr>
        <w:t>el gobierno estatal y los ayuntamientos hidalguenses; </w:t>
      </w:r>
      <w:r>
        <w:rPr>
          <w:sz w:val="23"/>
        </w:rPr>
        <w:t>no se privilegia el cofinanciamiento entre los gobiernos federal, estatal y municipal según un enfoque racional</w:t>
      </w:r>
      <w:r>
        <w:rPr>
          <w:spacing w:val="-5"/>
          <w:sz w:val="23"/>
        </w:rPr>
        <w:t> </w:t>
      </w:r>
      <w:r>
        <w:rPr>
          <w:sz w:val="23"/>
        </w:rPr>
        <w:t>bottom-up.</w:t>
      </w:r>
    </w:p>
    <w:p>
      <w:pPr>
        <w:pStyle w:val="BodyText"/>
        <w:spacing w:before="7"/>
        <w:rPr>
          <w:sz w:val="22"/>
        </w:rPr>
      </w:pPr>
    </w:p>
    <w:p>
      <w:pPr>
        <w:pStyle w:val="ListParagraph"/>
        <w:numPr>
          <w:ilvl w:val="1"/>
          <w:numId w:val="18"/>
        </w:numPr>
        <w:tabs>
          <w:tab w:pos="685" w:val="left" w:leader="none"/>
        </w:tabs>
        <w:spacing w:line="260" w:lineRule="exact" w:before="0" w:after="0"/>
        <w:ind w:left="684" w:right="108" w:hanging="284"/>
        <w:jc w:val="both"/>
        <w:rPr>
          <w:sz w:val="23"/>
        </w:rPr>
      </w:pPr>
      <w:r>
        <w:rPr>
          <w:sz w:val="23"/>
        </w:rPr>
        <w:t>En </w:t>
      </w:r>
      <w:r>
        <w:rPr>
          <w:i/>
          <w:sz w:val="23"/>
        </w:rPr>
        <w:t>la política intergubernamental de lo urbano y de la  vivienda  </w:t>
      </w:r>
      <w:r>
        <w:rPr>
          <w:i/>
          <w:sz w:val="23"/>
        </w:rPr>
        <w:t>social en el Estado de Hidalgo</w:t>
      </w:r>
      <w:r>
        <w:rPr>
          <w:sz w:val="23"/>
        </w:rPr>
        <w:t>, las dependencias sectoriales estatales  y municipales así como los actores privados no desarrollan una coordinación estratégica</w:t>
      </w:r>
      <w:r>
        <w:rPr>
          <w:spacing w:val="-2"/>
          <w:sz w:val="23"/>
        </w:rPr>
        <w:t> </w:t>
      </w:r>
      <w:r>
        <w:rPr>
          <w:sz w:val="23"/>
        </w:rPr>
        <w:t>urbano-habitacional.</w:t>
      </w:r>
    </w:p>
    <w:p>
      <w:pPr>
        <w:pStyle w:val="BodyText"/>
        <w:spacing w:before="7"/>
        <w:rPr>
          <w:sz w:val="22"/>
        </w:rPr>
      </w:pPr>
    </w:p>
    <w:p>
      <w:pPr>
        <w:pStyle w:val="ListParagraph"/>
        <w:numPr>
          <w:ilvl w:val="1"/>
          <w:numId w:val="18"/>
        </w:numPr>
        <w:tabs>
          <w:tab w:pos="685" w:val="left" w:leader="none"/>
        </w:tabs>
        <w:spacing w:line="260" w:lineRule="exact" w:before="0" w:after="0"/>
        <w:ind w:left="684" w:right="107" w:hanging="284"/>
        <w:jc w:val="both"/>
        <w:rPr>
          <w:sz w:val="23"/>
        </w:rPr>
      </w:pPr>
      <w:r>
        <w:rPr>
          <w:sz w:val="23"/>
        </w:rPr>
        <w:t>En </w:t>
      </w:r>
      <w:r>
        <w:rPr>
          <w:i/>
          <w:sz w:val="23"/>
        </w:rPr>
        <w:t>las obras comunitarias de los municipios hidalguenses, </w:t>
      </w:r>
      <w:r>
        <w:rPr>
          <w:sz w:val="23"/>
        </w:rPr>
        <w:t>existen pocos</w:t>
      </w:r>
      <w:r>
        <w:rPr>
          <w:spacing w:val="-8"/>
          <w:sz w:val="23"/>
        </w:rPr>
        <w:t> </w:t>
      </w:r>
      <w:r>
        <w:rPr>
          <w:sz w:val="23"/>
        </w:rPr>
        <w:t>casos</w:t>
      </w:r>
      <w:r>
        <w:rPr>
          <w:spacing w:val="-8"/>
          <w:sz w:val="23"/>
        </w:rPr>
        <w:t> </w:t>
      </w:r>
      <w:r>
        <w:rPr>
          <w:sz w:val="23"/>
        </w:rPr>
        <w:t>de</w:t>
      </w:r>
      <w:r>
        <w:rPr>
          <w:spacing w:val="-8"/>
          <w:sz w:val="23"/>
        </w:rPr>
        <w:t> </w:t>
      </w:r>
      <w:r>
        <w:rPr>
          <w:sz w:val="23"/>
        </w:rPr>
        <w:t>cofinanciamiento</w:t>
      </w:r>
      <w:r>
        <w:rPr>
          <w:spacing w:val="-9"/>
          <w:sz w:val="23"/>
        </w:rPr>
        <w:t> </w:t>
      </w:r>
      <w:r>
        <w:rPr>
          <w:sz w:val="23"/>
        </w:rPr>
        <w:t>social</w:t>
      </w:r>
      <w:r>
        <w:rPr>
          <w:spacing w:val="-8"/>
          <w:sz w:val="23"/>
        </w:rPr>
        <w:t> </w:t>
      </w:r>
      <w:r>
        <w:rPr>
          <w:sz w:val="23"/>
        </w:rPr>
        <w:t>además</w:t>
      </w:r>
      <w:r>
        <w:rPr>
          <w:spacing w:val="-8"/>
          <w:sz w:val="23"/>
        </w:rPr>
        <w:t> </w:t>
      </w:r>
      <w:r>
        <w:rPr>
          <w:sz w:val="23"/>
        </w:rPr>
        <w:t>de</w:t>
      </w:r>
      <w:r>
        <w:rPr>
          <w:spacing w:val="-8"/>
          <w:sz w:val="23"/>
        </w:rPr>
        <w:t> </w:t>
      </w:r>
      <w:r>
        <w:rPr>
          <w:sz w:val="23"/>
        </w:rPr>
        <w:t>que</w:t>
      </w:r>
      <w:r>
        <w:rPr>
          <w:spacing w:val="-8"/>
          <w:sz w:val="23"/>
        </w:rPr>
        <w:t> </w:t>
      </w:r>
      <w:r>
        <w:rPr>
          <w:sz w:val="23"/>
        </w:rPr>
        <w:t>en</w:t>
      </w:r>
      <w:r>
        <w:rPr>
          <w:spacing w:val="-8"/>
          <w:sz w:val="23"/>
        </w:rPr>
        <w:t> </w:t>
      </w:r>
      <w:r>
        <w:rPr>
          <w:sz w:val="23"/>
        </w:rPr>
        <w:t>esos</w:t>
      </w:r>
      <w:r>
        <w:rPr>
          <w:spacing w:val="-8"/>
          <w:sz w:val="23"/>
        </w:rPr>
        <w:t> </w:t>
      </w:r>
      <w:r>
        <w:rPr>
          <w:sz w:val="23"/>
        </w:rPr>
        <w:t>casos</w:t>
      </w:r>
      <w:r>
        <w:rPr>
          <w:spacing w:val="-8"/>
          <w:sz w:val="23"/>
        </w:rPr>
        <w:t> </w:t>
      </w:r>
      <w:r>
        <w:rPr>
          <w:sz w:val="23"/>
        </w:rPr>
        <w:t>no son plenas las potencialidades</w:t>
      </w:r>
      <w:r>
        <w:rPr>
          <w:spacing w:val="-17"/>
          <w:sz w:val="23"/>
        </w:rPr>
        <w:t> </w:t>
      </w:r>
      <w:r>
        <w:rPr>
          <w:sz w:val="23"/>
        </w:rPr>
        <w:t>subsidiarias.</w:t>
      </w:r>
    </w:p>
    <w:p>
      <w:pPr>
        <w:pStyle w:val="BodyText"/>
        <w:rPr>
          <w:sz w:val="22"/>
        </w:rPr>
      </w:pPr>
    </w:p>
    <w:p>
      <w:pPr>
        <w:pStyle w:val="ListParagraph"/>
        <w:numPr>
          <w:ilvl w:val="1"/>
          <w:numId w:val="18"/>
        </w:numPr>
        <w:tabs>
          <w:tab w:pos="685" w:val="left" w:leader="none"/>
        </w:tabs>
        <w:spacing w:line="262" w:lineRule="exact" w:before="0" w:after="0"/>
        <w:ind w:left="684" w:right="0" w:hanging="283"/>
        <w:jc w:val="left"/>
        <w:rPr>
          <w:i/>
          <w:sz w:val="23"/>
        </w:rPr>
      </w:pPr>
      <w:r>
        <w:rPr>
          <w:sz w:val="23"/>
        </w:rPr>
        <w:t>En </w:t>
      </w:r>
      <w:r>
        <w:rPr>
          <w:i/>
          <w:sz w:val="23"/>
        </w:rPr>
        <w:t>la incidencia de la ciudadanía hidalguense respecto a la</w:t>
      </w:r>
      <w:r>
        <w:rPr>
          <w:i/>
          <w:spacing w:val="7"/>
          <w:sz w:val="23"/>
        </w:rPr>
        <w:t> </w:t>
      </w:r>
      <w:r>
        <w:rPr>
          <w:i/>
          <w:sz w:val="23"/>
        </w:rPr>
        <w:t>definición</w:t>
      </w:r>
    </w:p>
    <w:p>
      <w:pPr>
        <w:spacing w:line="262" w:lineRule="exact" w:before="0"/>
        <w:ind w:left="684" w:right="0" w:firstLine="0"/>
        <w:jc w:val="both"/>
        <w:rPr>
          <w:sz w:val="23"/>
        </w:rPr>
      </w:pPr>
      <w:r>
        <w:rPr>
          <w:i/>
          <w:sz w:val="23"/>
        </w:rPr>
        <w:t>de</w:t>
      </w:r>
      <w:r>
        <w:rPr>
          <w:i/>
          <w:spacing w:val="-24"/>
          <w:sz w:val="23"/>
        </w:rPr>
        <w:t> </w:t>
      </w:r>
      <w:r>
        <w:rPr>
          <w:i/>
          <w:sz w:val="23"/>
        </w:rPr>
        <w:t>las</w:t>
      </w:r>
      <w:r>
        <w:rPr>
          <w:i/>
          <w:spacing w:val="-24"/>
          <w:sz w:val="23"/>
        </w:rPr>
        <w:t> </w:t>
      </w:r>
      <w:r>
        <w:rPr>
          <w:i/>
          <w:sz w:val="23"/>
        </w:rPr>
        <w:t>políticas</w:t>
      </w:r>
      <w:r>
        <w:rPr>
          <w:i/>
          <w:spacing w:val="-24"/>
          <w:sz w:val="23"/>
        </w:rPr>
        <w:t> </w:t>
      </w:r>
      <w:r>
        <w:rPr>
          <w:i/>
          <w:sz w:val="23"/>
        </w:rPr>
        <w:t>públicas,</w:t>
      </w:r>
      <w:r>
        <w:rPr>
          <w:i/>
          <w:spacing w:val="-24"/>
          <w:sz w:val="23"/>
        </w:rPr>
        <w:t> </w:t>
      </w:r>
      <w:r>
        <w:rPr>
          <w:sz w:val="23"/>
        </w:rPr>
        <w:t>la</w:t>
      </w:r>
      <w:r>
        <w:rPr>
          <w:spacing w:val="-24"/>
          <w:sz w:val="23"/>
        </w:rPr>
        <w:t> </w:t>
      </w:r>
      <w:r>
        <w:rPr>
          <w:sz w:val="23"/>
        </w:rPr>
        <w:t>participación</w:t>
      </w:r>
      <w:r>
        <w:rPr>
          <w:spacing w:val="-24"/>
          <w:sz w:val="23"/>
        </w:rPr>
        <w:t> </w:t>
      </w:r>
      <w:r>
        <w:rPr>
          <w:sz w:val="23"/>
        </w:rPr>
        <w:t>democrática</w:t>
      </w:r>
      <w:r>
        <w:rPr>
          <w:spacing w:val="-24"/>
          <w:sz w:val="23"/>
        </w:rPr>
        <w:t> </w:t>
      </w:r>
      <w:r>
        <w:rPr>
          <w:sz w:val="23"/>
        </w:rPr>
        <w:t>es</w:t>
      </w:r>
      <w:r>
        <w:rPr>
          <w:spacing w:val="-24"/>
          <w:sz w:val="23"/>
        </w:rPr>
        <w:t> </w:t>
      </w:r>
      <w:r>
        <w:rPr>
          <w:sz w:val="23"/>
        </w:rPr>
        <w:t>una</w:t>
      </w:r>
      <w:r>
        <w:rPr>
          <w:spacing w:val="-24"/>
          <w:sz w:val="23"/>
        </w:rPr>
        <w:t> </w:t>
      </w:r>
      <w:r>
        <w:rPr>
          <w:sz w:val="23"/>
        </w:rPr>
        <w:t>simulación.</w:t>
      </w:r>
    </w:p>
    <w:p>
      <w:pPr>
        <w:pStyle w:val="BodyText"/>
        <w:spacing w:before="9"/>
        <w:rPr>
          <w:sz w:val="22"/>
        </w:rPr>
      </w:pPr>
    </w:p>
    <w:p>
      <w:pPr>
        <w:pStyle w:val="BodyText"/>
        <w:spacing w:line="260" w:lineRule="exact"/>
        <w:ind w:left="684" w:right="108"/>
        <w:jc w:val="both"/>
      </w:pPr>
      <w:r>
        <w:rPr/>
        <w:t>Por otra parte, en los ámbitos intergubernamentales que presentan potencialidades subsidiarias, éstas no son plenas puesto que presentan las siguientes carencias:</w:t>
      </w:r>
    </w:p>
    <w:p>
      <w:pPr>
        <w:pStyle w:val="BodyText"/>
        <w:spacing w:before="7"/>
        <w:rPr>
          <w:sz w:val="22"/>
        </w:rPr>
      </w:pPr>
    </w:p>
    <w:p>
      <w:pPr>
        <w:pStyle w:val="ListParagraph"/>
        <w:numPr>
          <w:ilvl w:val="1"/>
          <w:numId w:val="18"/>
        </w:numPr>
        <w:tabs>
          <w:tab w:pos="685" w:val="left" w:leader="none"/>
        </w:tabs>
        <w:spacing w:line="260" w:lineRule="exact" w:before="0" w:after="0"/>
        <w:ind w:left="684" w:right="107" w:hanging="283"/>
        <w:jc w:val="both"/>
        <w:rPr>
          <w:i/>
          <w:sz w:val="23"/>
        </w:rPr>
      </w:pPr>
      <w:r>
        <w:rPr>
          <w:sz w:val="23"/>
        </w:rPr>
        <w:t>En</w:t>
      </w:r>
      <w:r>
        <w:rPr>
          <w:spacing w:val="-15"/>
          <w:sz w:val="23"/>
        </w:rPr>
        <w:t> </w:t>
      </w:r>
      <w:r>
        <w:rPr>
          <w:i/>
          <w:sz w:val="23"/>
        </w:rPr>
        <w:t>la</w:t>
      </w:r>
      <w:r>
        <w:rPr>
          <w:i/>
          <w:spacing w:val="-15"/>
          <w:sz w:val="23"/>
        </w:rPr>
        <w:t> </w:t>
      </w:r>
      <w:r>
        <w:rPr>
          <w:i/>
          <w:sz w:val="23"/>
        </w:rPr>
        <w:t>coordinación</w:t>
      </w:r>
      <w:r>
        <w:rPr>
          <w:i/>
          <w:spacing w:val="-15"/>
          <w:sz w:val="23"/>
        </w:rPr>
        <w:t> </w:t>
      </w:r>
      <w:r>
        <w:rPr>
          <w:i/>
          <w:sz w:val="23"/>
        </w:rPr>
        <w:t>recaudatoria</w:t>
      </w:r>
      <w:r>
        <w:rPr>
          <w:i/>
          <w:spacing w:val="-15"/>
          <w:sz w:val="23"/>
        </w:rPr>
        <w:t> </w:t>
      </w:r>
      <w:r>
        <w:rPr>
          <w:i/>
          <w:sz w:val="23"/>
        </w:rPr>
        <w:t>entre</w:t>
      </w:r>
      <w:r>
        <w:rPr>
          <w:i/>
          <w:spacing w:val="-14"/>
          <w:sz w:val="23"/>
        </w:rPr>
        <w:t> </w:t>
      </w:r>
      <w:r>
        <w:rPr>
          <w:i/>
          <w:sz w:val="23"/>
        </w:rPr>
        <w:t>el</w:t>
      </w:r>
      <w:r>
        <w:rPr>
          <w:i/>
          <w:spacing w:val="-15"/>
          <w:sz w:val="23"/>
        </w:rPr>
        <w:t> </w:t>
      </w:r>
      <w:r>
        <w:rPr>
          <w:i/>
          <w:sz w:val="23"/>
        </w:rPr>
        <w:t>gobierno</w:t>
      </w:r>
      <w:r>
        <w:rPr>
          <w:i/>
          <w:spacing w:val="-14"/>
          <w:sz w:val="23"/>
        </w:rPr>
        <w:t> </w:t>
      </w:r>
      <w:r>
        <w:rPr>
          <w:i/>
          <w:sz w:val="23"/>
        </w:rPr>
        <w:t>federal</w:t>
      </w:r>
      <w:r>
        <w:rPr>
          <w:i/>
          <w:spacing w:val="-15"/>
          <w:sz w:val="23"/>
        </w:rPr>
        <w:t> </w:t>
      </w:r>
      <w:r>
        <w:rPr>
          <w:i/>
          <w:sz w:val="23"/>
        </w:rPr>
        <w:t>y</w:t>
      </w:r>
      <w:r>
        <w:rPr>
          <w:i/>
          <w:spacing w:val="-14"/>
          <w:sz w:val="23"/>
        </w:rPr>
        <w:t> </w:t>
      </w:r>
      <w:r>
        <w:rPr>
          <w:i/>
          <w:sz w:val="23"/>
        </w:rPr>
        <w:t>el</w:t>
      </w:r>
      <w:r>
        <w:rPr>
          <w:i/>
          <w:spacing w:val="-15"/>
          <w:sz w:val="23"/>
        </w:rPr>
        <w:t> </w:t>
      </w:r>
      <w:r>
        <w:rPr>
          <w:i/>
          <w:sz w:val="23"/>
        </w:rPr>
        <w:t>gobierno </w:t>
      </w:r>
      <w:r>
        <w:rPr>
          <w:i/>
          <w:sz w:val="23"/>
        </w:rPr>
        <w:t>del Estado de Hidalgo </w:t>
      </w:r>
      <w:r>
        <w:rPr>
          <w:sz w:val="23"/>
        </w:rPr>
        <w:t>la </w:t>
      </w:r>
      <w:r>
        <w:rPr>
          <w:i/>
          <w:sz w:val="23"/>
        </w:rPr>
        <w:t>capacidad intergubernamental de</w:t>
      </w:r>
      <w:r>
        <w:rPr>
          <w:i/>
          <w:spacing w:val="-8"/>
          <w:sz w:val="23"/>
        </w:rPr>
        <w:t> </w:t>
      </w:r>
      <w:r>
        <w:rPr>
          <w:i/>
          <w:sz w:val="23"/>
        </w:rPr>
        <w:t>asociación</w:t>
      </w:r>
    </w:p>
    <w:p>
      <w:pPr>
        <w:spacing w:after="0" w:line="260" w:lineRule="exact"/>
        <w:jc w:val="both"/>
        <w:rPr>
          <w:sz w:val="23"/>
        </w:rPr>
        <w:sectPr>
          <w:headerReference w:type="default" r:id="rId273"/>
          <w:footerReference w:type="default" r:id="rId274"/>
          <w:footerReference w:type="even" r:id="rId275"/>
          <w:pgSz w:w="9360" w:h="13040"/>
          <w:pgMar w:header="0" w:footer="515" w:top="1200" w:bottom="700" w:left="1300" w:right="740"/>
          <w:pgNumType w:start="189"/>
        </w:sectPr>
      </w:pPr>
    </w:p>
    <w:p>
      <w:pPr>
        <w:pStyle w:val="BodyText"/>
        <w:rPr>
          <w:i/>
          <w:sz w:val="20"/>
        </w:rPr>
      </w:pPr>
    </w:p>
    <w:p>
      <w:pPr>
        <w:pStyle w:val="BodyText"/>
        <w:spacing w:before="1"/>
        <w:rPr>
          <w:i/>
          <w:sz w:val="29"/>
        </w:rPr>
      </w:pPr>
    </w:p>
    <w:p>
      <w:pPr>
        <w:spacing w:line="256" w:lineRule="exact" w:before="80"/>
        <w:ind w:left="677" w:right="114" w:firstLine="0"/>
        <w:jc w:val="both"/>
        <w:rPr>
          <w:sz w:val="23"/>
        </w:rPr>
      </w:pPr>
      <w:r>
        <w:rPr>
          <w:i/>
          <w:sz w:val="23"/>
        </w:rPr>
        <w:t>estratégica </w:t>
      </w:r>
      <w:r>
        <w:rPr>
          <w:sz w:val="23"/>
        </w:rPr>
        <w:t>es exigua, pues las diferencias de filiación política afectan la posibilidad de desarrollar un trabajo coordinado federación-estado para </w:t>
      </w:r>
      <w:r>
        <w:rPr>
          <w:i/>
          <w:sz w:val="23"/>
        </w:rPr>
        <w:t>reforzar las funciones recaudatorias estatales. </w:t>
      </w:r>
      <w:r>
        <w:rPr>
          <w:sz w:val="23"/>
        </w:rPr>
        <w:t>Como segunda deficiencia,</w:t>
      </w:r>
      <w:r>
        <w:rPr>
          <w:spacing w:val="-18"/>
          <w:sz w:val="23"/>
        </w:rPr>
        <w:t> </w:t>
      </w:r>
      <w:r>
        <w:rPr>
          <w:sz w:val="23"/>
        </w:rPr>
        <w:t>la</w:t>
      </w:r>
      <w:r>
        <w:rPr>
          <w:spacing w:val="-18"/>
          <w:sz w:val="23"/>
        </w:rPr>
        <w:t> </w:t>
      </w:r>
      <w:r>
        <w:rPr>
          <w:i/>
          <w:sz w:val="23"/>
        </w:rPr>
        <w:t>restricción</w:t>
      </w:r>
      <w:r>
        <w:rPr>
          <w:i/>
          <w:spacing w:val="-19"/>
          <w:sz w:val="23"/>
        </w:rPr>
        <w:t> </w:t>
      </w:r>
      <w:r>
        <w:rPr>
          <w:i/>
          <w:sz w:val="23"/>
        </w:rPr>
        <w:t>competencial</w:t>
      </w:r>
      <w:r>
        <w:rPr>
          <w:i/>
          <w:spacing w:val="-19"/>
          <w:sz w:val="23"/>
        </w:rPr>
        <w:t> </w:t>
      </w:r>
      <w:r>
        <w:rPr>
          <w:i/>
          <w:sz w:val="23"/>
        </w:rPr>
        <w:t>de</w:t>
      </w:r>
      <w:r>
        <w:rPr>
          <w:i/>
          <w:spacing w:val="-18"/>
          <w:sz w:val="23"/>
        </w:rPr>
        <w:t> </w:t>
      </w:r>
      <w:r>
        <w:rPr>
          <w:i/>
          <w:sz w:val="23"/>
        </w:rPr>
        <w:t>las</w:t>
      </w:r>
      <w:r>
        <w:rPr>
          <w:i/>
          <w:spacing w:val="-18"/>
          <w:sz w:val="23"/>
        </w:rPr>
        <w:t> </w:t>
      </w:r>
      <w:r>
        <w:rPr>
          <w:i/>
          <w:sz w:val="23"/>
        </w:rPr>
        <w:t>formaciones</w:t>
      </w:r>
      <w:r>
        <w:rPr>
          <w:i/>
          <w:spacing w:val="-19"/>
          <w:sz w:val="23"/>
        </w:rPr>
        <w:t> </w:t>
      </w:r>
      <w:r>
        <w:rPr>
          <w:i/>
          <w:sz w:val="23"/>
        </w:rPr>
        <w:t>sociales</w:t>
      </w:r>
      <w:r>
        <w:rPr>
          <w:i/>
          <w:spacing w:val="-17"/>
          <w:sz w:val="23"/>
        </w:rPr>
        <w:t> </w:t>
      </w:r>
      <w:r>
        <w:rPr>
          <w:i/>
          <w:sz w:val="23"/>
        </w:rPr>
        <w:t>más </w:t>
      </w:r>
      <w:r>
        <w:rPr>
          <w:i/>
          <w:sz w:val="23"/>
        </w:rPr>
        <w:t>complejas</w:t>
      </w:r>
      <w:r>
        <w:rPr>
          <w:i/>
          <w:spacing w:val="-11"/>
          <w:sz w:val="23"/>
        </w:rPr>
        <w:t> </w:t>
      </w:r>
      <w:r>
        <w:rPr>
          <w:sz w:val="23"/>
        </w:rPr>
        <w:t>presenta</w:t>
      </w:r>
      <w:r>
        <w:rPr>
          <w:spacing w:val="-11"/>
          <w:sz w:val="23"/>
        </w:rPr>
        <w:t> </w:t>
      </w:r>
      <w:r>
        <w:rPr>
          <w:sz w:val="23"/>
        </w:rPr>
        <w:t>la</w:t>
      </w:r>
      <w:r>
        <w:rPr>
          <w:spacing w:val="-11"/>
          <w:sz w:val="23"/>
        </w:rPr>
        <w:t> </w:t>
      </w:r>
      <w:r>
        <w:rPr>
          <w:sz w:val="23"/>
        </w:rPr>
        <w:t>misma</w:t>
      </w:r>
      <w:r>
        <w:rPr>
          <w:spacing w:val="-11"/>
          <w:sz w:val="23"/>
        </w:rPr>
        <w:t> </w:t>
      </w:r>
      <w:r>
        <w:rPr>
          <w:sz w:val="23"/>
        </w:rPr>
        <w:t>tendencia</w:t>
      </w:r>
      <w:r>
        <w:rPr>
          <w:spacing w:val="-12"/>
          <w:sz w:val="23"/>
        </w:rPr>
        <w:t> </w:t>
      </w:r>
      <w:r>
        <w:rPr>
          <w:sz w:val="23"/>
        </w:rPr>
        <w:t>dado</w:t>
      </w:r>
      <w:r>
        <w:rPr>
          <w:spacing w:val="-11"/>
          <w:sz w:val="23"/>
        </w:rPr>
        <w:t> </w:t>
      </w:r>
      <w:r>
        <w:rPr>
          <w:sz w:val="23"/>
        </w:rPr>
        <w:t>que</w:t>
      </w:r>
      <w:r>
        <w:rPr>
          <w:spacing w:val="-11"/>
          <w:sz w:val="23"/>
        </w:rPr>
        <w:t> </w:t>
      </w:r>
      <w:r>
        <w:rPr>
          <w:sz w:val="23"/>
        </w:rPr>
        <w:t>en</w:t>
      </w:r>
      <w:r>
        <w:rPr>
          <w:spacing w:val="-11"/>
          <w:sz w:val="23"/>
        </w:rPr>
        <w:t> </w:t>
      </w:r>
      <w:r>
        <w:rPr>
          <w:sz w:val="23"/>
        </w:rPr>
        <w:t>la</w:t>
      </w:r>
      <w:r>
        <w:rPr>
          <w:spacing w:val="-11"/>
          <w:sz w:val="23"/>
        </w:rPr>
        <w:t> </w:t>
      </w:r>
      <w:r>
        <w:rPr>
          <w:sz w:val="23"/>
        </w:rPr>
        <w:t>planeación</w:t>
      </w:r>
      <w:r>
        <w:rPr>
          <w:spacing w:val="-11"/>
          <w:sz w:val="23"/>
        </w:rPr>
        <w:t> </w:t>
      </w:r>
      <w:r>
        <w:rPr>
          <w:sz w:val="23"/>
        </w:rPr>
        <w:t>de</w:t>
      </w:r>
      <w:r>
        <w:rPr>
          <w:spacing w:val="-11"/>
          <w:sz w:val="23"/>
        </w:rPr>
        <w:t> </w:t>
      </w:r>
      <w:r>
        <w:rPr>
          <w:sz w:val="23"/>
        </w:rPr>
        <w:t>los programas coordinados de fiscalización las decisiones de la autoridad fiscal federal se imponen sobre el acato de su similar</w:t>
      </w:r>
      <w:r>
        <w:rPr>
          <w:spacing w:val="-12"/>
          <w:sz w:val="23"/>
        </w:rPr>
        <w:t> </w:t>
      </w:r>
      <w:r>
        <w:rPr>
          <w:sz w:val="23"/>
        </w:rPr>
        <w:t>estatal.</w:t>
      </w:r>
    </w:p>
    <w:p>
      <w:pPr>
        <w:pStyle w:val="BodyText"/>
        <w:spacing w:before="3"/>
        <w:rPr>
          <w:sz w:val="22"/>
        </w:rPr>
      </w:pPr>
    </w:p>
    <w:p>
      <w:pPr>
        <w:pStyle w:val="ListParagraph"/>
        <w:numPr>
          <w:ilvl w:val="1"/>
          <w:numId w:val="18"/>
        </w:numPr>
        <w:tabs>
          <w:tab w:pos="678" w:val="left" w:leader="none"/>
        </w:tabs>
        <w:spacing w:line="256" w:lineRule="exact" w:before="0" w:after="0"/>
        <w:ind w:left="677" w:right="114" w:hanging="284"/>
        <w:jc w:val="both"/>
        <w:rPr>
          <w:sz w:val="23"/>
        </w:rPr>
      </w:pPr>
      <w:r>
        <w:rPr>
          <w:sz w:val="23"/>
        </w:rPr>
        <w:t>En </w:t>
      </w:r>
      <w:r>
        <w:rPr>
          <w:i/>
          <w:sz w:val="23"/>
        </w:rPr>
        <w:t>la coordinación intergubernamental para la planeación y el </w:t>
      </w:r>
      <w:r>
        <w:rPr>
          <w:i/>
          <w:sz w:val="23"/>
        </w:rPr>
        <w:t>desarrollo del Estado de Hidalgo </w:t>
      </w:r>
      <w:r>
        <w:rPr>
          <w:sz w:val="23"/>
        </w:rPr>
        <w:t>los componentes subsidiarios críticos son tres</w:t>
      </w:r>
      <w:r>
        <w:rPr>
          <w:i/>
          <w:sz w:val="23"/>
        </w:rPr>
        <w:t>. </w:t>
      </w:r>
      <w:r>
        <w:rPr>
          <w:sz w:val="23"/>
        </w:rPr>
        <w:t>Para la </w:t>
      </w:r>
      <w:r>
        <w:rPr>
          <w:i/>
          <w:sz w:val="23"/>
        </w:rPr>
        <w:t>capacidad intergubernamental de asociación </w:t>
      </w:r>
      <w:r>
        <w:rPr>
          <w:i/>
          <w:sz w:val="23"/>
        </w:rPr>
        <w:t>estratégica, </w:t>
      </w:r>
      <w:r>
        <w:rPr>
          <w:sz w:val="23"/>
        </w:rPr>
        <w:t>las diferencias de filiación política es un prejuicio determinante que obstaculiza la coordinación estratégica entre los gobiernos federal y estatal, de tal forma que las partes se distraen       en exceso de sus funciones dentro del desarrollo regional. Para la </w:t>
      </w:r>
      <w:r>
        <w:rPr>
          <w:i/>
          <w:sz w:val="23"/>
        </w:rPr>
        <w:t>restricción</w:t>
      </w:r>
      <w:r>
        <w:rPr>
          <w:i/>
          <w:spacing w:val="-13"/>
          <w:sz w:val="23"/>
        </w:rPr>
        <w:t> </w:t>
      </w:r>
      <w:r>
        <w:rPr>
          <w:i/>
          <w:sz w:val="23"/>
        </w:rPr>
        <w:t>competencial</w:t>
      </w:r>
      <w:r>
        <w:rPr>
          <w:i/>
          <w:spacing w:val="-13"/>
          <w:sz w:val="23"/>
        </w:rPr>
        <w:t> </w:t>
      </w:r>
      <w:r>
        <w:rPr>
          <w:i/>
          <w:sz w:val="23"/>
        </w:rPr>
        <w:t>de</w:t>
      </w:r>
      <w:r>
        <w:rPr>
          <w:i/>
          <w:spacing w:val="-12"/>
          <w:sz w:val="23"/>
        </w:rPr>
        <w:t> </w:t>
      </w:r>
      <w:r>
        <w:rPr>
          <w:i/>
          <w:sz w:val="23"/>
        </w:rPr>
        <w:t>las</w:t>
      </w:r>
      <w:r>
        <w:rPr>
          <w:i/>
          <w:spacing w:val="-12"/>
          <w:sz w:val="23"/>
        </w:rPr>
        <w:t> </w:t>
      </w:r>
      <w:r>
        <w:rPr>
          <w:i/>
          <w:sz w:val="23"/>
        </w:rPr>
        <w:t>formaciones</w:t>
      </w:r>
      <w:r>
        <w:rPr>
          <w:i/>
          <w:spacing w:val="-13"/>
          <w:sz w:val="23"/>
        </w:rPr>
        <w:t> </w:t>
      </w:r>
      <w:r>
        <w:rPr>
          <w:i/>
          <w:sz w:val="23"/>
        </w:rPr>
        <w:t>sociales</w:t>
      </w:r>
      <w:r>
        <w:rPr>
          <w:i/>
          <w:spacing w:val="-12"/>
          <w:sz w:val="23"/>
        </w:rPr>
        <w:t> </w:t>
      </w:r>
      <w:r>
        <w:rPr>
          <w:i/>
          <w:sz w:val="23"/>
        </w:rPr>
        <w:t>más</w:t>
      </w:r>
      <w:r>
        <w:rPr>
          <w:i/>
          <w:spacing w:val="-12"/>
          <w:sz w:val="23"/>
        </w:rPr>
        <w:t> </w:t>
      </w:r>
      <w:r>
        <w:rPr>
          <w:i/>
          <w:sz w:val="23"/>
        </w:rPr>
        <w:t>complejas,</w:t>
      </w:r>
      <w:r>
        <w:rPr>
          <w:i/>
          <w:spacing w:val="-13"/>
          <w:sz w:val="23"/>
        </w:rPr>
        <w:t> </w:t>
      </w:r>
      <w:r>
        <w:rPr>
          <w:sz w:val="23"/>
        </w:rPr>
        <w:t>se ha</w:t>
      </w:r>
      <w:r>
        <w:rPr>
          <w:spacing w:val="-7"/>
          <w:sz w:val="23"/>
        </w:rPr>
        <w:t> </w:t>
      </w:r>
      <w:r>
        <w:rPr>
          <w:sz w:val="23"/>
        </w:rPr>
        <w:t>generalizado</w:t>
      </w:r>
      <w:r>
        <w:rPr>
          <w:spacing w:val="-7"/>
          <w:sz w:val="23"/>
        </w:rPr>
        <w:t> </w:t>
      </w:r>
      <w:r>
        <w:rPr>
          <w:sz w:val="23"/>
        </w:rPr>
        <w:t>una</w:t>
      </w:r>
      <w:r>
        <w:rPr>
          <w:spacing w:val="-7"/>
          <w:sz w:val="23"/>
        </w:rPr>
        <w:t> </w:t>
      </w:r>
      <w:r>
        <w:rPr>
          <w:sz w:val="23"/>
        </w:rPr>
        <w:t>intervención</w:t>
      </w:r>
      <w:r>
        <w:rPr>
          <w:spacing w:val="-7"/>
          <w:sz w:val="23"/>
        </w:rPr>
        <w:t> </w:t>
      </w:r>
      <w:r>
        <w:rPr>
          <w:sz w:val="23"/>
        </w:rPr>
        <w:t>federal</w:t>
      </w:r>
      <w:r>
        <w:rPr>
          <w:spacing w:val="-7"/>
          <w:sz w:val="23"/>
        </w:rPr>
        <w:t> </w:t>
      </w:r>
      <w:r>
        <w:rPr>
          <w:sz w:val="23"/>
        </w:rPr>
        <w:t>titubeante</w:t>
      </w:r>
      <w:r>
        <w:rPr>
          <w:spacing w:val="-8"/>
          <w:sz w:val="23"/>
        </w:rPr>
        <w:t> </w:t>
      </w:r>
      <w:r>
        <w:rPr>
          <w:sz w:val="23"/>
        </w:rPr>
        <w:t>y</w:t>
      </w:r>
      <w:r>
        <w:rPr>
          <w:spacing w:val="-7"/>
          <w:sz w:val="23"/>
        </w:rPr>
        <w:t> </w:t>
      </w:r>
      <w:r>
        <w:rPr>
          <w:sz w:val="23"/>
        </w:rPr>
        <w:t>evasiva</w:t>
      </w:r>
      <w:r>
        <w:rPr>
          <w:spacing w:val="-8"/>
          <w:sz w:val="23"/>
        </w:rPr>
        <w:t> </w:t>
      </w:r>
      <w:r>
        <w:rPr>
          <w:sz w:val="23"/>
        </w:rPr>
        <w:t>cuando</w:t>
      </w:r>
      <w:r>
        <w:rPr>
          <w:spacing w:val="-8"/>
          <w:sz w:val="23"/>
        </w:rPr>
        <w:t> </w:t>
      </w:r>
      <w:r>
        <w:rPr>
          <w:sz w:val="23"/>
        </w:rPr>
        <w:t>el gobierno</w:t>
      </w:r>
      <w:r>
        <w:rPr>
          <w:spacing w:val="-23"/>
          <w:sz w:val="23"/>
        </w:rPr>
        <w:t> </w:t>
      </w:r>
      <w:r>
        <w:rPr>
          <w:sz w:val="23"/>
        </w:rPr>
        <w:t>del</w:t>
      </w:r>
      <w:r>
        <w:rPr>
          <w:spacing w:val="-23"/>
          <w:sz w:val="23"/>
        </w:rPr>
        <w:t> </w:t>
      </w:r>
      <w:r>
        <w:rPr>
          <w:sz w:val="23"/>
        </w:rPr>
        <w:t>Estado</w:t>
      </w:r>
      <w:r>
        <w:rPr>
          <w:spacing w:val="-23"/>
          <w:sz w:val="23"/>
        </w:rPr>
        <w:t> </w:t>
      </w:r>
      <w:r>
        <w:rPr>
          <w:sz w:val="23"/>
        </w:rPr>
        <w:t>de</w:t>
      </w:r>
      <w:r>
        <w:rPr>
          <w:spacing w:val="-23"/>
          <w:sz w:val="23"/>
        </w:rPr>
        <w:t> </w:t>
      </w:r>
      <w:r>
        <w:rPr>
          <w:sz w:val="23"/>
        </w:rPr>
        <w:t>Hidalgo</w:t>
      </w:r>
      <w:r>
        <w:rPr>
          <w:spacing w:val="-22"/>
          <w:sz w:val="23"/>
        </w:rPr>
        <w:t> </w:t>
      </w:r>
      <w:r>
        <w:rPr>
          <w:sz w:val="23"/>
        </w:rPr>
        <w:t>le</w:t>
      </w:r>
      <w:r>
        <w:rPr>
          <w:spacing w:val="-23"/>
          <w:sz w:val="23"/>
        </w:rPr>
        <w:t> </w:t>
      </w:r>
      <w:r>
        <w:rPr>
          <w:sz w:val="23"/>
        </w:rPr>
        <w:t>solicita</w:t>
      </w:r>
      <w:r>
        <w:rPr>
          <w:spacing w:val="-22"/>
          <w:sz w:val="23"/>
        </w:rPr>
        <w:t> </w:t>
      </w:r>
      <w:r>
        <w:rPr>
          <w:sz w:val="23"/>
        </w:rPr>
        <w:t>trámites.</w:t>
      </w:r>
      <w:r>
        <w:rPr>
          <w:spacing w:val="-24"/>
          <w:sz w:val="23"/>
        </w:rPr>
        <w:t> </w:t>
      </w:r>
      <w:r>
        <w:rPr>
          <w:sz w:val="23"/>
        </w:rPr>
        <w:t>Para</w:t>
      </w:r>
      <w:r>
        <w:rPr>
          <w:spacing w:val="-23"/>
          <w:sz w:val="23"/>
        </w:rPr>
        <w:t> </w:t>
      </w:r>
      <w:r>
        <w:rPr>
          <w:sz w:val="23"/>
        </w:rPr>
        <w:t>la</w:t>
      </w:r>
      <w:r>
        <w:rPr>
          <w:spacing w:val="-23"/>
          <w:sz w:val="23"/>
        </w:rPr>
        <w:t> </w:t>
      </w:r>
      <w:r>
        <w:rPr>
          <w:i/>
          <w:sz w:val="23"/>
        </w:rPr>
        <w:t>evaluación</w:t>
      </w:r>
      <w:r>
        <w:rPr>
          <w:i/>
          <w:spacing w:val="-24"/>
          <w:sz w:val="23"/>
        </w:rPr>
        <w:t> </w:t>
      </w:r>
      <w:r>
        <w:rPr>
          <w:i/>
          <w:sz w:val="23"/>
        </w:rPr>
        <w:t>de </w:t>
      </w:r>
      <w:r>
        <w:rPr>
          <w:i/>
          <w:sz w:val="23"/>
        </w:rPr>
        <w:t>las</w:t>
      </w:r>
      <w:r>
        <w:rPr>
          <w:i/>
          <w:spacing w:val="-8"/>
          <w:sz w:val="23"/>
        </w:rPr>
        <w:t> </w:t>
      </w:r>
      <w:r>
        <w:rPr>
          <w:i/>
          <w:sz w:val="23"/>
        </w:rPr>
        <w:t>sociedades</w:t>
      </w:r>
      <w:r>
        <w:rPr>
          <w:i/>
          <w:spacing w:val="-7"/>
          <w:sz w:val="23"/>
        </w:rPr>
        <w:t> </w:t>
      </w:r>
      <w:r>
        <w:rPr>
          <w:i/>
          <w:sz w:val="23"/>
        </w:rPr>
        <w:t>más</w:t>
      </w:r>
      <w:r>
        <w:rPr>
          <w:i/>
          <w:spacing w:val="-8"/>
          <w:sz w:val="23"/>
        </w:rPr>
        <w:t> </w:t>
      </w:r>
      <w:r>
        <w:rPr>
          <w:i/>
          <w:sz w:val="23"/>
        </w:rPr>
        <w:t>simples</w:t>
      </w:r>
      <w:r>
        <w:rPr>
          <w:i/>
          <w:spacing w:val="-7"/>
          <w:sz w:val="23"/>
        </w:rPr>
        <w:t> </w:t>
      </w:r>
      <w:r>
        <w:rPr>
          <w:i/>
          <w:spacing w:val="-3"/>
          <w:sz w:val="23"/>
        </w:rPr>
        <w:t>sobre</w:t>
      </w:r>
      <w:r>
        <w:rPr>
          <w:i/>
          <w:spacing w:val="-8"/>
          <w:sz w:val="23"/>
        </w:rPr>
        <w:t> </w:t>
      </w:r>
      <w:r>
        <w:rPr>
          <w:i/>
          <w:sz w:val="23"/>
        </w:rPr>
        <w:t>el</w:t>
      </w:r>
      <w:r>
        <w:rPr>
          <w:i/>
          <w:spacing w:val="-8"/>
          <w:sz w:val="23"/>
        </w:rPr>
        <w:t> </w:t>
      </w:r>
      <w:r>
        <w:rPr>
          <w:i/>
          <w:sz w:val="23"/>
        </w:rPr>
        <w:t>ejercicio</w:t>
      </w:r>
      <w:r>
        <w:rPr>
          <w:i/>
          <w:spacing w:val="-8"/>
          <w:sz w:val="23"/>
        </w:rPr>
        <w:t> </w:t>
      </w:r>
      <w:r>
        <w:rPr>
          <w:i/>
          <w:sz w:val="23"/>
        </w:rPr>
        <w:t>subsidiario</w:t>
      </w:r>
      <w:r>
        <w:rPr>
          <w:sz w:val="23"/>
        </w:rPr>
        <w:t>,</w:t>
      </w:r>
      <w:r>
        <w:rPr>
          <w:spacing w:val="-8"/>
          <w:sz w:val="23"/>
        </w:rPr>
        <w:t> </w:t>
      </w:r>
      <w:r>
        <w:rPr>
          <w:sz w:val="23"/>
        </w:rPr>
        <w:t>la</w:t>
      </w:r>
      <w:r>
        <w:rPr>
          <w:spacing w:val="-8"/>
          <w:sz w:val="23"/>
        </w:rPr>
        <w:t> </w:t>
      </w:r>
      <w:r>
        <w:rPr>
          <w:sz w:val="23"/>
        </w:rPr>
        <w:t>valoración de las capacidades subsidiarias no se practica</w:t>
      </w:r>
      <w:r>
        <w:rPr>
          <w:spacing w:val="-14"/>
          <w:sz w:val="23"/>
        </w:rPr>
        <w:t> </w:t>
      </w:r>
      <w:r>
        <w:rPr>
          <w:sz w:val="23"/>
        </w:rPr>
        <w:t>formalmente.</w:t>
      </w:r>
    </w:p>
    <w:p>
      <w:pPr>
        <w:pStyle w:val="BodyText"/>
        <w:spacing w:before="3"/>
        <w:rPr>
          <w:sz w:val="22"/>
        </w:rPr>
      </w:pPr>
    </w:p>
    <w:p>
      <w:pPr>
        <w:pStyle w:val="ListParagraph"/>
        <w:numPr>
          <w:ilvl w:val="1"/>
          <w:numId w:val="18"/>
        </w:numPr>
        <w:tabs>
          <w:tab w:pos="678" w:val="left" w:leader="none"/>
        </w:tabs>
        <w:spacing w:line="256" w:lineRule="exact" w:before="0" w:after="0"/>
        <w:ind w:left="677" w:right="114" w:hanging="283"/>
        <w:jc w:val="both"/>
        <w:rPr>
          <w:sz w:val="23"/>
        </w:rPr>
      </w:pPr>
      <w:r>
        <w:rPr>
          <w:sz w:val="23"/>
        </w:rPr>
        <w:t>En </w:t>
      </w:r>
      <w:r>
        <w:rPr>
          <w:i/>
          <w:sz w:val="23"/>
        </w:rPr>
        <w:t>el </w:t>
      </w:r>
      <w:r>
        <w:rPr>
          <w:i/>
          <w:spacing w:val="-3"/>
          <w:sz w:val="23"/>
        </w:rPr>
        <w:t>ejercicio  </w:t>
      </w:r>
      <w:r>
        <w:rPr>
          <w:i/>
          <w:sz w:val="23"/>
        </w:rPr>
        <w:t>descentralizado de la política compensatoria según     </w:t>
      </w:r>
      <w:r>
        <w:rPr>
          <w:i/>
          <w:sz w:val="23"/>
        </w:rPr>
        <w:t>el gobierno del Estado de Hidalgo </w:t>
      </w:r>
      <w:r>
        <w:rPr>
          <w:sz w:val="23"/>
        </w:rPr>
        <w:t>los componentes </w:t>
      </w:r>
      <w:r>
        <w:rPr>
          <w:spacing w:val="-2"/>
          <w:sz w:val="23"/>
        </w:rPr>
        <w:t>subsidiarios </w:t>
      </w:r>
      <w:r>
        <w:rPr>
          <w:sz w:val="23"/>
        </w:rPr>
        <w:t>críticos son dos</w:t>
      </w:r>
      <w:r>
        <w:rPr>
          <w:i/>
          <w:sz w:val="23"/>
        </w:rPr>
        <w:t>. </w:t>
      </w:r>
      <w:r>
        <w:rPr>
          <w:sz w:val="23"/>
        </w:rPr>
        <w:t>Para la </w:t>
      </w:r>
      <w:r>
        <w:rPr>
          <w:i/>
          <w:sz w:val="23"/>
        </w:rPr>
        <w:t>capacidad </w:t>
      </w:r>
      <w:r>
        <w:rPr>
          <w:i/>
          <w:spacing w:val="-3"/>
          <w:sz w:val="23"/>
        </w:rPr>
        <w:t>intergubernamental </w:t>
      </w:r>
      <w:r>
        <w:rPr>
          <w:i/>
          <w:sz w:val="23"/>
        </w:rPr>
        <w:t>de asociación </w:t>
      </w:r>
      <w:r>
        <w:rPr>
          <w:i/>
          <w:sz w:val="23"/>
        </w:rPr>
        <w:t>estratégica</w:t>
      </w:r>
      <w:r>
        <w:rPr>
          <w:sz w:val="23"/>
        </w:rPr>
        <w:t>, el Comité de Desarrollo Social del Estado de Hidalgo ha sido</w:t>
      </w:r>
      <w:r>
        <w:rPr>
          <w:spacing w:val="-18"/>
          <w:sz w:val="23"/>
        </w:rPr>
        <w:t> </w:t>
      </w:r>
      <w:r>
        <w:rPr>
          <w:sz w:val="23"/>
        </w:rPr>
        <w:t>un</w:t>
      </w:r>
      <w:r>
        <w:rPr>
          <w:spacing w:val="-18"/>
          <w:sz w:val="23"/>
        </w:rPr>
        <w:t> </w:t>
      </w:r>
      <w:r>
        <w:rPr>
          <w:sz w:val="23"/>
        </w:rPr>
        <w:t>intento</w:t>
      </w:r>
      <w:r>
        <w:rPr>
          <w:spacing w:val="-18"/>
          <w:sz w:val="23"/>
        </w:rPr>
        <w:t> </w:t>
      </w:r>
      <w:r>
        <w:rPr>
          <w:sz w:val="23"/>
        </w:rPr>
        <w:t>efímero</w:t>
      </w:r>
      <w:r>
        <w:rPr>
          <w:spacing w:val="-18"/>
          <w:sz w:val="23"/>
        </w:rPr>
        <w:t> </w:t>
      </w:r>
      <w:r>
        <w:rPr>
          <w:sz w:val="23"/>
        </w:rPr>
        <w:t>de</w:t>
      </w:r>
      <w:r>
        <w:rPr>
          <w:spacing w:val="-18"/>
          <w:sz w:val="23"/>
        </w:rPr>
        <w:t> </w:t>
      </w:r>
      <w:r>
        <w:rPr>
          <w:sz w:val="23"/>
        </w:rPr>
        <w:t>asociación</w:t>
      </w:r>
      <w:r>
        <w:rPr>
          <w:spacing w:val="-18"/>
          <w:sz w:val="23"/>
        </w:rPr>
        <w:t> </w:t>
      </w:r>
      <w:r>
        <w:rPr>
          <w:sz w:val="23"/>
        </w:rPr>
        <w:t>estratégica</w:t>
      </w:r>
      <w:r>
        <w:rPr>
          <w:spacing w:val="-18"/>
          <w:sz w:val="23"/>
        </w:rPr>
        <w:t> </w:t>
      </w:r>
      <w:r>
        <w:rPr>
          <w:sz w:val="23"/>
        </w:rPr>
        <w:t>general</w:t>
      </w:r>
      <w:r>
        <w:rPr>
          <w:spacing w:val="-18"/>
          <w:sz w:val="23"/>
        </w:rPr>
        <w:t> </w:t>
      </w:r>
      <w:r>
        <w:rPr>
          <w:sz w:val="23"/>
        </w:rPr>
        <w:t>para</w:t>
      </w:r>
      <w:r>
        <w:rPr>
          <w:spacing w:val="-18"/>
          <w:sz w:val="23"/>
        </w:rPr>
        <w:t> </w:t>
      </w:r>
      <w:r>
        <w:rPr>
          <w:sz w:val="23"/>
        </w:rPr>
        <w:t>depurar</w:t>
      </w:r>
      <w:r>
        <w:rPr>
          <w:spacing w:val="-18"/>
          <w:sz w:val="23"/>
        </w:rPr>
        <w:t> </w:t>
      </w:r>
      <w:r>
        <w:rPr>
          <w:sz w:val="23"/>
        </w:rPr>
        <w:t>la política</w:t>
      </w:r>
      <w:r>
        <w:rPr>
          <w:spacing w:val="-18"/>
          <w:sz w:val="23"/>
        </w:rPr>
        <w:t> </w:t>
      </w:r>
      <w:r>
        <w:rPr>
          <w:sz w:val="23"/>
        </w:rPr>
        <w:t>social</w:t>
      </w:r>
      <w:r>
        <w:rPr>
          <w:spacing w:val="-18"/>
          <w:sz w:val="23"/>
        </w:rPr>
        <w:t> </w:t>
      </w:r>
      <w:r>
        <w:rPr>
          <w:sz w:val="23"/>
        </w:rPr>
        <w:t>estatal.</w:t>
      </w:r>
      <w:r>
        <w:rPr>
          <w:spacing w:val="-19"/>
          <w:sz w:val="23"/>
        </w:rPr>
        <w:t> </w:t>
      </w:r>
      <w:r>
        <w:rPr>
          <w:sz w:val="23"/>
        </w:rPr>
        <w:t>Mientras</w:t>
      </w:r>
      <w:r>
        <w:rPr>
          <w:spacing w:val="-18"/>
          <w:sz w:val="23"/>
        </w:rPr>
        <w:t> </w:t>
      </w:r>
      <w:r>
        <w:rPr>
          <w:sz w:val="23"/>
        </w:rPr>
        <w:t>que</w:t>
      </w:r>
      <w:r>
        <w:rPr>
          <w:spacing w:val="-18"/>
          <w:sz w:val="23"/>
        </w:rPr>
        <w:t> </w:t>
      </w:r>
      <w:r>
        <w:rPr>
          <w:sz w:val="23"/>
        </w:rPr>
        <w:t>para</w:t>
      </w:r>
      <w:r>
        <w:rPr>
          <w:spacing w:val="-18"/>
          <w:sz w:val="23"/>
        </w:rPr>
        <w:t> </w:t>
      </w:r>
      <w:r>
        <w:rPr>
          <w:sz w:val="23"/>
        </w:rPr>
        <w:t>la</w:t>
      </w:r>
      <w:r>
        <w:rPr>
          <w:spacing w:val="-19"/>
          <w:sz w:val="23"/>
        </w:rPr>
        <w:t> </w:t>
      </w:r>
      <w:r>
        <w:rPr>
          <w:i/>
          <w:sz w:val="23"/>
        </w:rPr>
        <w:t>evaluación</w:t>
      </w:r>
      <w:r>
        <w:rPr>
          <w:i/>
          <w:spacing w:val="-19"/>
          <w:sz w:val="23"/>
        </w:rPr>
        <w:t> </w:t>
      </w:r>
      <w:r>
        <w:rPr>
          <w:i/>
          <w:sz w:val="23"/>
        </w:rPr>
        <w:t>de</w:t>
      </w:r>
      <w:r>
        <w:rPr>
          <w:i/>
          <w:spacing w:val="-18"/>
          <w:sz w:val="23"/>
        </w:rPr>
        <w:t> </w:t>
      </w:r>
      <w:r>
        <w:rPr>
          <w:i/>
          <w:sz w:val="23"/>
        </w:rPr>
        <w:t>las</w:t>
      </w:r>
      <w:r>
        <w:rPr>
          <w:i/>
          <w:spacing w:val="-19"/>
          <w:sz w:val="23"/>
        </w:rPr>
        <w:t> </w:t>
      </w:r>
      <w:r>
        <w:rPr>
          <w:i/>
          <w:sz w:val="23"/>
        </w:rPr>
        <w:t>sociedades </w:t>
      </w:r>
      <w:r>
        <w:rPr>
          <w:i/>
          <w:sz w:val="23"/>
        </w:rPr>
        <w:t>más</w:t>
      </w:r>
      <w:r>
        <w:rPr>
          <w:i/>
          <w:spacing w:val="-15"/>
          <w:sz w:val="23"/>
        </w:rPr>
        <w:t> </w:t>
      </w:r>
      <w:r>
        <w:rPr>
          <w:i/>
          <w:sz w:val="23"/>
        </w:rPr>
        <w:t>simples</w:t>
      </w:r>
      <w:r>
        <w:rPr>
          <w:i/>
          <w:spacing w:val="-14"/>
          <w:sz w:val="23"/>
        </w:rPr>
        <w:t> </w:t>
      </w:r>
      <w:r>
        <w:rPr>
          <w:i/>
          <w:sz w:val="23"/>
        </w:rPr>
        <w:t>en</w:t>
      </w:r>
      <w:r>
        <w:rPr>
          <w:i/>
          <w:spacing w:val="-15"/>
          <w:sz w:val="23"/>
        </w:rPr>
        <w:t> </w:t>
      </w:r>
      <w:r>
        <w:rPr>
          <w:i/>
          <w:spacing w:val="-3"/>
          <w:sz w:val="23"/>
        </w:rPr>
        <w:t>relación</w:t>
      </w:r>
      <w:r>
        <w:rPr>
          <w:i/>
          <w:spacing w:val="-15"/>
          <w:sz w:val="23"/>
        </w:rPr>
        <w:t> </w:t>
      </w:r>
      <w:r>
        <w:rPr>
          <w:i/>
          <w:sz w:val="23"/>
        </w:rPr>
        <w:t>al</w:t>
      </w:r>
      <w:r>
        <w:rPr>
          <w:i/>
          <w:spacing w:val="-15"/>
          <w:sz w:val="23"/>
        </w:rPr>
        <w:t> </w:t>
      </w:r>
      <w:r>
        <w:rPr>
          <w:i/>
          <w:spacing w:val="-3"/>
          <w:sz w:val="23"/>
        </w:rPr>
        <w:t>ejercicio</w:t>
      </w:r>
      <w:r>
        <w:rPr>
          <w:i/>
          <w:spacing w:val="-15"/>
          <w:sz w:val="23"/>
        </w:rPr>
        <w:t> </w:t>
      </w:r>
      <w:r>
        <w:rPr>
          <w:i/>
          <w:sz w:val="23"/>
        </w:rPr>
        <w:t>subsidiario,</w:t>
      </w:r>
      <w:r>
        <w:rPr>
          <w:i/>
          <w:spacing w:val="-14"/>
          <w:sz w:val="23"/>
        </w:rPr>
        <w:t> </w:t>
      </w:r>
      <w:r>
        <w:rPr>
          <w:sz w:val="23"/>
        </w:rPr>
        <w:t>no</w:t>
      </w:r>
      <w:r>
        <w:rPr>
          <w:spacing w:val="-15"/>
          <w:sz w:val="23"/>
        </w:rPr>
        <w:t> </w:t>
      </w:r>
      <w:r>
        <w:rPr>
          <w:sz w:val="23"/>
        </w:rPr>
        <w:t>existen</w:t>
      </w:r>
      <w:r>
        <w:rPr>
          <w:spacing w:val="-15"/>
          <w:sz w:val="23"/>
        </w:rPr>
        <w:t> </w:t>
      </w:r>
      <w:r>
        <w:rPr>
          <w:spacing w:val="-2"/>
          <w:sz w:val="23"/>
        </w:rPr>
        <w:t>valoraciones </w:t>
      </w:r>
      <w:r>
        <w:rPr>
          <w:sz w:val="23"/>
        </w:rPr>
        <w:t>oficiales</w:t>
      </w:r>
      <w:r>
        <w:rPr>
          <w:spacing w:val="-19"/>
          <w:sz w:val="23"/>
        </w:rPr>
        <w:t> </w:t>
      </w:r>
      <w:r>
        <w:rPr>
          <w:sz w:val="23"/>
        </w:rPr>
        <w:t>sobre</w:t>
      </w:r>
      <w:r>
        <w:rPr>
          <w:spacing w:val="-19"/>
          <w:sz w:val="23"/>
        </w:rPr>
        <w:t> </w:t>
      </w:r>
      <w:r>
        <w:rPr>
          <w:sz w:val="23"/>
        </w:rPr>
        <w:t>las</w:t>
      </w:r>
      <w:r>
        <w:rPr>
          <w:spacing w:val="-19"/>
          <w:sz w:val="23"/>
        </w:rPr>
        <w:t> </w:t>
      </w:r>
      <w:r>
        <w:rPr>
          <w:sz w:val="23"/>
        </w:rPr>
        <w:t>capacidades</w:t>
      </w:r>
      <w:r>
        <w:rPr>
          <w:spacing w:val="-19"/>
          <w:sz w:val="23"/>
        </w:rPr>
        <w:t> </w:t>
      </w:r>
      <w:r>
        <w:rPr>
          <w:sz w:val="23"/>
        </w:rPr>
        <w:t>locales</w:t>
      </w:r>
      <w:r>
        <w:rPr>
          <w:spacing w:val="-19"/>
          <w:sz w:val="23"/>
        </w:rPr>
        <w:t> </w:t>
      </w:r>
      <w:r>
        <w:rPr>
          <w:sz w:val="23"/>
        </w:rPr>
        <w:t>en</w:t>
      </w:r>
      <w:r>
        <w:rPr>
          <w:spacing w:val="-19"/>
          <w:sz w:val="23"/>
        </w:rPr>
        <w:t> </w:t>
      </w:r>
      <w:r>
        <w:rPr>
          <w:sz w:val="23"/>
        </w:rPr>
        <w:t>materia</w:t>
      </w:r>
      <w:r>
        <w:rPr>
          <w:spacing w:val="-19"/>
          <w:sz w:val="23"/>
        </w:rPr>
        <w:t> </w:t>
      </w:r>
      <w:r>
        <w:rPr>
          <w:sz w:val="23"/>
        </w:rPr>
        <w:t>compensatoria.</w:t>
      </w:r>
    </w:p>
    <w:p>
      <w:pPr>
        <w:pStyle w:val="BodyText"/>
        <w:spacing w:before="3"/>
        <w:rPr>
          <w:sz w:val="22"/>
        </w:rPr>
      </w:pPr>
    </w:p>
    <w:p>
      <w:pPr>
        <w:pStyle w:val="BodyText"/>
        <w:spacing w:line="256" w:lineRule="exact"/>
        <w:ind w:left="110" w:right="31"/>
      </w:pPr>
      <w:r>
        <w:rPr/>
        <w:t>Pese a lo anterior, se hace necesario destacar aquellos aspectos que presentan, por mínima que sea, cierta proyección subsidiaria:</w:t>
      </w:r>
    </w:p>
    <w:p>
      <w:pPr>
        <w:pStyle w:val="BodyText"/>
        <w:spacing w:before="3"/>
        <w:rPr>
          <w:sz w:val="22"/>
        </w:rPr>
      </w:pPr>
    </w:p>
    <w:p>
      <w:pPr>
        <w:pStyle w:val="ListParagraph"/>
        <w:numPr>
          <w:ilvl w:val="2"/>
          <w:numId w:val="18"/>
        </w:numPr>
        <w:tabs>
          <w:tab w:pos="678" w:val="left" w:leader="none"/>
        </w:tabs>
        <w:spacing w:line="256" w:lineRule="exact" w:before="0" w:after="0"/>
        <w:ind w:left="677" w:right="114" w:hanging="284"/>
        <w:jc w:val="both"/>
        <w:rPr>
          <w:sz w:val="23"/>
        </w:rPr>
      </w:pPr>
      <w:r>
        <w:rPr>
          <w:sz w:val="23"/>
        </w:rPr>
        <w:t>En</w:t>
      </w:r>
      <w:r>
        <w:rPr>
          <w:spacing w:val="-14"/>
          <w:sz w:val="23"/>
        </w:rPr>
        <w:t> </w:t>
      </w:r>
      <w:r>
        <w:rPr>
          <w:sz w:val="23"/>
        </w:rPr>
        <w:t>las</w:t>
      </w:r>
      <w:r>
        <w:rPr>
          <w:spacing w:val="-14"/>
          <w:sz w:val="23"/>
        </w:rPr>
        <w:t> </w:t>
      </w:r>
      <w:r>
        <w:rPr>
          <w:sz w:val="23"/>
        </w:rPr>
        <w:t>relaciones</w:t>
      </w:r>
      <w:r>
        <w:rPr>
          <w:spacing w:val="-14"/>
          <w:sz w:val="23"/>
        </w:rPr>
        <w:t> </w:t>
      </w:r>
      <w:r>
        <w:rPr>
          <w:sz w:val="23"/>
        </w:rPr>
        <w:t>fiscales</w:t>
      </w:r>
      <w:r>
        <w:rPr>
          <w:spacing w:val="-14"/>
          <w:sz w:val="23"/>
        </w:rPr>
        <w:t> </w:t>
      </w:r>
      <w:r>
        <w:rPr>
          <w:sz w:val="23"/>
        </w:rPr>
        <w:t>federación</w:t>
      </w:r>
      <w:r>
        <w:rPr>
          <w:spacing w:val="-14"/>
          <w:sz w:val="23"/>
        </w:rPr>
        <w:t> </w:t>
      </w:r>
      <w:r>
        <w:rPr>
          <w:sz w:val="23"/>
        </w:rPr>
        <w:t>estado,</w:t>
      </w:r>
      <w:r>
        <w:rPr>
          <w:spacing w:val="-14"/>
          <w:sz w:val="23"/>
        </w:rPr>
        <w:t> </w:t>
      </w:r>
      <w:r>
        <w:rPr>
          <w:sz w:val="23"/>
        </w:rPr>
        <w:t>las</w:t>
      </w:r>
      <w:r>
        <w:rPr>
          <w:spacing w:val="-14"/>
          <w:sz w:val="23"/>
        </w:rPr>
        <w:t> </w:t>
      </w:r>
      <w:r>
        <w:rPr>
          <w:i/>
          <w:sz w:val="23"/>
        </w:rPr>
        <w:t>asociaciones</w:t>
      </w:r>
      <w:r>
        <w:rPr>
          <w:i/>
          <w:spacing w:val="-14"/>
          <w:sz w:val="23"/>
        </w:rPr>
        <w:t> </w:t>
      </w:r>
      <w:r>
        <w:rPr>
          <w:i/>
          <w:sz w:val="23"/>
        </w:rPr>
        <w:t>regionales </w:t>
      </w:r>
      <w:r>
        <w:rPr>
          <w:sz w:val="23"/>
        </w:rPr>
        <w:t>que celebran reuniones deliberativas para estandarizar criterios de la coordinación fiscal jerárquica, en virtud de que tienden a potenciar la </w:t>
      </w:r>
      <w:r>
        <w:rPr>
          <w:i/>
          <w:sz w:val="23"/>
        </w:rPr>
        <w:t>capacidad intergubernamental de asociación</w:t>
      </w:r>
      <w:r>
        <w:rPr>
          <w:i/>
          <w:spacing w:val="-11"/>
          <w:sz w:val="23"/>
        </w:rPr>
        <w:t> </w:t>
      </w:r>
      <w:r>
        <w:rPr>
          <w:i/>
          <w:sz w:val="23"/>
        </w:rPr>
        <w:t>estratégica</w:t>
      </w:r>
      <w:r>
        <w:rPr>
          <w:sz w:val="23"/>
        </w:rPr>
        <w:t>.</w:t>
      </w:r>
    </w:p>
    <w:p>
      <w:pPr>
        <w:pStyle w:val="BodyText"/>
        <w:spacing w:before="3"/>
        <w:rPr>
          <w:sz w:val="22"/>
        </w:rPr>
      </w:pPr>
    </w:p>
    <w:p>
      <w:pPr>
        <w:pStyle w:val="ListParagraph"/>
        <w:numPr>
          <w:ilvl w:val="2"/>
          <w:numId w:val="18"/>
        </w:numPr>
        <w:tabs>
          <w:tab w:pos="678" w:val="left" w:leader="none"/>
        </w:tabs>
        <w:spacing w:line="256" w:lineRule="exact" w:before="0" w:after="0"/>
        <w:ind w:left="677" w:right="115" w:hanging="284"/>
        <w:jc w:val="both"/>
        <w:rPr>
          <w:sz w:val="23"/>
        </w:rPr>
      </w:pPr>
      <w:r>
        <w:rPr>
          <w:sz w:val="23"/>
        </w:rPr>
        <w:t>En la política social coordinada, la visión de la dependencia estatal  que</w:t>
      </w:r>
      <w:r>
        <w:rPr>
          <w:spacing w:val="18"/>
          <w:sz w:val="23"/>
        </w:rPr>
        <w:t> </w:t>
      </w:r>
      <w:r>
        <w:rPr>
          <w:sz w:val="23"/>
        </w:rPr>
        <w:t>convoca</w:t>
      </w:r>
      <w:r>
        <w:rPr>
          <w:spacing w:val="18"/>
          <w:sz w:val="23"/>
        </w:rPr>
        <w:t> </w:t>
      </w:r>
      <w:r>
        <w:rPr>
          <w:sz w:val="23"/>
        </w:rPr>
        <w:t>a</w:t>
      </w:r>
      <w:r>
        <w:rPr>
          <w:spacing w:val="18"/>
          <w:sz w:val="23"/>
        </w:rPr>
        <w:t> </w:t>
      </w:r>
      <w:r>
        <w:rPr>
          <w:sz w:val="23"/>
        </w:rPr>
        <w:t>otras</w:t>
      </w:r>
      <w:r>
        <w:rPr>
          <w:spacing w:val="18"/>
          <w:sz w:val="23"/>
        </w:rPr>
        <w:t> </w:t>
      </w:r>
      <w:r>
        <w:rPr>
          <w:sz w:val="23"/>
        </w:rPr>
        <w:t>para</w:t>
      </w:r>
      <w:r>
        <w:rPr>
          <w:spacing w:val="18"/>
          <w:sz w:val="23"/>
        </w:rPr>
        <w:t> </w:t>
      </w:r>
      <w:r>
        <w:rPr>
          <w:sz w:val="23"/>
        </w:rPr>
        <w:t>que</w:t>
      </w:r>
      <w:r>
        <w:rPr>
          <w:spacing w:val="18"/>
          <w:sz w:val="23"/>
        </w:rPr>
        <w:t> </w:t>
      </w:r>
      <w:r>
        <w:rPr>
          <w:sz w:val="23"/>
        </w:rPr>
        <w:t>participen</w:t>
      </w:r>
      <w:r>
        <w:rPr>
          <w:spacing w:val="18"/>
          <w:sz w:val="23"/>
        </w:rPr>
        <w:t> </w:t>
      </w:r>
      <w:r>
        <w:rPr>
          <w:sz w:val="23"/>
        </w:rPr>
        <w:t>en</w:t>
      </w:r>
      <w:r>
        <w:rPr>
          <w:spacing w:val="18"/>
          <w:sz w:val="23"/>
        </w:rPr>
        <w:t> </w:t>
      </w:r>
      <w:r>
        <w:rPr>
          <w:sz w:val="23"/>
        </w:rPr>
        <w:t>la</w:t>
      </w:r>
      <w:r>
        <w:rPr>
          <w:spacing w:val="18"/>
          <w:sz w:val="23"/>
        </w:rPr>
        <w:t> </w:t>
      </w:r>
      <w:r>
        <w:rPr>
          <w:sz w:val="23"/>
        </w:rPr>
        <w:t>implementación</w:t>
      </w:r>
      <w:r>
        <w:rPr>
          <w:spacing w:val="18"/>
          <w:sz w:val="23"/>
        </w:rPr>
        <w:t> </w:t>
      </w:r>
      <w:r>
        <w:rPr>
          <w:sz w:val="23"/>
        </w:rPr>
        <w:t>de</w:t>
      </w:r>
      <w:r>
        <w:rPr>
          <w:spacing w:val="18"/>
          <w:sz w:val="23"/>
        </w:rPr>
        <w:t> </w:t>
      </w:r>
      <w:r>
        <w:rPr>
          <w:sz w:val="23"/>
        </w:rPr>
        <w:t>sus</w:t>
      </w:r>
    </w:p>
    <w:p>
      <w:pPr>
        <w:spacing w:after="0" w:line="256" w:lineRule="exact"/>
        <w:jc w:val="both"/>
        <w:rPr>
          <w:sz w:val="23"/>
        </w:rPr>
        <w:sectPr>
          <w:headerReference w:type="default" r:id="rId276"/>
          <w:headerReference w:type="even" r:id="rId277"/>
          <w:pgSz w:w="9360" w:h="13040"/>
          <w:pgMar w:header="527" w:footer="515" w:top="720" w:bottom="700" w:left="740" w:right="1300"/>
        </w:sectPr>
      </w:pPr>
    </w:p>
    <w:p>
      <w:pPr>
        <w:pStyle w:val="BodyText"/>
        <w:spacing w:before="11"/>
        <w:rPr>
          <w:sz w:val="29"/>
        </w:rPr>
      </w:pPr>
    </w:p>
    <w:p>
      <w:pPr>
        <w:pStyle w:val="BodyText"/>
        <w:spacing w:line="260" w:lineRule="exact" w:before="77"/>
        <w:ind w:left="684" w:right="107"/>
        <w:jc w:val="both"/>
        <w:rPr>
          <w:i/>
        </w:rPr>
      </w:pPr>
      <w:r>
        <w:rPr/>
        <w:t>estrategias y programas, así como la de aquella que aplica un modelo de integración funcional público-privado. Destacan en esos rubros el Instituto Hidalguense de las Mujeres y la Junta General de Asistencia Privada del Estado de Hidalgo respectivamente, pues se considera que sus esquemas de coordinación podrían generalizarse para proyectar en Hidalgo</w:t>
      </w:r>
      <w:r>
        <w:rPr>
          <w:spacing w:val="-16"/>
        </w:rPr>
        <w:t> </w:t>
      </w:r>
      <w:r>
        <w:rPr/>
        <w:t>una</w:t>
      </w:r>
      <w:r>
        <w:rPr>
          <w:spacing w:val="-16"/>
        </w:rPr>
        <w:t> </w:t>
      </w:r>
      <w:r>
        <w:rPr/>
        <w:t>política</w:t>
      </w:r>
      <w:r>
        <w:rPr>
          <w:spacing w:val="-16"/>
        </w:rPr>
        <w:t> </w:t>
      </w:r>
      <w:r>
        <w:rPr/>
        <w:t>social</w:t>
      </w:r>
      <w:r>
        <w:rPr>
          <w:spacing w:val="-16"/>
        </w:rPr>
        <w:t> </w:t>
      </w:r>
      <w:r>
        <w:rPr/>
        <w:t>integral</w:t>
      </w:r>
      <w:r>
        <w:rPr>
          <w:spacing w:val="-16"/>
        </w:rPr>
        <w:t> </w:t>
      </w:r>
      <w:r>
        <w:rPr/>
        <w:t>que</w:t>
      </w:r>
      <w:r>
        <w:rPr>
          <w:spacing w:val="-16"/>
        </w:rPr>
        <w:t> </w:t>
      </w:r>
      <w:r>
        <w:rPr/>
        <w:t>llegue</w:t>
      </w:r>
      <w:r>
        <w:rPr>
          <w:spacing w:val="-16"/>
        </w:rPr>
        <w:t> </w:t>
      </w:r>
      <w:r>
        <w:rPr/>
        <w:t>a</w:t>
      </w:r>
      <w:r>
        <w:rPr>
          <w:spacing w:val="-16"/>
        </w:rPr>
        <w:t> </w:t>
      </w:r>
      <w:r>
        <w:rPr/>
        <w:t>consolidar</w:t>
      </w:r>
      <w:r>
        <w:rPr>
          <w:spacing w:val="-16"/>
        </w:rPr>
        <w:t> </w:t>
      </w:r>
      <w:r>
        <w:rPr/>
        <w:t>la</w:t>
      </w:r>
      <w:r>
        <w:rPr>
          <w:spacing w:val="-16"/>
        </w:rPr>
        <w:t> </w:t>
      </w:r>
      <w:r>
        <w:rPr>
          <w:i/>
        </w:rPr>
        <w:t>capacidad </w:t>
      </w:r>
      <w:r>
        <w:rPr>
          <w:i/>
        </w:rPr>
        <w:t>intergubernamental de asociación</w:t>
      </w:r>
      <w:r>
        <w:rPr>
          <w:i/>
          <w:spacing w:val="-9"/>
        </w:rPr>
        <w:t> </w:t>
      </w:r>
      <w:r>
        <w:rPr>
          <w:i/>
        </w:rPr>
        <w:t>estratégica.</w:t>
      </w:r>
    </w:p>
    <w:p>
      <w:pPr>
        <w:pStyle w:val="BodyText"/>
        <w:spacing w:before="7"/>
        <w:rPr>
          <w:i/>
          <w:sz w:val="22"/>
        </w:rPr>
      </w:pPr>
    </w:p>
    <w:p>
      <w:pPr>
        <w:pStyle w:val="ListParagraph"/>
        <w:numPr>
          <w:ilvl w:val="2"/>
          <w:numId w:val="18"/>
        </w:numPr>
        <w:tabs>
          <w:tab w:pos="685" w:val="left" w:leader="none"/>
        </w:tabs>
        <w:spacing w:line="260" w:lineRule="exact" w:before="0" w:after="0"/>
        <w:ind w:left="684" w:right="108" w:hanging="284"/>
        <w:jc w:val="both"/>
        <w:rPr>
          <w:sz w:val="23"/>
        </w:rPr>
      </w:pPr>
      <w:r>
        <w:rPr>
          <w:sz w:val="23"/>
        </w:rPr>
        <w:t>En las relaciones fiscales federación-estado, los mecanismos de </w:t>
      </w:r>
      <w:r>
        <w:rPr>
          <w:i/>
          <w:sz w:val="23"/>
        </w:rPr>
        <w:t>evaluación </w:t>
      </w:r>
      <w:r>
        <w:rPr>
          <w:sz w:val="23"/>
        </w:rPr>
        <w:t>tanto concurrente como interna que aplican las direcciones de auditoría y de recaudación respectivamente, ambas de la Secretaría de</w:t>
      </w:r>
      <w:r>
        <w:rPr>
          <w:spacing w:val="-12"/>
          <w:sz w:val="23"/>
        </w:rPr>
        <w:t> </w:t>
      </w:r>
      <w:r>
        <w:rPr>
          <w:sz w:val="23"/>
        </w:rPr>
        <w:t>Finanzas</w:t>
      </w:r>
      <w:r>
        <w:rPr>
          <w:spacing w:val="-11"/>
          <w:sz w:val="23"/>
        </w:rPr>
        <w:t> </w:t>
      </w:r>
      <w:r>
        <w:rPr>
          <w:sz w:val="23"/>
        </w:rPr>
        <w:t>del</w:t>
      </w:r>
      <w:r>
        <w:rPr>
          <w:spacing w:val="-12"/>
          <w:sz w:val="23"/>
        </w:rPr>
        <w:t> </w:t>
      </w:r>
      <w:r>
        <w:rPr>
          <w:sz w:val="23"/>
        </w:rPr>
        <w:t>Estado.</w:t>
      </w:r>
      <w:r>
        <w:rPr>
          <w:spacing w:val="-17"/>
          <w:sz w:val="23"/>
        </w:rPr>
        <w:t> </w:t>
      </w:r>
      <w:r>
        <w:rPr>
          <w:spacing w:val="-4"/>
          <w:sz w:val="23"/>
        </w:rPr>
        <w:t>Tales</w:t>
      </w:r>
      <w:r>
        <w:rPr>
          <w:spacing w:val="-12"/>
          <w:sz w:val="23"/>
        </w:rPr>
        <w:t> </w:t>
      </w:r>
      <w:r>
        <w:rPr>
          <w:sz w:val="23"/>
        </w:rPr>
        <w:t>mecanismos</w:t>
      </w:r>
      <w:r>
        <w:rPr>
          <w:spacing w:val="-13"/>
          <w:sz w:val="23"/>
        </w:rPr>
        <w:t> </w:t>
      </w:r>
      <w:r>
        <w:rPr>
          <w:sz w:val="23"/>
        </w:rPr>
        <w:t>son</w:t>
      </w:r>
      <w:r>
        <w:rPr>
          <w:spacing w:val="-12"/>
          <w:sz w:val="23"/>
        </w:rPr>
        <w:t> </w:t>
      </w:r>
      <w:r>
        <w:rPr>
          <w:sz w:val="23"/>
        </w:rPr>
        <w:t>antecedentes</w:t>
      </w:r>
      <w:r>
        <w:rPr>
          <w:spacing w:val="-12"/>
          <w:sz w:val="23"/>
        </w:rPr>
        <w:t> </w:t>
      </w:r>
      <w:r>
        <w:rPr>
          <w:sz w:val="23"/>
        </w:rPr>
        <w:t>potenciales para</w:t>
      </w:r>
      <w:r>
        <w:rPr>
          <w:spacing w:val="-6"/>
          <w:sz w:val="23"/>
        </w:rPr>
        <w:t> </w:t>
      </w:r>
      <w:r>
        <w:rPr>
          <w:sz w:val="23"/>
        </w:rPr>
        <w:t>depurar</w:t>
      </w:r>
      <w:r>
        <w:rPr>
          <w:spacing w:val="-6"/>
          <w:sz w:val="23"/>
        </w:rPr>
        <w:t> </w:t>
      </w:r>
      <w:r>
        <w:rPr>
          <w:sz w:val="23"/>
        </w:rPr>
        <w:t>la</w:t>
      </w:r>
      <w:r>
        <w:rPr>
          <w:spacing w:val="-6"/>
          <w:sz w:val="23"/>
        </w:rPr>
        <w:t> </w:t>
      </w:r>
      <w:r>
        <w:rPr>
          <w:i/>
          <w:sz w:val="23"/>
        </w:rPr>
        <w:t>evaluación</w:t>
      </w:r>
      <w:r>
        <w:rPr>
          <w:i/>
          <w:spacing w:val="-7"/>
          <w:sz w:val="23"/>
        </w:rPr>
        <w:t> </w:t>
      </w:r>
      <w:r>
        <w:rPr>
          <w:i/>
          <w:sz w:val="23"/>
        </w:rPr>
        <w:t>de</w:t>
      </w:r>
      <w:r>
        <w:rPr>
          <w:i/>
          <w:spacing w:val="-6"/>
          <w:sz w:val="23"/>
        </w:rPr>
        <w:t> </w:t>
      </w:r>
      <w:r>
        <w:rPr>
          <w:i/>
          <w:sz w:val="23"/>
        </w:rPr>
        <w:t>las</w:t>
      </w:r>
      <w:r>
        <w:rPr>
          <w:i/>
          <w:spacing w:val="-7"/>
          <w:sz w:val="23"/>
        </w:rPr>
        <w:t> </w:t>
      </w:r>
      <w:r>
        <w:rPr>
          <w:i/>
          <w:sz w:val="23"/>
        </w:rPr>
        <w:t>sociedades</w:t>
      </w:r>
      <w:r>
        <w:rPr>
          <w:i/>
          <w:spacing w:val="-6"/>
          <w:sz w:val="23"/>
        </w:rPr>
        <w:t> </w:t>
      </w:r>
      <w:r>
        <w:rPr>
          <w:i/>
          <w:sz w:val="23"/>
        </w:rPr>
        <w:t>más</w:t>
      </w:r>
      <w:r>
        <w:rPr>
          <w:i/>
          <w:spacing w:val="-6"/>
          <w:sz w:val="23"/>
        </w:rPr>
        <w:t> </w:t>
      </w:r>
      <w:r>
        <w:rPr>
          <w:i/>
          <w:sz w:val="23"/>
        </w:rPr>
        <w:t>simples</w:t>
      </w:r>
      <w:r>
        <w:rPr>
          <w:i/>
          <w:spacing w:val="-6"/>
          <w:sz w:val="23"/>
        </w:rPr>
        <w:t> </w:t>
      </w:r>
      <w:r>
        <w:rPr>
          <w:i/>
          <w:sz w:val="23"/>
        </w:rPr>
        <w:t>a</w:t>
      </w:r>
      <w:r>
        <w:rPr>
          <w:i/>
          <w:spacing w:val="-6"/>
          <w:sz w:val="23"/>
        </w:rPr>
        <w:t> </w:t>
      </w:r>
      <w:r>
        <w:rPr>
          <w:i/>
          <w:sz w:val="23"/>
        </w:rPr>
        <w:t>favor</w:t>
      </w:r>
      <w:r>
        <w:rPr>
          <w:i/>
          <w:spacing w:val="-7"/>
          <w:sz w:val="23"/>
        </w:rPr>
        <w:t> </w:t>
      </w:r>
      <w:r>
        <w:rPr>
          <w:i/>
          <w:sz w:val="23"/>
        </w:rPr>
        <w:t>de</w:t>
      </w:r>
      <w:r>
        <w:rPr>
          <w:i/>
          <w:spacing w:val="-6"/>
          <w:sz w:val="23"/>
        </w:rPr>
        <w:t> </w:t>
      </w:r>
      <w:r>
        <w:rPr>
          <w:i/>
          <w:sz w:val="23"/>
        </w:rPr>
        <w:t>un </w:t>
      </w:r>
      <w:r>
        <w:rPr>
          <w:i/>
          <w:sz w:val="23"/>
        </w:rPr>
        <w:t>ejercicio</w:t>
      </w:r>
      <w:r>
        <w:rPr>
          <w:i/>
          <w:spacing w:val="-20"/>
          <w:sz w:val="23"/>
        </w:rPr>
        <w:t> </w:t>
      </w:r>
      <w:r>
        <w:rPr>
          <w:i/>
          <w:sz w:val="23"/>
        </w:rPr>
        <w:t>subsidiario</w:t>
      </w:r>
      <w:r>
        <w:rPr>
          <w:sz w:val="23"/>
        </w:rPr>
        <w:t>.</w:t>
      </w:r>
    </w:p>
    <w:p>
      <w:pPr>
        <w:pStyle w:val="BodyText"/>
        <w:spacing w:before="7"/>
        <w:rPr>
          <w:sz w:val="22"/>
        </w:rPr>
      </w:pPr>
    </w:p>
    <w:p>
      <w:pPr>
        <w:pStyle w:val="ListParagraph"/>
        <w:numPr>
          <w:ilvl w:val="2"/>
          <w:numId w:val="18"/>
        </w:numPr>
        <w:tabs>
          <w:tab w:pos="685" w:val="left" w:leader="none"/>
        </w:tabs>
        <w:spacing w:line="260" w:lineRule="exact" w:before="0" w:after="0"/>
        <w:ind w:left="684" w:right="107" w:hanging="284"/>
        <w:jc w:val="both"/>
        <w:rPr>
          <w:sz w:val="23"/>
        </w:rPr>
      </w:pPr>
      <w:r>
        <w:rPr>
          <w:sz w:val="23"/>
        </w:rPr>
        <w:t>En las relaciones fiscales federación-estado, el costo-beneficio de doce pesos</w:t>
      </w:r>
      <w:r>
        <w:rPr>
          <w:spacing w:val="-7"/>
          <w:sz w:val="23"/>
        </w:rPr>
        <w:t> </w:t>
      </w:r>
      <w:r>
        <w:rPr>
          <w:sz w:val="23"/>
        </w:rPr>
        <w:t>91/100</w:t>
      </w:r>
      <w:r>
        <w:rPr>
          <w:spacing w:val="-7"/>
          <w:sz w:val="23"/>
        </w:rPr>
        <w:t> </w:t>
      </w:r>
      <w:r>
        <w:rPr>
          <w:sz w:val="23"/>
        </w:rPr>
        <w:t>($</w:t>
      </w:r>
      <w:r>
        <w:rPr>
          <w:spacing w:val="-7"/>
          <w:sz w:val="23"/>
        </w:rPr>
        <w:t> </w:t>
      </w:r>
      <w:r>
        <w:rPr>
          <w:sz w:val="23"/>
        </w:rPr>
        <w:t>12.91)</w:t>
      </w:r>
      <w:r>
        <w:rPr>
          <w:spacing w:val="-7"/>
          <w:sz w:val="23"/>
        </w:rPr>
        <w:t> </w:t>
      </w:r>
      <w:r>
        <w:rPr>
          <w:sz w:val="23"/>
        </w:rPr>
        <w:t>por</w:t>
      </w:r>
      <w:r>
        <w:rPr>
          <w:spacing w:val="-7"/>
          <w:sz w:val="23"/>
        </w:rPr>
        <w:t> </w:t>
      </w:r>
      <w:r>
        <w:rPr>
          <w:sz w:val="23"/>
        </w:rPr>
        <w:t>cada</w:t>
      </w:r>
      <w:r>
        <w:rPr>
          <w:spacing w:val="-7"/>
          <w:sz w:val="23"/>
        </w:rPr>
        <w:t> </w:t>
      </w:r>
      <w:r>
        <w:rPr>
          <w:sz w:val="23"/>
        </w:rPr>
        <w:t>unidad</w:t>
      </w:r>
      <w:r>
        <w:rPr>
          <w:spacing w:val="-7"/>
          <w:sz w:val="23"/>
        </w:rPr>
        <w:t> </w:t>
      </w:r>
      <w:r>
        <w:rPr>
          <w:sz w:val="23"/>
        </w:rPr>
        <w:t>que</w:t>
      </w:r>
      <w:r>
        <w:rPr>
          <w:spacing w:val="-7"/>
          <w:sz w:val="23"/>
        </w:rPr>
        <w:t> </w:t>
      </w:r>
      <w:r>
        <w:rPr>
          <w:sz w:val="23"/>
        </w:rPr>
        <w:t>se</w:t>
      </w:r>
      <w:r>
        <w:rPr>
          <w:spacing w:val="-7"/>
          <w:sz w:val="23"/>
        </w:rPr>
        <w:t> </w:t>
      </w:r>
      <w:r>
        <w:rPr>
          <w:sz w:val="23"/>
        </w:rPr>
        <w:t>invierte</w:t>
      </w:r>
      <w:r>
        <w:rPr>
          <w:spacing w:val="-8"/>
          <w:sz w:val="23"/>
        </w:rPr>
        <w:t> </w:t>
      </w:r>
      <w:r>
        <w:rPr>
          <w:sz w:val="23"/>
        </w:rPr>
        <w:t>en</w:t>
      </w:r>
      <w:r>
        <w:rPr>
          <w:spacing w:val="-7"/>
          <w:sz w:val="23"/>
        </w:rPr>
        <w:t> </w:t>
      </w:r>
      <w:r>
        <w:rPr>
          <w:sz w:val="23"/>
        </w:rPr>
        <w:t>fiscalización, mismo que evidencia como fortaleza un buen desempeño estratégico que</w:t>
      </w:r>
      <w:r>
        <w:rPr>
          <w:spacing w:val="-10"/>
          <w:sz w:val="23"/>
        </w:rPr>
        <w:t> </w:t>
      </w:r>
      <w:r>
        <w:rPr>
          <w:sz w:val="23"/>
        </w:rPr>
        <w:t>abona</w:t>
      </w:r>
      <w:r>
        <w:rPr>
          <w:spacing w:val="-11"/>
          <w:sz w:val="23"/>
        </w:rPr>
        <w:t> </w:t>
      </w:r>
      <w:r>
        <w:rPr>
          <w:sz w:val="23"/>
        </w:rPr>
        <w:t>hacia</w:t>
      </w:r>
      <w:r>
        <w:rPr>
          <w:spacing w:val="-10"/>
          <w:sz w:val="23"/>
        </w:rPr>
        <w:t> </w:t>
      </w:r>
      <w:r>
        <w:rPr>
          <w:sz w:val="23"/>
        </w:rPr>
        <w:t>el</w:t>
      </w:r>
      <w:r>
        <w:rPr>
          <w:spacing w:val="-10"/>
          <w:sz w:val="23"/>
        </w:rPr>
        <w:t> </w:t>
      </w:r>
      <w:r>
        <w:rPr>
          <w:i/>
          <w:sz w:val="23"/>
        </w:rPr>
        <w:t>avance</w:t>
      </w:r>
      <w:r>
        <w:rPr>
          <w:i/>
          <w:spacing w:val="-10"/>
          <w:sz w:val="23"/>
        </w:rPr>
        <w:t> </w:t>
      </w:r>
      <w:r>
        <w:rPr>
          <w:i/>
          <w:sz w:val="23"/>
        </w:rPr>
        <w:t>competencial</w:t>
      </w:r>
      <w:r>
        <w:rPr>
          <w:i/>
          <w:spacing w:val="-11"/>
          <w:sz w:val="23"/>
        </w:rPr>
        <w:t> </w:t>
      </w:r>
      <w:r>
        <w:rPr>
          <w:i/>
          <w:sz w:val="23"/>
        </w:rPr>
        <w:t>de</w:t>
      </w:r>
      <w:r>
        <w:rPr>
          <w:i/>
          <w:spacing w:val="-10"/>
          <w:sz w:val="23"/>
        </w:rPr>
        <w:t> </w:t>
      </w:r>
      <w:r>
        <w:rPr>
          <w:i/>
          <w:sz w:val="23"/>
        </w:rPr>
        <w:t>las</w:t>
      </w:r>
      <w:r>
        <w:rPr>
          <w:i/>
          <w:spacing w:val="-10"/>
          <w:sz w:val="23"/>
        </w:rPr>
        <w:t> </w:t>
      </w:r>
      <w:r>
        <w:rPr>
          <w:i/>
          <w:sz w:val="23"/>
        </w:rPr>
        <w:t>sociedades</w:t>
      </w:r>
      <w:r>
        <w:rPr>
          <w:i/>
          <w:spacing w:val="-10"/>
          <w:sz w:val="23"/>
        </w:rPr>
        <w:t> </w:t>
      </w:r>
      <w:r>
        <w:rPr>
          <w:i/>
          <w:sz w:val="23"/>
        </w:rPr>
        <w:t>más</w:t>
      </w:r>
      <w:r>
        <w:rPr>
          <w:i/>
          <w:spacing w:val="-10"/>
          <w:sz w:val="23"/>
        </w:rPr>
        <w:t> </w:t>
      </w:r>
      <w:r>
        <w:rPr>
          <w:i/>
          <w:sz w:val="23"/>
        </w:rPr>
        <w:t>simples</w:t>
      </w:r>
      <w:r>
        <w:rPr>
          <w:sz w:val="23"/>
        </w:rPr>
        <w:t>.</w:t>
      </w:r>
    </w:p>
    <w:p>
      <w:pPr>
        <w:pStyle w:val="BodyText"/>
        <w:spacing w:before="7"/>
        <w:rPr>
          <w:sz w:val="22"/>
        </w:rPr>
      </w:pPr>
    </w:p>
    <w:p>
      <w:pPr>
        <w:pStyle w:val="ListParagraph"/>
        <w:numPr>
          <w:ilvl w:val="2"/>
          <w:numId w:val="18"/>
        </w:numPr>
        <w:tabs>
          <w:tab w:pos="685" w:val="left" w:leader="none"/>
        </w:tabs>
        <w:spacing w:line="260" w:lineRule="exact" w:before="0" w:after="0"/>
        <w:ind w:left="684" w:right="107" w:hanging="284"/>
        <w:jc w:val="both"/>
        <w:rPr>
          <w:sz w:val="23"/>
        </w:rPr>
      </w:pPr>
      <w:r>
        <w:rPr>
          <w:sz w:val="23"/>
        </w:rPr>
        <w:t>En materia del desarrollo regional estatal, la incursión simultánea del gobierno</w:t>
      </w:r>
      <w:r>
        <w:rPr>
          <w:spacing w:val="-11"/>
          <w:sz w:val="23"/>
        </w:rPr>
        <w:t> </w:t>
      </w:r>
      <w:r>
        <w:rPr>
          <w:sz w:val="23"/>
        </w:rPr>
        <w:t>estatal</w:t>
      </w:r>
      <w:r>
        <w:rPr>
          <w:spacing w:val="-11"/>
          <w:sz w:val="23"/>
        </w:rPr>
        <w:t> </w:t>
      </w:r>
      <w:r>
        <w:rPr>
          <w:sz w:val="23"/>
        </w:rPr>
        <w:t>en</w:t>
      </w:r>
      <w:r>
        <w:rPr>
          <w:spacing w:val="-11"/>
          <w:sz w:val="23"/>
        </w:rPr>
        <w:t> </w:t>
      </w:r>
      <w:r>
        <w:rPr>
          <w:sz w:val="23"/>
        </w:rPr>
        <w:t>tres</w:t>
      </w:r>
      <w:r>
        <w:rPr>
          <w:spacing w:val="-11"/>
          <w:sz w:val="23"/>
        </w:rPr>
        <w:t> </w:t>
      </w:r>
      <w:r>
        <w:rPr>
          <w:sz w:val="23"/>
        </w:rPr>
        <w:t>esquemas</w:t>
      </w:r>
      <w:r>
        <w:rPr>
          <w:spacing w:val="-11"/>
          <w:sz w:val="23"/>
        </w:rPr>
        <w:t> </w:t>
      </w:r>
      <w:r>
        <w:rPr>
          <w:sz w:val="23"/>
        </w:rPr>
        <w:t>paralelos:</w:t>
      </w:r>
      <w:r>
        <w:rPr>
          <w:spacing w:val="-11"/>
          <w:sz w:val="23"/>
        </w:rPr>
        <w:t> </w:t>
      </w:r>
      <w:r>
        <w:rPr>
          <w:sz w:val="23"/>
        </w:rPr>
        <w:t>el</w:t>
      </w:r>
      <w:r>
        <w:rPr>
          <w:spacing w:val="-11"/>
          <w:sz w:val="23"/>
        </w:rPr>
        <w:t> </w:t>
      </w:r>
      <w:r>
        <w:rPr>
          <w:sz w:val="23"/>
        </w:rPr>
        <w:t>gasto</w:t>
      </w:r>
      <w:r>
        <w:rPr>
          <w:spacing w:val="-11"/>
          <w:sz w:val="23"/>
        </w:rPr>
        <w:t> </w:t>
      </w:r>
      <w:r>
        <w:rPr>
          <w:sz w:val="23"/>
        </w:rPr>
        <w:t>federal</w:t>
      </w:r>
      <w:r>
        <w:rPr>
          <w:spacing w:val="-11"/>
          <w:sz w:val="23"/>
        </w:rPr>
        <w:t> </w:t>
      </w:r>
      <w:r>
        <w:rPr>
          <w:sz w:val="23"/>
        </w:rPr>
        <w:t>reasignado, las</w:t>
      </w:r>
      <w:r>
        <w:rPr>
          <w:spacing w:val="-7"/>
          <w:sz w:val="23"/>
        </w:rPr>
        <w:t> </w:t>
      </w:r>
      <w:r>
        <w:rPr>
          <w:sz w:val="23"/>
        </w:rPr>
        <w:t>acciones</w:t>
      </w:r>
      <w:r>
        <w:rPr>
          <w:spacing w:val="-7"/>
          <w:sz w:val="23"/>
        </w:rPr>
        <w:t> </w:t>
      </w:r>
      <w:r>
        <w:rPr>
          <w:sz w:val="23"/>
        </w:rPr>
        <w:t>del</w:t>
      </w:r>
      <w:r>
        <w:rPr>
          <w:spacing w:val="-7"/>
          <w:sz w:val="23"/>
        </w:rPr>
        <w:t> </w:t>
      </w:r>
      <w:r>
        <w:rPr>
          <w:sz w:val="23"/>
        </w:rPr>
        <w:t>gobierno</w:t>
      </w:r>
      <w:r>
        <w:rPr>
          <w:spacing w:val="-7"/>
          <w:sz w:val="23"/>
        </w:rPr>
        <w:t> </w:t>
      </w:r>
      <w:r>
        <w:rPr>
          <w:sz w:val="23"/>
        </w:rPr>
        <w:t>federal</w:t>
      </w:r>
      <w:r>
        <w:rPr>
          <w:spacing w:val="-7"/>
          <w:sz w:val="23"/>
        </w:rPr>
        <w:t> </w:t>
      </w:r>
      <w:r>
        <w:rPr>
          <w:sz w:val="23"/>
        </w:rPr>
        <w:t>con</w:t>
      </w:r>
      <w:r>
        <w:rPr>
          <w:spacing w:val="-7"/>
          <w:sz w:val="23"/>
        </w:rPr>
        <w:t> </w:t>
      </w:r>
      <w:r>
        <w:rPr>
          <w:sz w:val="23"/>
        </w:rPr>
        <w:t>participación</w:t>
      </w:r>
      <w:r>
        <w:rPr>
          <w:spacing w:val="-7"/>
          <w:sz w:val="23"/>
        </w:rPr>
        <w:t> </w:t>
      </w:r>
      <w:r>
        <w:rPr>
          <w:sz w:val="23"/>
        </w:rPr>
        <w:t>del</w:t>
      </w:r>
      <w:r>
        <w:rPr>
          <w:spacing w:val="-7"/>
          <w:sz w:val="23"/>
        </w:rPr>
        <w:t> </w:t>
      </w:r>
      <w:r>
        <w:rPr>
          <w:sz w:val="23"/>
        </w:rPr>
        <w:t>gobierno</w:t>
      </w:r>
      <w:r>
        <w:rPr>
          <w:spacing w:val="-7"/>
          <w:sz w:val="23"/>
        </w:rPr>
        <w:t> </w:t>
      </w:r>
      <w:r>
        <w:rPr>
          <w:sz w:val="23"/>
        </w:rPr>
        <w:t>estatal, y</w:t>
      </w:r>
      <w:r>
        <w:rPr>
          <w:spacing w:val="-22"/>
          <w:sz w:val="23"/>
        </w:rPr>
        <w:t> </w:t>
      </w:r>
      <w:r>
        <w:rPr>
          <w:sz w:val="23"/>
        </w:rPr>
        <w:t>la</w:t>
      </w:r>
      <w:r>
        <w:rPr>
          <w:spacing w:val="-22"/>
          <w:sz w:val="23"/>
        </w:rPr>
        <w:t> </w:t>
      </w:r>
      <w:r>
        <w:rPr>
          <w:sz w:val="23"/>
        </w:rPr>
        <w:t>implementación</w:t>
      </w:r>
      <w:r>
        <w:rPr>
          <w:spacing w:val="-23"/>
          <w:sz w:val="23"/>
        </w:rPr>
        <w:t> </w:t>
      </w:r>
      <w:r>
        <w:rPr>
          <w:sz w:val="23"/>
        </w:rPr>
        <w:t>de</w:t>
      </w:r>
      <w:r>
        <w:rPr>
          <w:spacing w:val="-22"/>
          <w:sz w:val="23"/>
        </w:rPr>
        <w:t> </w:t>
      </w:r>
      <w:r>
        <w:rPr>
          <w:sz w:val="23"/>
        </w:rPr>
        <w:t>proyectos</w:t>
      </w:r>
      <w:r>
        <w:rPr>
          <w:spacing w:val="-22"/>
          <w:sz w:val="23"/>
        </w:rPr>
        <w:t> </w:t>
      </w:r>
      <w:r>
        <w:rPr>
          <w:sz w:val="23"/>
        </w:rPr>
        <w:t>estratégicos</w:t>
      </w:r>
      <w:r>
        <w:rPr>
          <w:spacing w:val="-23"/>
          <w:sz w:val="23"/>
        </w:rPr>
        <w:t> </w:t>
      </w:r>
      <w:r>
        <w:rPr>
          <w:sz w:val="23"/>
        </w:rPr>
        <w:t>propios.</w:t>
      </w:r>
      <w:r>
        <w:rPr>
          <w:spacing w:val="-22"/>
          <w:sz w:val="23"/>
        </w:rPr>
        <w:t> </w:t>
      </w:r>
      <w:r>
        <w:rPr>
          <w:sz w:val="23"/>
        </w:rPr>
        <w:t>El</w:t>
      </w:r>
      <w:r>
        <w:rPr>
          <w:spacing w:val="-22"/>
          <w:sz w:val="23"/>
        </w:rPr>
        <w:t> </w:t>
      </w:r>
      <w:r>
        <w:rPr>
          <w:sz w:val="23"/>
        </w:rPr>
        <w:t>lograr</w:t>
      </w:r>
      <w:r>
        <w:rPr>
          <w:spacing w:val="-22"/>
          <w:sz w:val="23"/>
        </w:rPr>
        <w:t> </w:t>
      </w:r>
      <w:r>
        <w:rPr>
          <w:sz w:val="23"/>
        </w:rPr>
        <w:t>mejores resultados</w:t>
      </w:r>
      <w:r>
        <w:rPr>
          <w:spacing w:val="-8"/>
          <w:sz w:val="23"/>
        </w:rPr>
        <w:t> </w:t>
      </w:r>
      <w:r>
        <w:rPr>
          <w:sz w:val="23"/>
        </w:rPr>
        <w:t>en</w:t>
      </w:r>
      <w:r>
        <w:rPr>
          <w:spacing w:val="-8"/>
          <w:sz w:val="23"/>
        </w:rPr>
        <w:t> </w:t>
      </w:r>
      <w:r>
        <w:rPr>
          <w:sz w:val="23"/>
        </w:rPr>
        <w:t>estos</w:t>
      </w:r>
      <w:r>
        <w:rPr>
          <w:spacing w:val="-8"/>
          <w:sz w:val="23"/>
        </w:rPr>
        <w:t> </w:t>
      </w:r>
      <w:r>
        <w:rPr>
          <w:sz w:val="23"/>
        </w:rPr>
        <w:t>tres</w:t>
      </w:r>
      <w:r>
        <w:rPr>
          <w:spacing w:val="-8"/>
          <w:sz w:val="23"/>
        </w:rPr>
        <w:t> </w:t>
      </w:r>
      <w:r>
        <w:rPr>
          <w:sz w:val="23"/>
        </w:rPr>
        <w:t>esquemas</w:t>
      </w:r>
      <w:r>
        <w:rPr>
          <w:spacing w:val="-8"/>
          <w:sz w:val="23"/>
        </w:rPr>
        <w:t> </w:t>
      </w:r>
      <w:r>
        <w:rPr>
          <w:sz w:val="23"/>
        </w:rPr>
        <w:t>acreditaría</w:t>
      </w:r>
      <w:r>
        <w:rPr>
          <w:spacing w:val="-8"/>
          <w:sz w:val="23"/>
        </w:rPr>
        <w:t> </w:t>
      </w:r>
      <w:r>
        <w:rPr>
          <w:sz w:val="23"/>
        </w:rPr>
        <w:t>el</w:t>
      </w:r>
      <w:r>
        <w:rPr>
          <w:spacing w:val="-8"/>
          <w:sz w:val="23"/>
        </w:rPr>
        <w:t> </w:t>
      </w:r>
      <w:r>
        <w:rPr>
          <w:i/>
          <w:sz w:val="23"/>
        </w:rPr>
        <w:t>avance</w:t>
      </w:r>
      <w:r>
        <w:rPr>
          <w:i/>
          <w:spacing w:val="-8"/>
          <w:sz w:val="23"/>
        </w:rPr>
        <w:t> </w:t>
      </w:r>
      <w:r>
        <w:rPr>
          <w:i/>
          <w:sz w:val="23"/>
        </w:rPr>
        <w:t>competencial</w:t>
      </w:r>
      <w:r>
        <w:rPr>
          <w:i/>
          <w:spacing w:val="-8"/>
          <w:sz w:val="23"/>
        </w:rPr>
        <w:t> </w:t>
      </w:r>
      <w:r>
        <w:rPr>
          <w:i/>
          <w:sz w:val="23"/>
        </w:rPr>
        <w:t>de </w:t>
      </w:r>
      <w:r>
        <w:rPr>
          <w:i/>
          <w:sz w:val="23"/>
        </w:rPr>
        <w:t>las sociedades más</w:t>
      </w:r>
      <w:r>
        <w:rPr>
          <w:i/>
          <w:spacing w:val="-18"/>
          <w:sz w:val="23"/>
        </w:rPr>
        <w:t> </w:t>
      </w:r>
      <w:r>
        <w:rPr>
          <w:i/>
          <w:sz w:val="23"/>
        </w:rPr>
        <w:t>simples</w:t>
      </w:r>
      <w:r>
        <w:rPr>
          <w:sz w:val="23"/>
        </w:rPr>
        <w:t>.</w:t>
      </w:r>
    </w:p>
    <w:p>
      <w:pPr>
        <w:pStyle w:val="BodyText"/>
        <w:spacing w:before="7"/>
        <w:rPr>
          <w:sz w:val="22"/>
        </w:rPr>
      </w:pPr>
    </w:p>
    <w:p>
      <w:pPr>
        <w:pStyle w:val="ListParagraph"/>
        <w:numPr>
          <w:ilvl w:val="2"/>
          <w:numId w:val="18"/>
        </w:numPr>
        <w:tabs>
          <w:tab w:pos="685" w:val="left" w:leader="none"/>
        </w:tabs>
        <w:spacing w:line="260" w:lineRule="exact" w:before="0" w:after="0"/>
        <w:ind w:left="684" w:right="107" w:hanging="284"/>
        <w:jc w:val="both"/>
        <w:rPr>
          <w:sz w:val="23"/>
        </w:rPr>
      </w:pPr>
      <w:r>
        <w:rPr>
          <w:sz w:val="23"/>
        </w:rPr>
        <w:t>En la política social coordinada, la proporción entre los programas federales descentralizados y los de diseño estatal, misma que se</w:t>
      </w:r>
      <w:r>
        <w:rPr>
          <w:spacing w:val="-21"/>
          <w:sz w:val="23"/>
        </w:rPr>
        <w:t> </w:t>
      </w:r>
      <w:r>
        <w:rPr>
          <w:sz w:val="23"/>
        </w:rPr>
        <w:t>inclina hacia los últimos (65/94) evidenciando cierta capacidad de iniciativa en el diseño de programas sociales propios. Asimismo, las acciones de capacitación tienden a constituirse como un elemento más consistente que</w:t>
      </w:r>
      <w:r>
        <w:rPr>
          <w:spacing w:val="-12"/>
          <w:sz w:val="23"/>
        </w:rPr>
        <w:t> </w:t>
      </w:r>
      <w:r>
        <w:rPr>
          <w:sz w:val="23"/>
        </w:rPr>
        <w:t>el</w:t>
      </w:r>
      <w:r>
        <w:rPr>
          <w:spacing w:val="-12"/>
          <w:sz w:val="23"/>
        </w:rPr>
        <w:t> </w:t>
      </w:r>
      <w:r>
        <w:rPr>
          <w:sz w:val="23"/>
        </w:rPr>
        <w:t>asistencialismo</w:t>
      </w:r>
      <w:r>
        <w:rPr>
          <w:spacing w:val="-13"/>
          <w:sz w:val="23"/>
        </w:rPr>
        <w:t> </w:t>
      </w:r>
      <w:r>
        <w:rPr>
          <w:sz w:val="23"/>
        </w:rPr>
        <w:t>en</w:t>
      </w:r>
      <w:r>
        <w:rPr>
          <w:spacing w:val="-12"/>
          <w:sz w:val="23"/>
        </w:rPr>
        <w:t> </w:t>
      </w:r>
      <w:r>
        <w:rPr>
          <w:sz w:val="23"/>
        </w:rPr>
        <w:t>la</w:t>
      </w:r>
      <w:r>
        <w:rPr>
          <w:spacing w:val="-13"/>
          <w:sz w:val="23"/>
        </w:rPr>
        <w:t> </w:t>
      </w:r>
      <w:r>
        <w:rPr>
          <w:sz w:val="23"/>
        </w:rPr>
        <w:t>política</w:t>
      </w:r>
      <w:r>
        <w:rPr>
          <w:spacing w:val="-12"/>
          <w:sz w:val="23"/>
        </w:rPr>
        <w:t> </w:t>
      </w:r>
      <w:r>
        <w:rPr>
          <w:sz w:val="23"/>
        </w:rPr>
        <w:t>social</w:t>
      </w:r>
      <w:r>
        <w:rPr>
          <w:spacing w:val="-12"/>
          <w:sz w:val="23"/>
        </w:rPr>
        <w:t> </w:t>
      </w:r>
      <w:r>
        <w:rPr>
          <w:sz w:val="23"/>
        </w:rPr>
        <w:t>hidalguense.</w:t>
      </w:r>
      <w:r>
        <w:rPr>
          <w:spacing w:val="-25"/>
          <w:sz w:val="23"/>
        </w:rPr>
        <w:t> </w:t>
      </w:r>
      <w:r>
        <w:rPr>
          <w:sz w:val="23"/>
        </w:rPr>
        <w:t>Ambos</w:t>
      </w:r>
      <w:r>
        <w:rPr>
          <w:spacing w:val="-12"/>
          <w:sz w:val="23"/>
        </w:rPr>
        <w:t> </w:t>
      </w:r>
      <w:r>
        <w:rPr>
          <w:sz w:val="23"/>
        </w:rPr>
        <w:t>aspectos son destacables dentro del </w:t>
      </w:r>
      <w:r>
        <w:rPr>
          <w:i/>
          <w:sz w:val="23"/>
        </w:rPr>
        <w:t>avance competencial de las sociedades más </w:t>
      </w:r>
      <w:r>
        <w:rPr>
          <w:i/>
          <w:sz w:val="23"/>
        </w:rPr>
        <w:t>simples</w:t>
      </w:r>
      <w:r>
        <w:rPr>
          <w:sz w:val="23"/>
        </w:rPr>
        <w:t>.</w:t>
      </w:r>
    </w:p>
    <w:p>
      <w:pPr>
        <w:pStyle w:val="BodyText"/>
        <w:spacing w:before="7"/>
        <w:rPr>
          <w:sz w:val="22"/>
        </w:rPr>
      </w:pPr>
    </w:p>
    <w:p>
      <w:pPr>
        <w:pStyle w:val="BodyText"/>
        <w:spacing w:line="260" w:lineRule="exact"/>
        <w:ind w:left="117" w:right="107"/>
        <w:jc w:val="both"/>
      </w:pPr>
      <w:r>
        <w:rPr/>
        <w:t>Únicamente</w:t>
      </w:r>
      <w:r>
        <w:rPr>
          <w:spacing w:val="-20"/>
        </w:rPr>
        <w:t> </w:t>
      </w:r>
      <w:r>
        <w:rPr/>
        <w:t>estos</w:t>
      </w:r>
      <w:r>
        <w:rPr>
          <w:spacing w:val="-20"/>
        </w:rPr>
        <w:t> </w:t>
      </w:r>
      <w:r>
        <w:rPr/>
        <w:t>seis</w:t>
      </w:r>
      <w:r>
        <w:rPr>
          <w:spacing w:val="-20"/>
        </w:rPr>
        <w:t> </w:t>
      </w:r>
      <w:r>
        <w:rPr/>
        <w:t>aspectos</w:t>
      </w:r>
      <w:r>
        <w:rPr>
          <w:spacing w:val="-20"/>
        </w:rPr>
        <w:t> </w:t>
      </w:r>
      <w:r>
        <w:rPr/>
        <w:t>destacan</w:t>
      </w:r>
      <w:r>
        <w:rPr>
          <w:spacing w:val="-20"/>
        </w:rPr>
        <w:t> </w:t>
      </w:r>
      <w:r>
        <w:rPr/>
        <w:t>por</w:t>
      </w:r>
      <w:r>
        <w:rPr>
          <w:spacing w:val="-20"/>
        </w:rPr>
        <w:t> </w:t>
      </w:r>
      <w:r>
        <w:rPr/>
        <w:t>sus</w:t>
      </w:r>
      <w:r>
        <w:rPr>
          <w:spacing w:val="-20"/>
        </w:rPr>
        <w:t> </w:t>
      </w:r>
      <w:r>
        <w:rPr/>
        <w:t>rasgos</w:t>
      </w:r>
      <w:r>
        <w:rPr>
          <w:spacing w:val="-20"/>
        </w:rPr>
        <w:t> </w:t>
      </w:r>
      <w:r>
        <w:rPr/>
        <w:t>de</w:t>
      </w:r>
      <w:r>
        <w:rPr>
          <w:spacing w:val="-20"/>
        </w:rPr>
        <w:t> </w:t>
      </w:r>
      <w:r>
        <w:rPr/>
        <w:t>afinidad</w:t>
      </w:r>
      <w:r>
        <w:rPr>
          <w:spacing w:val="-20"/>
        </w:rPr>
        <w:t> </w:t>
      </w:r>
      <w:r>
        <w:rPr/>
        <w:t>subsidiaria. La profundización en el estudio conjunto de las afinidades e inconsistencia subsidiarias</w:t>
      </w:r>
      <w:r>
        <w:rPr>
          <w:spacing w:val="40"/>
        </w:rPr>
        <w:t> </w:t>
      </w:r>
      <w:r>
        <w:rPr/>
        <w:t>de</w:t>
      </w:r>
      <w:r>
        <w:rPr>
          <w:spacing w:val="40"/>
        </w:rPr>
        <w:t> </w:t>
      </w:r>
      <w:r>
        <w:rPr/>
        <w:t>los</w:t>
      </w:r>
      <w:r>
        <w:rPr>
          <w:spacing w:val="40"/>
        </w:rPr>
        <w:t> </w:t>
      </w:r>
      <w:r>
        <w:rPr/>
        <w:t>gobiernos</w:t>
      </w:r>
      <w:r>
        <w:rPr>
          <w:spacing w:val="40"/>
        </w:rPr>
        <w:t> </w:t>
      </w:r>
      <w:r>
        <w:rPr/>
        <w:t>hidalguenses</w:t>
      </w:r>
      <w:r>
        <w:rPr>
          <w:spacing w:val="40"/>
        </w:rPr>
        <w:t> </w:t>
      </w:r>
      <w:r>
        <w:rPr/>
        <w:t>sería</w:t>
      </w:r>
      <w:r>
        <w:rPr>
          <w:spacing w:val="40"/>
        </w:rPr>
        <w:t> </w:t>
      </w:r>
      <w:r>
        <w:rPr/>
        <w:t>justificable</w:t>
      </w:r>
      <w:r>
        <w:rPr>
          <w:spacing w:val="40"/>
        </w:rPr>
        <w:t> </w:t>
      </w:r>
      <w:r>
        <w:rPr/>
        <w:t>si</w:t>
      </w:r>
      <w:r>
        <w:rPr>
          <w:spacing w:val="40"/>
        </w:rPr>
        <w:t> </w:t>
      </w:r>
      <w:r>
        <w:rPr/>
        <w:t>se</w:t>
      </w:r>
      <w:r>
        <w:rPr>
          <w:spacing w:val="40"/>
        </w:rPr>
        <w:t> </w:t>
      </w:r>
      <w:r>
        <w:rPr/>
        <w:t>dirige</w:t>
      </w:r>
      <w:r>
        <w:rPr>
          <w:spacing w:val="40"/>
        </w:rPr>
        <w:t> </w:t>
      </w:r>
      <w:r>
        <w:rPr/>
        <w:t>a</w:t>
      </w:r>
    </w:p>
    <w:p>
      <w:pPr>
        <w:spacing w:after="0" w:line="260" w:lineRule="exact"/>
        <w:jc w:val="both"/>
        <w:sectPr>
          <w:pgSz w:w="9360" w:h="13040"/>
          <w:pgMar w:header="547" w:footer="515" w:top="940" w:bottom="700" w:left="1300" w:right="740"/>
        </w:sectPr>
      </w:pPr>
    </w:p>
    <w:p>
      <w:pPr>
        <w:pStyle w:val="BodyText"/>
        <w:rPr>
          <w:sz w:val="20"/>
        </w:rPr>
      </w:pPr>
    </w:p>
    <w:p>
      <w:pPr>
        <w:pStyle w:val="BodyText"/>
        <w:spacing w:before="1"/>
        <w:rPr>
          <w:sz w:val="29"/>
        </w:rPr>
      </w:pPr>
    </w:p>
    <w:p>
      <w:pPr>
        <w:pStyle w:val="BodyText"/>
        <w:spacing w:line="256" w:lineRule="exact" w:before="80"/>
        <w:ind w:left="110" w:right="114"/>
        <w:jc w:val="both"/>
      </w:pPr>
      <w:r>
        <w:rPr/>
        <w:t>inducir</w:t>
      </w:r>
      <w:r>
        <w:rPr>
          <w:spacing w:val="-7"/>
        </w:rPr>
        <w:t> </w:t>
      </w:r>
      <w:r>
        <w:rPr/>
        <w:t>cambios</w:t>
      </w:r>
      <w:r>
        <w:rPr>
          <w:spacing w:val="-7"/>
        </w:rPr>
        <w:t> </w:t>
      </w:r>
      <w:r>
        <w:rPr/>
        <w:t>graduales</w:t>
      </w:r>
      <w:r>
        <w:rPr>
          <w:spacing w:val="-7"/>
        </w:rPr>
        <w:t> </w:t>
      </w:r>
      <w:r>
        <w:rPr/>
        <w:t>en</w:t>
      </w:r>
      <w:r>
        <w:rPr>
          <w:spacing w:val="-7"/>
        </w:rPr>
        <w:t> </w:t>
      </w:r>
      <w:r>
        <w:rPr/>
        <w:t>la</w:t>
      </w:r>
      <w:r>
        <w:rPr>
          <w:spacing w:val="-7"/>
        </w:rPr>
        <w:t> </w:t>
      </w:r>
      <w:r>
        <w:rPr/>
        <w:t>gestión</w:t>
      </w:r>
      <w:r>
        <w:rPr>
          <w:spacing w:val="-7"/>
        </w:rPr>
        <w:t> </w:t>
      </w:r>
      <w:r>
        <w:rPr/>
        <w:t>pública</w:t>
      </w:r>
      <w:r>
        <w:rPr>
          <w:spacing w:val="-7"/>
        </w:rPr>
        <w:t> </w:t>
      </w:r>
      <w:r>
        <w:rPr/>
        <w:t>para</w:t>
      </w:r>
      <w:r>
        <w:rPr>
          <w:spacing w:val="-7"/>
        </w:rPr>
        <w:t> </w:t>
      </w:r>
      <w:r>
        <w:rPr/>
        <w:t>reivindicar</w:t>
      </w:r>
      <w:r>
        <w:rPr>
          <w:spacing w:val="-7"/>
        </w:rPr>
        <w:t> </w:t>
      </w:r>
      <w:r>
        <w:rPr/>
        <w:t>así</w:t>
      </w:r>
      <w:r>
        <w:rPr>
          <w:spacing w:val="-7"/>
        </w:rPr>
        <w:t> </w:t>
      </w:r>
      <w:r>
        <w:rPr/>
        <w:t>la</w:t>
      </w:r>
      <w:r>
        <w:rPr>
          <w:spacing w:val="-7"/>
        </w:rPr>
        <w:t> </w:t>
      </w:r>
      <w:r>
        <w:rPr/>
        <w:t>esencia del federalismo subsidiario. Como anticipo de esa profundización analítica, las líneas generales de acción han sido incluidas al final de cada una de las conclusiones</w:t>
      </w:r>
      <w:r>
        <w:rPr>
          <w:spacing w:val="-15"/>
        </w:rPr>
        <w:t> </w:t>
      </w:r>
      <w:r>
        <w:rPr/>
        <w:t>capitulares</w:t>
      </w:r>
      <w:r>
        <w:rPr>
          <w:spacing w:val="-15"/>
        </w:rPr>
        <w:t> </w:t>
      </w:r>
      <w:r>
        <w:rPr/>
        <w:t>del</w:t>
      </w:r>
      <w:r>
        <w:rPr>
          <w:spacing w:val="-14"/>
        </w:rPr>
        <w:t> </w:t>
      </w:r>
      <w:r>
        <w:rPr/>
        <w:t>presente</w:t>
      </w:r>
      <w:r>
        <w:rPr>
          <w:spacing w:val="-14"/>
        </w:rPr>
        <w:t> </w:t>
      </w:r>
      <w:r>
        <w:rPr/>
        <w:t>libro</w:t>
      </w:r>
      <w:r>
        <w:rPr>
          <w:spacing w:val="-14"/>
        </w:rPr>
        <w:t> </w:t>
      </w:r>
      <w:r>
        <w:rPr/>
        <w:t>a</w:t>
      </w:r>
      <w:r>
        <w:rPr>
          <w:spacing w:val="-14"/>
        </w:rPr>
        <w:t> </w:t>
      </w:r>
      <w:r>
        <w:rPr/>
        <w:t>manera</w:t>
      </w:r>
      <w:r>
        <w:rPr>
          <w:spacing w:val="-14"/>
        </w:rPr>
        <w:t> </w:t>
      </w:r>
      <w:r>
        <w:rPr/>
        <w:t>de</w:t>
      </w:r>
      <w:r>
        <w:rPr>
          <w:spacing w:val="-14"/>
        </w:rPr>
        <w:t> </w:t>
      </w:r>
      <w:r>
        <w:rPr/>
        <w:t>propuestas</w:t>
      </w:r>
      <w:r>
        <w:rPr>
          <w:spacing w:val="-14"/>
        </w:rPr>
        <w:t> </w:t>
      </w:r>
      <w:r>
        <w:rPr/>
        <w:t>sectoriales, además</w:t>
      </w:r>
      <w:r>
        <w:rPr>
          <w:spacing w:val="-19"/>
        </w:rPr>
        <w:t> </w:t>
      </w:r>
      <w:r>
        <w:rPr/>
        <w:t>de</w:t>
      </w:r>
      <w:r>
        <w:rPr>
          <w:spacing w:val="-18"/>
        </w:rPr>
        <w:t> </w:t>
      </w:r>
      <w:r>
        <w:rPr/>
        <w:t>que</w:t>
      </w:r>
      <w:r>
        <w:rPr>
          <w:spacing w:val="-18"/>
        </w:rPr>
        <w:t> </w:t>
      </w:r>
      <w:r>
        <w:rPr/>
        <w:t>se</w:t>
      </w:r>
      <w:r>
        <w:rPr>
          <w:spacing w:val="-18"/>
        </w:rPr>
        <w:t> </w:t>
      </w:r>
      <w:r>
        <w:rPr/>
        <w:t>ocupan</w:t>
      </w:r>
      <w:r>
        <w:rPr>
          <w:spacing w:val="-18"/>
        </w:rPr>
        <w:t> </w:t>
      </w:r>
      <w:r>
        <w:rPr/>
        <w:t>los</w:t>
      </w:r>
      <w:r>
        <w:rPr>
          <w:spacing w:val="-19"/>
        </w:rPr>
        <w:t> </w:t>
      </w:r>
      <w:r>
        <w:rPr/>
        <w:t>siguientes</w:t>
      </w:r>
      <w:r>
        <w:rPr>
          <w:spacing w:val="-18"/>
        </w:rPr>
        <w:t> </w:t>
      </w:r>
      <w:r>
        <w:rPr/>
        <w:t>párrafos</w:t>
      </w:r>
      <w:r>
        <w:rPr>
          <w:spacing w:val="-18"/>
        </w:rPr>
        <w:t> </w:t>
      </w:r>
      <w:r>
        <w:rPr/>
        <w:t>para</w:t>
      </w:r>
      <w:r>
        <w:rPr>
          <w:spacing w:val="-18"/>
        </w:rPr>
        <w:t> </w:t>
      </w:r>
      <w:r>
        <w:rPr/>
        <w:t>presentar</w:t>
      </w:r>
      <w:r>
        <w:rPr>
          <w:spacing w:val="-19"/>
        </w:rPr>
        <w:t> </w:t>
      </w:r>
      <w:r>
        <w:rPr/>
        <w:t>una</w:t>
      </w:r>
      <w:r>
        <w:rPr>
          <w:spacing w:val="-18"/>
        </w:rPr>
        <w:t> </w:t>
      </w:r>
      <w:r>
        <w:rPr/>
        <w:t>integración temática.</w:t>
      </w:r>
    </w:p>
    <w:p>
      <w:pPr>
        <w:pStyle w:val="BodyText"/>
        <w:spacing w:before="3"/>
        <w:rPr>
          <w:sz w:val="22"/>
        </w:rPr>
      </w:pPr>
    </w:p>
    <w:p>
      <w:pPr>
        <w:pStyle w:val="BodyText"/>
        <w:spacing w:line="256" w:lineRule="exact"/>
        <w:ind w:left="110" w:right="114"/>
        <w:jc w:val="both"/>
      </w:pPr>
      <w:r>
        <w:rPr/>
        <w:t>En materia de Finanzas Públicas, los funcionarios fiscales deben ser objeto de una formación socio-técnica y socio-ética para que, con la mesura de    sus criterios políticos, la participación hidalguense en el Sistema Nacional  de Coordinación Fiscal proyecte verdaderos resultados de coordinación intergubernamental</w:t>
      </w:r>
      <w:r>
        <w:rPr>
          <w:spacing w:val="-19"/>
        </w:rPr>
        <w:t> </w:t>
      </w:r>
      <w:r>
        <w:rPr/>
        <w:t>sobre:</w:t>
      </w:r>
      <w:r>
        <w:rPr>
          <w:spacing w:val="-19"/>
        </w:rPr>
        <w:t> </w:t>
      </w:r>
      <w:r>
        <w:rPr/>
        <w:t>a)</w:t>
      </w:r>
      <w:r>
        <w:rPr>
          <w:spacing w:val="-19"/>
        </w:rPr>
        <w:t> </w:t>
      </w:r>
      <w:r>
        <w:rPr/>
        <w:t>el</w:t>
      </w:r>
      <w:r>
        <w:rPr>
          <w:spacing w:val="-19"/>
        </w:rPr>
        <w:t> </w:t>
      </w:r>
      <w:r>
        <w:rPr/>
        <w:t>refuerzo</w:t>
      </w:r>
      <w:r>
        <w:rPr>
          <w:spacing w:val="-19"/>
        </w:rPr>
        <w:t> </w:t>
      </w:r>
      <w:r>
        <w:rPr/>
        <w:t>de</w:t>
      </w:r>
      <w:r>
        <w:rPr>
          <w:spacing w:val="-19"/>
        </w:rPr>
        <w:t> </w:t>
      </w:r>
      <w:r>
        <w:rPr/>
        <w:t>la</w:t>
      </w:r>
      <w:r>
        <w:rPr>
          <w:spacing w:val="-19"/>
        </w:rPr>
        <w:t> </w:t>
      </w:r>
      <w:r>
        <w:rPr/>
        <w:t>recaudación</w:t>
      </w:r>
      <w:r>
        <w:rPr>
          <w:spacing w:val="-19"/>
        </w:rPr>
        <w:t> </w:t>
      </w:r>
      <w:r>
        <w:rPr/>
        <w:t>correspondiente</w:t>
      </w:r>
      <w:r>
        <w:rPr>
          <w:spacing w:val="-20"/>
        </w:rPr>
        <w:t> </w:t>
      </w:r>
      <w:r>
        <w:rPr/>
        <w:t>a</w:t>
      </w:r>
      <w:r>
        <w:rPr>
          <w:spacing w:val="-19"/>
        </w:rPr>
        <w:t> </w:t>
      </w:r>
      <w:r>
        <w:rPr/>
        <w:t>la colaboración</w:t>
      </w:r>
      <w:r>
        <w:rPr>
          <w:spacing w:val="-25"/>
        </w:rPr>
        <w:t> </w:t>
      </w:r>
      <w:r>
        <w:rPr/>
        <w:t>administrativa,</w:t>
      </w:r>
      <w:r>
        <w:rPr>
          <w:spacing w:val="-25"/>
        </w:rPr>
        <w:t> </w:t>
      </w:r>
      <w:r>
        <w:rPr/>
        <w:t>b)</w:t>
      </w:r>
      <w:r>
        <w:rPr>
          <w:spacing w:val="-24"/>
        </w:rPr>
        <w:t> </w:t>
      </w:r>
      <w:r>
        <w:rPr/>
        <w:t>la</w:t>
      </w:r>
      <w:r>
        <w:rPr>
          <w:spacing w:val="-24"/>
        </w:rPr>
        <w:t> </w:t>
      </w:r>
      <w:r>
        <w:rPr/>
        <w:t>continuidad</w:t>
      </w:r>
      <w:r>
        <w:rPr>
          <w:spacing w:val="-25"/>
        </w:rPr>
        <w:t> </w:t>
      </w:r>
      <w:r>
        <w:rPr/>
        <w:t>del</w:t>
      </w:r>
      <w:r>
        <w:rPr>
          <w:spacing w:val="-24"/>
        </w:rPr>
        <w:t> </w:t>
      </w:r>
      <w:r>
        <w:rPr/>
        <w:t>proceso</w:t>
      </w:r>
      <w:r>
        <w:rPr>
          <w:spacing w:val="-24"/>
        </w:rPr>
        <w:t> </w:t>
      </w:r>
      <w:r>
        <w:rPr/>
        <w:t>de</w:t>
      </w:r>
      <w:r>
        <w:rPr>
          <w:spacing w:val="-24"/>
        </w:rPr>
        <w:t> </w:t>
      </w:r>
      <w:r>
        <w:rPr/>
        <w:t>descentralización recaudatoria factible, y c) la negociación de políticas progresivas de gasto cofinanciado. Para estos casos, la evaluación que ya se practica al interior de la Secretaría de Finanzas del Gobierno del Estado de Hidalgo debe ajustarse a la lógica subsidiaria. En su respectiva escala, la capacitación socio-técnica y socio-ética debe dirigirse también hacia la implementación de un esquema novedoso y atractivo que, como base del sistema estatal de coordinación fiscal, detone una coordinación estado-municipios que vaya construyendo un mayor desempeño municipal</w:t>
      </w:r>
      <w:r>
        <w:rPr>
          <w:spacing w:val="-2"/>
        </w:rPr>
        <w:t> </w:t>
      </w:r>
      <w:r>
        <w:rPr/>
        <w:t>asistido.</w:t>
      </w:r>
    </w:p>
    <w:p>
      <w:pPr>
        <w:pStyle w:val="BodyText"/>
        <w:spacing w:before="3"/>
        <w:rPr>
          <w:sz w:val="22"/>
        </w:rPr>
      </w:pPr>
    </w:p>
    <w:p>
      <w:pPr>
        <w:pStyle w:val="BodyText"/>
        <w:spacing w:line="256" w:lineRule="exact"/>
        <w:ind w:left="110" w:right="114"/>
        <w:jc w:val="both"/>
      </w:pPr>
      <w:r>
        <w:rPr/>
        <w:t>En</w:t>
      </w:r>
      <w:r>
        <w:rPr>
          <w:spacing w:val="-14"/>
        </w:rPr>
        <w:t> </w:t>
      </w:r>
      <w:r>
        <w:rPr/>
        <w:t>el</w:t>
      </w:r>
      <w:r>
        <w:rPr>
          <w:spacing w:val="-14"/>
        </w:rPr>
        <w:t> </w:t>
      </w:r>
      <w:r>
        <w:rPr/>
        <w:t>ámbito</w:t>
      </w:r>
      <w:r>
        <w:rPr>
          <w:spacing w:val="-14"/>
        </w:rPr>
        <w:t> </w:t>
      </w:r>
      <w:r>
        <w:rPr/>
        <w:t>del</w:t>
      </w:r>
      <w:r>
        <w:rPr>
          <w:spacing w:val="-14"/>
        </w:rPr>
        <w:t> </w:t>
      </w:r>
      <w:r>
        <w:rPr/>
        <w:t>desarrollo</w:t>
      </w:r>
      <w:r>
        <w:rPr>
          <w:spacing w:val="-14"/>
        </w:rPr>
        <w:t> </w:t>
      </w:r>
      <w:r>
        <w:rPr/>
        <w:t>potencial</w:t>
      </w:r>
      <w:r>
        <w:rPr>
          <w:spacing w:val="-14"/>
        </w:rPr>
        <w:t> </w:t>
      </w:r>
      <w:r>
        <w:rPr/>
        <w:t>de</w:t>
      </w:r>
      <w:r>
        <w:rPr>
          <w:spacing w:val="-14"/>
        </w:rPr>
        <w:t> </w:t>
      </w:r>
      <w:r>
        <w:rPr/>
        <w:t>políticas</w:t>
      </w:r>
      <w:r>
        <w:rPr>
          <w:spacing w:val="-14"/>
        </w:rPr>
        <w:t> </w:t>
      </w:r>
      <w:r>
        <w:rPr/>
        <w:t>públicas,</w:t>
      </w:r>
      <w:r>
        <w:rPr>
          <w:spacing w:val="-14"/>
        </w:rPr>
        <w:t> </w:t>
      </w:r>
      <w:r>
        <w:rPr/>
        <w:t>y</w:t>
      </w:r>
      <w:r>
        <w:rPr>
          <w:spacing w:val="-14"/>
        </w:rPr>
        <w:t> </w:t>
      </w:r>
      <w:r>
        <w:rPr/>
        <w:t>después</w:t>
      </w:r>
      <w:r>
        <w:rPr>
          <w:spacing w:val="-14"/>
        </w:rPr>
        <w:t> </w:t>
      </w:r>
      <w:r>
        <w:rPr/>
        <w:t>de</w:t>
      </w:r>
      <w:r>
        <w:rPr>
          <w:spacing w:val="-14"/>
        </w:rPr>
        <w:t> </w:t>
      </w:r>
      <w:r>
        <w:rPr/>
        <w:t>acotar los criterios políticos y burocráticos propios de la práctica administrativa hidalguense, se deberá privilegiar la formación socio-técnica y socio-ética  de los directivos estatales para que sean capaces de integrar las acciones federales,</w:t>
      </w:r>
      <w:r>
        <w:rPr>
          <w:spacing w:val="-16"/>
        </w:rPr>
        <w:t> </w:t>
      </w:r>
      <w:r>
        <w:rPr/>
        <w:t>municipales</w:t>
      </w:r>
      <w:r>
        <w:rPr>
          <w:spacing w:val="-17"/>
        </w:rPr>
        <w:t> </w:t>
      </w:r>
      <w:r>
        <w:rPr/>
        <w:t>y</w:t>
      </w:r>
      <w:r>
        <w:rPr>
          <w:spacing w:val="-16"/>
        </w:rPr>
        <w:t> </w:t>
      </w:r>
      <w:r>
        <w:rPr/>
        <w:t>privadas</w:t>
      </w:r>
      <w:r>
        <w:rPr>
          <w:spacing w:val="-16"/>
        </w:rPr>
        <w:t> </w:t>
      </w:r>
      <w:r>
        <w:rPr/>
        <w:t>en</w:t>
      </w:r>
      <w:r>
        <w:rPr>
          <w:spacing w:val="-16"/>
        </w:rPr>
        <w:t> </w:t>
      </w:r>
      <w:r>
        <w:rPr/>
        <w:t>los</w:t>
      </w:r>
      <w:r>
        <w:rPr>
          <w:spacing w:val="-16"/>
        </w:rPr>
        <w:t> </w:t>
      </w:r>
      <w:r>
        <w:rPr/>
        <w:t>comités</w:t>
      </w:r>
      <w:r>
        <w:rPr>
          <w:spacing w:val="-16"/>
        </w:rPr>
        <w:t> </w:t>
      </w:r>
      <w:r>
        <w:rPr/>
        <w:t>hidalguenses</w:t>
      </w:r>
      <w:r>
        <w:rPr>
          <w:spacing w:val="-16"/>
        </w:rPr>
        <w:t> </w:t>
      </w:r>
      <w:r>
        <w:rPr/>
        <w:t>de</w:t>
      </w:r>
      <w:r>
        <w:rPr>
          <w:spacing w:val="-16"/>
        </w:rPr>
        <w:t> </w:t>
      </w:r>
      <w:r>
        <w:rPr/>
        <w:t>coordinación estratégica. Un esfuerzo considerable debe aplicarse también en establecer  la evaluación como parte importante de la gestión estratégica, hoy en día inexistente, para su posterior orientación subsidiaria. Adicionalmente, el avance competencial estatal debe: a) en los proyectos de desarrollo regional, solventar serias carencias técnico-administrativas actualmente puntualizadas en los ámbitos de la planeación y de las obras en comunicaciones; b) en los programas de bienestar, pugnar por su evolución para transformarlos en políticas</w:t>
      </w:r>
      <w:r>
        <w:rPr>
          <w:spacing w:val="-21"/>
        </w:rPr>
        <w:t> </w:t>
      </w:r>
      <w:r>
        <w:rPr/>
        <w:t>públicas</w:t>
      </w:r>
      <w:r>
        <w:rPr>
          <w:spacing w:val="-21"/>
        </w:rPr>
        <w:t> </w:t>
      </w:r>
      <w:r>
        <w:rPr/>
        <w:t>equilibradas</w:t>
      </w:r>
      <w:r>
        <w:rPr>
          <w:spacing w:val="-21"/>
        </w:rPr>
        <w:t> </w:t>
      </w:r>
      <w:r>
        <w:rPr/>
        <w:t>y</w:t>
      </w:r>
      <w:r>
        <w:rPr>
          <w:spacing w:val="-21"/>
        </w:rPr>
        <w:t> </w:t>
      </w:r>
      <w:r>
        <w:rPr/>
        <w:t>especializadas;</w:t>
      </w:r>
      <w:r>
        <w:rPr>
          <w:spacing w:val="-22"/>
        </w:rPr>
        <w:t> </w:t>
      </w:r>
      <w:r>
        <w:rPr/>
        <w:t>y</w:t>
      </w:r>
      <w:r>
        <w:rPr>
          <w:spacing w:val="-21"/>
        </w:rPr>
        <w:t> </w:t>
      </w:r>
      <w:r>
        <w:rPr/>
        <w:t>c)</w:t>
      </w:r>
      <w:r>
        <w:rPr>
          <w:spacing w:val="-21"/>
        </w:rPr>
        <w:t> </w:t>
      </w:r>
      <w:r>
        <w:rPr/>
        <w:t>en</w:t>
      </w:r>
      <w:r>
        <w:rPr>
          <w:spacing w:val="-21"/>
        </w:rPr>
        <w:t> </w:t>
      </w:r>
      <w:r>
        <w:rPr/>
        <w:t>las</w:t>
      </w:r>
      <w:r>
        <w:rPr>
          <w:spacing w:val="-21"/>
        </w:rPr>
        <w:t> </w:t>
      </w:r>
      <w:r>
        <w:rPr/>
        <w:t>acciones</w:t>
      </w:r>
      <w:r>
        <w:rPr>
          <w:spacing w:val="-21"/>
        </w:rPr>
        <w:t> </w:t>
      </w:r>
      <w:r>
        <w:rPr/>
        <w:t>de</w:t>
      </w:r>
      <w:r>
        <w:rPr>
          <w:spacing w:val="-21"/>
        </w:rPr>
        <w:t> </w:t>
      </w:r>
      <w:r>
        <w:rPr/>
        <w:t>carácter habitacional, reivindicar la capacidad sectorial estatal sobre la construcción coordinada de vivienda</w:t>
      </w:r>
      <w:r>
        <w:rPr>
          <w:spacing w:val="-8"/>
        </w:rPr>
        <w:t> </w:t>
      </w:r>
      <w:r>
        <w:rPr/>
        <w:t>social.</w:t>
      </w:r>
    </w:p>
    <w:p>
      <w:pPr>
        <w:pStyle w:val="BodyText"/>
        <w:spacing w:before="11"/>
        <w:rPr>
          <w:sz w:val="21"/>
        </w:rPr>
      </w:pPr>
    </w:p>
    <w:p>
      <w:pPr>
        <w:pStyle w:val="BodyText"/>
        <w:spacing w:line="260" w:lineRule="exact"/>
        <w:ind w:left="110" w:right="115"/>
        <w:jc w:val="both"/>
      </w:pPr>
      <w:r>
        <w:rPr/>
        <w:t>En cuanto a la organización social, especiales procesos socio-éticos de formación ciudadana y de innovación administrativa, en paralelo a un  ajuste</w:t>
      </w:r>
    </w:p>
    <w:p>
      <w:pPr>
        <w:spacing w:after="0" w:line="260" w:lineRule="exact"/>
        <w:jc w:val="both"/>
        <w:sectPr>
          <w:pgSz w:w="9360" w:h="13040"/>
          <w:pgMar w:header="527" w:footer="515" w:top="720" w:bottom="700" w:left="740" w:right="1300"/>
        </w:sectPr>
      </w:pPr>
    </w:p>
    <w:p>
      <w:pPr>
        <w:pStyle w:val="BodyText"/>
        <w:spacing w:before="11"/>
        <w:rPr>
          <w:sz w:val="29"/>
        </w:rPr>
      </w:pPr>
    </w:p>
    <w:p>
      <w:pPr>
        <w:pStyle w:val="BodyText"/>
        <w:spacing w:line="260" w:lineRule="exact" w:before="77"/>
        <w:ind w:left="117" w:right="107"/>
        <w:jc w:val="both"/>
      </w:pPr>
      <w:r>
        <w:rPr/>
        <w:t>normativo y a la sensibilización de funcionarios públicos, deben propiciar que la interacción sociedad-gobierno construya órganos permanentes y efectivos de negociación cofinanciera y estratégica. Bajo esas condiciones, las capacidad asociativa lograda deben dirigirse hacia: a) la ponderación     de modelos graduales de obras comunitarias, b) la sistematización de las iniciativas</w:t>
      </w:r>
      <w:r>
        <w:rPr>
          <w:spacing w:val="-7"/>
        </w:rPr>
        <w:t> </w:t>
      </w:r>
      <w:r>
        <w:rPr/>
        <w:t>ciudadanas</w:t>
      </w:r>
      <w:r>
        <w:rPr>
          <w:spacing w:val="-6"/>
        </w:rPr>
        <w:t> </w:t>
      </w:r>
      <w:r>
        <w:rPr/>
        <w:t>estratégicas,</w:t>
      </w:r>
      <w:r>
        <w:rPr>
          <w:spacing w:val="-7"/>
        </w:rPr>
        <w:t> </w:t>
      </w:r>
      <w:r>
        <w:rPr/>
        <w:t>y</w:t>
      </w:r>
      <w:r>
        <w:rPr>
          <w:spacing w:val="-6"/>
        </w:rPr>
        <w:t> </w:t>
      </w:r>
      <w:r>
        <w:rPr/>
        <w:t>c)</w:t>
      </w:r>
      <w:r>
        <w:rPr>
          <w:spacing w:val="-6"/>
        </w:rPr>
        <w:t> </w:t>
      </w:r>
      <w:r>
        <w:rPr/>
        <w:t>en</w:t>
      </w:r>
      <w:r>
        <w:rPr>
          <w:spacing w:val="-6"/>
        </w:rPr>
        <w:t> </w:t>
      </w:r>
      <w:r>
        <w:rPr/>
        <w:t>cada</w:t>
      </w:r>
      <w:r>
        <w:rPr>
          <w:spacing w:val="-6"/>
        </w:rPr>
        <w:t> </w:t>
      </w:r>
      <w:r>
        <w:rPr/>
        <w:t>caso,</w:t>
      </w:r>
      <w:r>
        <w:rPr>
          <w:spacing w:val="-6"/>
        </w:rPr>
        <w:t> </w:t>
      </w:r>
      <w:r>
        <w:rPr/>
        <w:t>la</w:t>
      </w:r>
      <w:r>
        <w:rPr>
          <w:spacing w:val="-6"/>
        </w:rPr>
        <w:t> </w:t>
      </w:r>
      <w:r>
        <w:rPr/>
        <w:t>reorientación</w:t>
      </w:r>
      <w:r>
        <w:rPr>
          <w:spacing w:val="-6"/>
        </w:rPr>
        <w:t> </w:t>
      </w:r>
      <w:r>
        <w:rPr/>
        <w:t>o</w:t>
      </w:r>
      <w:r>
        <w:rPr>
          <w:spacing w:val="-6"/>
        </w:rPr>
        <w:t> </w:t>
      </w:r>
      <w:r>
        <w:rPr/>
        <w:t>inicio de la evaluación</w:t>
      </w:r>
      <w:r>
        <w:rPr>
          <w:spacing w:val="-13"/>
        </w:rPr>
        <w:t> </w:t>
      </w:r>
      <w:r>
        <w:rPr/>
        <w:t>subsidiaria.</w:t>
      </w:r>
    </w:p>
    <w:p>
      <w:pPr>
        <w:spacing w:after="0" w:line="260" w:lineRule="exact"/>
        <w:jc w:val="both"/>
        <w:sectPr>
          <w:pgSz w:w="9360" w:h="13040"/>
          <w:pgMar w:header="547" w:footer="515" w:top="940" w:bottom="700" w:left="1300" w:right="740"/>
        </w:sectPr>
      </w:pPr>
    </w:p>
    <w:p>
      <w:pPr>
        <w:pStyle w:val="BodyText"/>
        <w:spacing w:before="4"/>
        <w:rPr>
          <w:sz w:val="17"/>
        </w:rPr>
      </w:pPr>
    </w:p>
    <w:p>
      <w:pPr>
        <w:spacing w:after="0"/>
        <w:rPr>
          <w:sz w:val="17"/>
        </w:rPr>
        <w:sectPr>
          <w:headerReference w:type="default" r:id="rId278"/>
          <w:footerReference w:type="default" r:id="rId279"/>
          <w:pgSz w:w="9360" w:h="13040"/>
          <w:pgMar w:header="0" w:footer="0" w:top="1200" w:bottom="280" w:left="1300" w:right="1300"/>
        </w:sectPr>
      </w:pPr>
    </w:p>
    <w:p>
      <w:pPr>
        <w:pStyle w:val="Heading2"/>
        <w:ind w:left="738"/>
      </w:pPr>
      <w:bookmarkStart w:name="_TOC_250000" w:id="43"/>
      <w:bookmarkEnd w:id="43"/>
      <w:r>
        <w:rPr/>
        <w:t>Fuentes de Consulta.</w:t>
      </w:r>
    </w:p>
    <w:p>
      <w:pPr>
        <w:pStyle w:val="BodyText"/>
        <w:rPr>
          <w:b/>
          <w:sz w:val="24"/>
        </w:rPr>
      </w:pPr>
    </w:p>
    <w:p>
      <w:pPr>
        <w:pStyle w:val="BodyText"/>
        <w:spacing w:before="2"/>
        <w:rPr>
          <w:b/>
          <w:sz w:val="21"/>
        </w:rPr>
      </w:pPr>
    </w:p>
    <w:p>
      <w:pPr>
        <w:pStyle w:val="BodyText"/>
        <w:spacing w:line="260" w:lineRule="exact"/>
        <w:ind w:left="684" w:right="108" w:hanging="567"/>
        <w:jc w:val="both"/>
      </w:pPr>
      <w:r>
        <w:rPr/>
        <w:t>Cámara</w:t>
      </w:r>
      <w:r>
        <w:rPr>
          <w:spacing w:val="-17"/>
        </w:rPr>
        <w:t> </w:t>
      </w:r>
      <w:r>
        <w:rPr/>
        <w:t>de</w:t>
      </w:r>
      <w:r>
        <w:rPr>
          <w:spacing w:val="-17"/>
        </w:rPr>
        <w:t> </w:t>
      </w:r>
      <w:r>
        <w:rPr/>
        <w:t>Diputados</w:t>
      </w:r>
      <w:r>
        <w:rPr>
          <w:spacing w:val="-16"/>
        </w:rPr>
        <w:t> </w:t>
      </w:r>
      <w:r>
        <w:rPr/>
        <w:t>del</w:t>
      </w:r>
      <w:r>
        <w:rPr>
          <w:spacing w:val="-17"/>
        </w:rPr>
        <w:t> </w:t>
      </w:r>
      <w:r>
        <w:rPr/>
        <w:t>H.</w:t>
      </w:r>
      <w:r>
        <w:rPr>
          <w:spacing w:val="-17"/>
        </w:rPr>
        <w:t> </w:t>
      </w:r>
      <w:r>
        <w:rPr/>
        <w:t>Congreso</w:t>
      </w:r>
      <w:r>
        <w:rPr>
          <w:spacing w:val="-17"/>
        </w:rPr>
        <w:t> </w:t>
      </w:r>
      <w:r>
        <w:rPr/>
        <w:t>de</w:t>
      </w:r>
      <w:r>
        <w:rPr>
          <w:spacing w:val="-17"/>
        </w:rPr>
        <w:t> </w:t>
      </w:r>
      <w:r>
        <w:rPr/>
        <w:t>la</w:t>
      </w:r>
      <w:r>
        <w:rPr>
          <w:spacing w:val="-17"/>
        </w:rPr>
        <w:t> </w:t>
      </w:r>
      <w:r>
        <w:rPr/>
        <w:t>Unión,</w:t>
      </w:r>
      <w:r>
        <w:rPr>
          <w:spacing w:val="-16"/>
        </w:rPr>
        <w:t> </w:t>
      </w:r>
      <w:r>
        <w:rPr>
          <w:i/>
        </w:rPr>
        <w:t>Ley</w:t>
      </w:r>
      <w:r>
        <w:rPr>
          <w:i/>
          <w:spacing w:val="-17"/>
        </w:rPr>
        <w:t> </w:t>
      </w:r>
      <w:r>
        <w:rPr>
          <w:i/>
        </w:rPr>
        <w:t>de</w:t>
      </w:r>
      <w:r>
        <w:rPr>
          <w:i/>
          <w:spacing w:val="-21"/>
        </w:rPr>
        <w:t> </w:t>
      </w:r>
      <w:r>
        <w:rPr>
          <w:i/>
        </w:rPr>
        <w:t>Asistencia</w:t>
      </w:r>
      <w:r>
        <w:rPr>
          <w:i/>
          <w:spacing w:val="-17"/>
        </w:rPr>
        <w:t> </w:t>
      </w:r>
      <w:r>
        <w:rPr>
          <w:i/>
        </w:rPr>
        <w:t>Privada</w:t>
      </w:r>
      <w:r>
        <w:rPr/>
        <w:t>, México, 2 de septiembre de 2004, texto recuperado el 10 de agosto de </w:t>
      </w:r>
      <w:hyperlink r:id="rId283">
        <w:r>
          <w:rPr/>
          <w:t>2012 de</w:t>
        </w:r>
        <w:r>
          <w:rPr>
            <w:spacing w:val="-16"/>
          </w:rPr>
          <w:t> </w:t>
        </w:r>
        <w:r>
          <w:rPr/>
          <w:t>http://www.diputados.gob.mx/LeyesBiblio/pdf/270.pdf.</w:t>
        </w:r>
      </w:hyperlink>
    </w:p>
    <w:p>
      <w:pPr>
        <w:pStyle w:val="BodyText"/>
        <w:spacing w:line="260" w:lineRule="exact"/>
        <w:ind w:left="684" w:right="104" w:hanging="567"/>
        <w:jc w:val="both"/>
      </w:pPr>
      <w:r>
        <w:rPr>
          <w:spacing w:val="2"/>
        </w:rPr>
        <w:t>Cámara </w:t>
      </w:r>
      <w:r>
        <w:rPr/>
        <w:t>de </w:t>
      </w:r>
      <w:r>
        <w:rPr>
          <w:spacing w:val="2"/>
        </w:rPr>
        <w:t>Diputados </w:t>
      </w:r>
      <w:r>
        <w:rPr/>
        <w:t>del H. </w:t>
      </w:r>
      <w:r>
        <w:rPr>
          <w:spacing w:val="2"/>
        </w:rPr>
        <w:t>Congreso </w:t>
      </w:r>
      <w:r>
        <w:rPr/>
        <w:t>de la </w:t>
      </w:r>
      <w:r>
        <w:rPr>
          <w:spacing w:val="2"/>
        </w:rPr>
        <w:t>Unión, </w:t>
      </w:r>
      <w:r>
        <w:rPr>
          <w:i/>
        </w:rPr>
        <w:t>Ley de </w:t>
      </w:r>
      <w:r>
        <w:rPr>
          <w:i/>
          <w:spacing w:val="2"/>
        </w:rPr>
        <w:t>Coordinación </w:t>
      </w:r>
      <w:r>
        <w:rPr>
          <w:i/>
          <w:spacing w:val="2"/>
        </w:rPr>
        <w:t>Fiscal, </w:t>
      </w:r>
      <w:r>
        <w:rPr>
          <w:spacing w:val="2"/>
        </w:rPr>
        <w:t>México, </w:t>
      </w:r>
      <w:r>
        <w:rPr/>
        <w:t>27 de  </w:t>
      </w:r>
      <w:r>
        <w:rPr>
          <w:spacing w:val="2"/>
        </w:rPr>
        <w:t>diciembre </w:t>
      </w:r>
      <w:r>
        <w:rPr/>
        <w:t>de  </w:t>
      </w:r>
      <w:r>
        <w:rPr>
          <w:spacing w:val="2"/>
        </w:rPr>
        <w:t>1978, texto recuperado </w:t>
      </w:r>
      <w:r>
        <w:rPr/>
        <w:t>el  </w:t>
      </w:r>
      <w:r>
        <w:rPr>
          <w:spacing w:val="3"/>
        </w:rPr>
        <w:t>10</w:t>
      </w:r>
      <w:r>
        <w:rPr>
          <w:spacing w:val="63"/>
        </w:rPr>
        <w:t> </w:t>
      </w:r>
      <w:r>
        <w:rPr/>
        <w:t>de </w:t>
      </w:r>
      <w:r>
        <w:rPr>
          <w:spacing w:val="2"/>
        </w:rPr>
        <w:t>agosto </w:t>
      </w:r>
      <w:r>
        <w:rPr/>
        <w:t>de </w:t>
      </w:r>
      <w:r>
        <w:rPr>
          <w:spacing w:val="2"/>
        </w:rPr>
        <w:t>2012 </w:t>
      </w:r>
      <w:r>
        <w:rPr/>
        <w:t>de </w:t>
      </w:r>
      <w:hyperlink r:id="rId284">
        <w:r>
          <w:rPr>
            <w:spacing w:val="2"/>
          </w:rPr>
          <w:t>http://www.diputados.gob.mx/LeyesBiblio/</w:t>
        </w:r>
      </w:hyperlink>
      <w:r>
        <w:rPr>
          <w:spacing w:val="2"/>
        </w:rPr>
        <w:t> pdf/31.pdf.</w:t>
      </w:r>
    </w:p>
    <w:p>
      <w:pPr>
        <w:pStyle w:val="BodyText"/>
        <w:spacing w:line="260" w:lineRule="exact"/>
        <w:ind w:left="684" w:right="107" w:hanging="567"/>
        <w:jc w:val="both"/>
      </w:pPr>
      <w:r>
        <w:rPr/>
        <w:t>Cámara</w:t>
      </w:r>
      <w:r>
        <w:rPr>
          <w:spacing w:val="-21"/>
        </w:rPr>
        <w:t> </w:t>
      </w:r>
      <w:r>
        <w:rPr/>
        <w:t>de</w:t>
      </w:r>
      <w:r>
        <w:rPr>
          <w:spacing w:val="-21"/>
        </w:rPr>
        <w:t> </w:t>
      </w:r>
      <w:r>
        <w:rPr/>
        <w:t>Diputados</w:t>
      </w:r>
      <w:r>
        <w:rPr>
          <w:spacing w:val="-21"/>
        </w:rPr>
        <w:t> </w:t>
      </w:r>
      <w:r>
        <w:rPr/>
        <w:t>del</w:t>
      </w:r>
      <w:r>
        <w:rPr>
          <w:spacing w:val="-21"/>
        </w:rPr>
        <w:t> </w:t>
      </w:r>
      <w:r>
        <w:rPr/>
        <w:t>H.</w:t>
      </w:r>
      <w:r>
        <w:rPr>
          <w:spacing w:val="-21"/>
        </w:rPr>
        <w:t> </w:t>
      </w:r>
      <w:r>
        <w:rPr/>
        <w:t>Congreso</w:t>
      </w:r>
      <w:r>
        <w:rPr>
          <w:spacing w:val="-21"/>
        </w:rPr>
        <w:t> </w:t>
      </w:r>
      <w:r>
        <w:rPr/>
        <w:t>de</w:t>
      </w:r>
      <w:r>
        <w:rPr>
          <w:spacing w:val="-21"/>
        </w:rPr>
        <w:t> </w:t>
      </w:r>
      <w:r>
        <w:rPr/>
        <w:t>la</w:t>
      </w:r>
      <w:r>
        <w:rPr>
          <w:spacing w:val="-22"/>
        </w:rPr>
        <w:t> </w:t>
      </w:r>
      <w:r>
        <w:rPr/>
        <w:t>Unión,</w:t>
      </w:r>
      <w:r>
        <w:rPr>
          <w:spacing w:val="-21"/>
        </w:rPr>
        <w:t> </w:t>
      </w:r>
      <w:r>
        <w:rPr>
          <w:i/>
        </w:rPr>
        <w:t>Ley</w:t>
      </w:r>
      <w:r>
        <w:rPr>
          <w:i/>
          <w:spacing w:val="-21"/>
        </w:rPr>
        <w:t> </w:t>
      </w:r>
      <w:r>
        <w:rPr>
          <w:i/>
        </w:rPr>
        <w:t>General</w:t>
      </w:r>
      <w:r>
        <w:rPr>
          <w:i/>
          <w:spacing w:val="-21"/>
        </w:rPr>
        <w:t> </w:t>
      </w:r>
      <w:r>
        <w:rPr>
          <w:i/>
        </w:rPr>
        <w:t>de</w:t>
      </w:r>
      <w:r>
        <w:rPr>
          <w:i/>
          <w:spacing w:val="-21"/>
        </w:rPr>
        <w:t> </w:t>
      </w:r>
      <w:r>
        <w:rPr>
          <w:i/>
        </w:rPr>
        <w:t>Educación, </w:t>
      </w:r>
      <w:r>
        <w:rPr/>
        <w:t>México, 13 de julio de 1993, texto recuperado el 10 de agosto de 2012 </w:t>
      </w:r>
      <w:hyperlink r:id="rId285">
        <w:r>
          <w:rPr/>
          <w:t>de</w:t>
        </w:r>
        <w:r>
          <w:rPr>
            <w:spacing w:val="-16"/>
          </w:rPr>
          <w:t> </w:t>
        </w:r>
        <w:r>
          <w:rPr/>
          <w:t>http://www.diputados.gob.mx/LeyesBiblio/pdf/137.pdf.</w:t>
        </w:r>
      </w:hyperlink>
    </w:p>
    <w:p>
      <w:pPr>
        <w:pStyle w:val="BodyText"/>
        <w:spacing w:line="260" w:lineRule="exact"/>
        <w:ind w:left="684" w:right="108" w:hanging="567"/>
        <w:jc w:val="both"/>
      </w:pPr>
      <w:r>
        <w:rPr/>
        <w:t>Cámara de Diputados del H. Congreso de la Unión, </w:t>
      </w:r>
      <w:r>
        <w:rPr>
          <w:i/>
        </w:rPr>
        <w:t>Ley General de Salud, </w:t>
      </w:r>
      <w:r>
        <w:rPr/>
        <w:t>México,</w:t>
      </w:r>
      <w:r>
        <w:rPr>
          <w:spacing w:val="-8"/>
        </w:rPr>
        <w:t> </w:t>
      </w:r>
      <w:r>
        <w:rPr/>
        <w:t>7</w:t>
      </w:r>
      <w:r>
        <w:rPr>
          <w:spacing w:val="-8"/>
        </w:rPr>
        <w:t> </w:t>
      </w:r>
      <w:r>
        <w:rPr/>
        <w:t>de</w:t>
      </w:r>
      <w:r>
        <w:rPr>
          <w:spacing w:val="-8"/>
        </w:rPr>
        <w:t> </w:t>
      </w:r>
      <w:r>
        <w:rPr/>
        <w:t>febrero</w:t>
      </w:r>
      <w:r>
        <w:rPr>
          <w:spacing w:val="-9"/>
        </w:rPr>
        <w:t> </w:t>
      </w:r>
      <w:r>
        <w:rPr/>
        <w:t>de</w:t>
      </w:r>
      <w:r>
        <w:rPr>
          <w:spacing w:val="-9"/>
        </w:rPr>
        <w:t> </w:t>
      </w:r>
      <w:r>
        <w:rPr/>
        <w:t>1984,</w:t>
      </w:r>
      <w:r>
        <w:rPr>
          <w:spacing w:val="-8"/>
        </w:rPr>
        <w:t> </w:t>
      </w:r>
      <w:r>
        <w:rPr/>
        <w:t>texto</w:t>
      </w:r>
      <w:r>
        <w:rPr>
          <w:spacing w:val="-9"/>
        </w:rPr>
        <w:t> </w:t>
      </w:r>
      <w:r>
        <w:rPr/>
        <w:t>recuperado</w:t>
      </w:r>
      <w:r>
        <w:rPr>
          <w:spacing w:val="-8"/>
        </w:rPr>
        <w:t> </w:t>
      </w:r>
      <w:r>
        <w:rPr/>
        <w:t>el</w:t>
      </w:r>
      <w:r>
        <w:rPr>
          <w:spacing w:val="-9"/>
        </w:rPr>
        <w:t> </w:t>
      </w:r>
      <w:r>
        <w:rPr/>
        <w:t>10</w:t>
      </w:r>
      <w:r>
        <w:rPr>
          <w:spacing w:val="-8"/>
        </w:rPr>
        <w:t> </w:t>
      </w:r>
      <w:r>
        <w:rPr/>
        <w:t>de</w:t>
      </w:r>
      <w:r>
        <w:rPr>
          <w:spacing w:val="-9"/>
        </w:rPr>
        <w:t> </w:t>
      </w:r>
      <w:r>
        <w:rPr/>
        <w:t>agosto</w:t>
      </w:r>
      <w:r>
        <w:rPr>
          <w:spacing w:val="-9"/>
        </w:rPr>
        <w:t> </w:t>
      </w:r>
      <w:r>
        <w:rPr/>
        <w:t>de</w:t>
      </w:r>
      <w:r>
        <w:rPr>
          <w:spacing w:val="-9"/>
        </w:rPr>
        <w:t> </w:t>
      </w:r>
      <w:r>
        <w:rPr/>
        <w:t>2012 </w:t>
      </w:r>
      <w:hyperlink r:id="rId286">
        <w:r>
          <w:rPr/>
          <w:t>de</w:t>
        </w:r>
        <w:r>
          <w:rPr>
            <w:spacing w:val="-16"/>
          </w:rPr>
          <w:t> </w:t>
        </w:r>
        <w:r>
          <w:rPr/>
          <w:t>http://www.diputados.gob.mx/LeyesBiblio/pdf/142.pdf.</w:t>
        </w:r>
      </w:hyperlink>
    </w:p>
    <w:p>
      <w:pPr>
        <w:pStyle w:val="BodyText"/>
        <w:spacing w:line="260" w:lineRule="exact"/>
        <w:ind w:left="684" w:right="107" w:hanging="567"/>
        <w:jc w:val="both"/>
      </w:pPr>
      <w:r>
        <w:rPr/>
        <w:t>Cámara de Diputados del H. Congreso de la Unión, </w:t>
      </w:r>
      <w:r>
        <w:rPr>
          <w:i/>
        </w:rPr>
        <w:t>Ley de Planeación, </w:t>
      </w:r>
      <w:r>
        <w:rPr/>
        <w:t>México, 5 de enero de 1983, texto recuperado el 10 de agosto de 2012 </w:t>
      </w:r>
      <w:hyperlink r:id="rId287">
        <w:r>
          <w:rPr/>
          <w:t>de http://www.diputados.gob.mx/LeyesBiblio/pdf/59.pdf.</w:t>
        </w:r>
      </w:hyperlink>
    </w:p>
    <w:p>
      <w:pPr>
        <w:spacing w:line="260" w:lineRule="exact" w:before="0"/>
        <w:ind w:left="684" w:right="108" w:hanging="567"/>
        <w:jc w:val="both"/>
        <w:rPr>
          <w:sz w:val="23"/>
        </w:rPr>
      </w:pPr>
      <w:r>
        <w:rPr>
          <w:sz w:val="23"/>
        </w:rPr>
        <w:t>Castillo,</w:t>
      </w:r>
      <w:r>
        <w:rPr>
          <w:spacing w:val="-12"/>
          <w:sz w:val="23"/>
        </w:rPr>
        <w:t> </w:t>
      </w:r>
      <w:r>
        <w:rPr>
          <w:sz w:val="23"/>
        </w:rPr>
        <w:t>Edith,</w:t>
      </w:r>
      <w:r>
        <w:rPr>
          <w:spacing w:val="-12"/>
          <w:sz w:val="23"/>
        </w:rPr>
        <w:t> </w:t>
      </w:r>
      <w:r>
        <w:rPr>
          <w:i/>
          <w:sz w:val="23"/>
        </w:rPr>
        <w:t>Este</w:t>
      </w:r>
      <w:r>
        <w:rPr>
          <w:i/>
          <w:spacing w:val="-12"/>
          <w:sz w:val="23"/>
        </w:rPr>
        <w:t> </w:t>
      </w:r>
      <w:r>
        <w:rPr>
          <w:i/>
          <w:sz w:val="23"/>
        </w:rPr>
        <w:t>mes</w:t>
      </w:r>
      <w:r>
        <w:rPr>
          <w:i/>
          <w:spacing w:val="-12"/>
          <w:sz w:val="23"/>
        </w:rPr>
        <w:t> </w:t>
      </w:r>
      <w:r>
        <w:rPr>
          <w:i/>
          <w:sz w:val="23"/>
        </w:rPr>
        <w:t>comenzará</w:t>
      </w:r>
      <w:r>
        <w:rPr>
          <w:i/>
          <w:spacing w:val="-13"/>
          <w:sz w:val="23"/>
        </w:rPr>
        <w:t> </w:t>
      </w:r>
      <w:r>
        <w:rPr>
          <w:i/>
          <w:sz w:val="23"/>
        </w:rPr>
        <w:t>a</w:t>
      </w:r>
      <w:r>
        <w:rPr>
          <w:i/>
          <w:spacing w:val="-12"/>
          <w:sz w:val="23"/>
        </w:rPr>
        <w:t> </w:t>
      </w:r>
      <w:r>
        <w:rPr>
          <w:i/>
          <w:sz w:val="23"/>
        </w:rPr>
        <w:t>operar</w:t>
      </w:r>
      <w:r>
        <w:rPr>
          <w:i/>
          <w:spacing w:val="-12"/>
          <w:sz w:val="23"/>
        </w:rPr>
        <w:t> </w:t>
      </w:r>
      <w:r>
        <w:rPr>
          <w:i/>
          <w:sz w:val="23"/>
        </w:rPr>
        <w:t>el</w:t>
      </w:r>
      <w:r>
        <w:rPr>
          <w:i/>
          <w:spacing w:val="-12"/>
          <w:sz w:val="23"/>
        </w:rPr>
        <w:t> </w:t>
      </w:r>
      <w:r>
        <w:rPr>
          <w:i/>
          <w:sz w:val="23"/>
        </w:rPr>
        <w:t>Puerto</w:t>
      </w:r>
      <w:r>
        <w:rPr>
          <w:i/>
          <w:spacing w:val="-12"/>
          <w:sz w:val="23"/>
        </w:rPr>
        <w:t> </w:t>
      </w:r>
      <w:r>
        <w:rPr>
          <w:i/>
          <w:sz w:val="23"/>
        </w:rPr>
        <w:t>Seco</w:t>
      </w:r>
      <w:r>
        <w:rPr>
          <w:i/>
          <w:spacing w:val="-12"/>
          <w:sz w:val="23"/>
        </w:rPr>
        <w:t> </w:t>
      </w:r>
      <w:r>
        <w:rPr>
          <w:i/>
          <w:sz w:val="23"/>
        </w:rPr>
        <w:t>en</w:t>
      </w:r>
      <w:r>
        <w:rPr>
          <w:i/>
          <w:spacing w:val="-12"/>
          <w:sz w:val="23"/>
        </w:rPr>
        <w:t> </w:t>
      </w:r>
      <w:r>
        <w:rPr>
          <w:i/>
          <w:spacing w:val="-4"/>
          <w:sz w:val="23"/>
        </w:rPr>
        <w:t>Tepeji</w:t>
      </w:r>
      <w:r>
        <w:rPr>
          <w:i/>
          <w:spacing w:val="-12"/>
          <w:sz w:val="23"/>
        </w:rPr>
        <w:t> </w:t>
      </w:r>
      <w:r>
        <w:rPr>
          <w:i/>
          <w:sz w:val="23"/>
        </w:rPr>
        <w:t>del</w:t>
      </w:r>
      <w:r>
        <w:rPr>
          <w:i/>
          <w:spacing w:val="-12"/>
          <w:sz w:val="23"/>
        </w:rPr>
        <w:t> </w:t>
      </w:r>
      <w:r>
        <w:rPr>
          <w:i/>
          <w:sz w:val="23"/>
        </w:rPr>
        <w:t>Río</w:t>
      </w:r>
      <w:r>
        <w:rPr>
          <w:sz w:val="23"/>
        </w:rPr>
        <w:t>. En Milenio, 3 de febrero de 2012, </w:t>
      </w:r>
      <w:hyperlink r:id="rId288">
        <w:r>
          <w:rPr>
            <w:sz w:val="23"/>
          </w:rPr>
          <w:t>http://hidalgo.milenio.com/cdb/doc/</w:t>
        </w:r>
      </w:hyperlink>
      <w:r>
        <w:rPr>
          <w:sz w:val="23"/>
        </w:rPr>
        <w:t> noticias2011/be7341d7057366fefd84c4f28fec06fd</w:t>
      </w:r>
    </w:p>
    <w:p>
      <w:pPr>
        <w:pStyle w:val="BodyText"/>
        <w:spacing w:line="260" w:lineRule="exact"/>
        <w:ind w:left="684" w:right="108" w:hanging="567"/>
        <w:jc w:val="both"/>
      </w:pPr>
      <w:r>
        <w:rPr/>
        <w:t>Construcciones y Auxiliar de Ferrocarriles S. A. (CAF), </w:t>
      </w:r>
      <w:r>
        <w:rPr>
          <w:i/>
        </w:rPr>
        <w:t>Compañía, </w:t>
      </w:r>
      <w:r>
        <w:rPr/>
        <w:t>información publicada en</w:t>
      </w:r>
      <w:r>
        <w:rPr>
          <w:spacing w:val="-42"/>
        </w:rPr>
        <w:t> </w:t>
      </w:r>
      <w:hyperlink r:id="rId175">
        <w:r>
          <w:rPr/>
          <w:t>http://www.caf.es/caste/compania/index.php,</w:t>
        </w:r>
      </w:hyperlink>
      <w:r>
        <w:rPr/>
        <w:t> consulta realizada el 10 de julio del</w:t>
      </w:r>
      <w:r>
        <w:rPr>
          <w:spacing w:val="-12"/>
        </w:rPr>
        <w:t> </w:t>
      </w:r>
      <w:r>
        <w:rPr/>
        <w:t>2011.</w:t>
      </w:r>
    </w:p>
    <w:p>
      <w:pPr>
        <w:spacing w:line="260" w:lineRule="exact" w:before="0"/>
        <w:ind w:left="684" w:right="107" w:hanging="567"/>
        <w:jc w:val="both"/>
        <w:rPr>
          <w:sz w:val="23"/>
        </w:rPr>
      </w:pPr>
      <w:r>
        <w:rPr>
          <w:sz w:val="23"/>
        </w:rPr>
        <w:t>Covarrubias, Oscar M., </w:t>
      </w:r>
      <w:r>
        <w:rPr>
          <w:i/>
          <w:sz w:val="23"/>
        </w:rPr>
        <w:t>Transversalidad y coordinación de las políticas de </w:t>
      </w:r>
      <w:r>
        <w:rPr>
          <w:i/>
          <w:sz w:val="23"/>
        </w:rPr>
        <w:t>Estado</w:t>
      </w:r>
      <w:r>
        <w:rPr>
          <w:i/>
          <w:spacing w:val="-13"/>
          <w:sz w:val="23"/>
        </w:rPr>
        <w:t> </w:t>
      </w:r>
      <w:r>
        <w:rPr>
          <w:i/>
          <w:sz w:val="23"/>
        </w:rPr>
        <w:t>en</w:t>
      </w:r>
      <w:r>
        <w:rPr>
          <w:i/>
          <w:spacing w:val="-13"/>
          <w:sz w:val="23"/>
        </w:rPr>
        <w:t> </w:t>
      </w:r>
      <w:r>
        <w:rPr>
          <w:i/>
          <w:sz w:val="23"/>
        </w:rPr>
        <w:t>el</w:t>
      </w:r>
      <w:r>
        <w:rPr>
          <w:i/>
          <w:spacing w:val="-13"/>
          <w:sz w:val="23"/>
        </w:rPr>
        <w:t> </w:t>
      </w:r>
      <w:r>
        <w:rPr>
          <w:i/>
          <w:sz w:val="23"/>
        </w:rPr>
        <w:t>federalismo</w:t>
      </w:r>
      <w:r>
        <w:rPr>
          <w:sz w:val="23"/>
        </w:rPr>
        <w:t>,</w:t>
      </w:r>
      <w:r>
        <w:rPr>
          <w:spacing w:val="-13"/>
          <w:sz w:val="23"/>
        </w:rPr>
        <w:t> </w:t>
      </w:r>
      <w:r>
        <w:rPr>
          <w:sz w:val="23"/>
        </w:rPr>
        <w:t>Caracas</w:t>
      </w:r>
      <w:r>
        <w:rPr>
          <w:spacing w:val="-17"/>
          <w:sz w:val="23"/>
        </w:rPr>
        <w:t> </w:t>
      </w:r>
      <w:r>
        <w:rPr>
          <w:spacing w:val="-3"/>
          <w:sz w:val="23"/>
        </w:rPr>
        <w:t>Venezuela,</w:t>
      </w:r>
      <w:r>
        <w:rPr>
          <w:spacing w:val="-13"/>
          <w:sz w:val="23"/>
        </w:rPr>
        <w:t> </w:t>
      </w:r>
      <w:r>
        <w:rPr>
          <w:sz w:val="23"/>
        </w:rPr>
        <w:t>Consejo</w:t>
      </w:r>
      <w:r>
        <w:rPr>
          <w:spacing w:val="-13"/>
          <w:sz w:val="23"/>
        </w:rPr>
        <w:t> </w:t>
      </w:r>
      <w:r>
        <w:rPr>
          <w:sz w:val="23"/>
        </w:rPr>
        <w:t>Latinoamericano de Administración para el Desarrollo (CLAD),</w:t>
      </w:r>
      <w:r>
        <w:rPr>
          <w:spacing w:val="-35"/>
          <w:sz w:val="23"/>
        </w:rPr>
        <w:t> </w:t>
      </w:r>
      <w:r>
        <w:rPr>
          <w:sz w:val="23"/>
        </w:rPr>
        <w:t>2007.</w:t>
      </w:r>
    </w:p>
    <w:p>
      <w:pPr>
        <w:spacing w:line="260" w:lineRule="exact" w:before="0"/>
        <w:ind w:left="684" w:right="108" w:hanging="567"/>
        <w:jc w:val="both"/>
        <w:rPr>
          <w:sz w:val="23"/>
        </w:rPr>
      </w:pPr>
      <w:r>
        <w:rPr>
          <w:sz w:val="23"/>
        </w:rPr>
        <w:t>Mendoza Ruiz, Joel, </w:t>
      </w:r>
      <w:r>
        <w:rPr>
          <w:i/>
          <w:sz w:val="23"/>
        </w:rPr>
        <w:t>El principio de subsidiariedad en la evaluación del </w:t>
      </w:r>
      <w:r>
        <w:rPr>
          <w:i/>
          <w:sz w:val="23"/>
        </w:rPr>
        <w:t>federalismo</w:t>
      </w:r>
      <w:r>
        <w:rPr>
          <w:i/>
          <w:spacing w:val="-11"/>
          <w:sz w:val="23"/>
        </w:rPr>
        <w:t> </w:t>
      </w:r>
      <w:r>
        <w:rPr>
          <w:i/>
          <w:sz w:val="23"/>
        </w:rPr>
        <w:t>mexicano</w:t>
      </w:r>
      <w:r>
        <w:rPr>
          <w:sz w:val="23"/>
        </w:rPr>
        <w:t>,</w:t>
      </w:r>
      <w:r>
        <w:rPr>
          <w:spacing w:val="-10"/>
          <w:sz w:val="23"/>
        </w:rPr>
        <w:t> </w:t>
      </w:r>
      <w:r>
        <w:rPr>
          <w:sz w:val="23"/>
        </w:rPr>
        <w:t>México,</w:t>
      </w:r>
      <w:r>
        <w:rPr>
          <w:spacing w:val="-10"/>
          <w:sz w:val="23"/>
        </w:rPr>
        <w:t> </w:t>
      </w:r>
      <w:r>
        <w:rPr>
          <w:sz w:val="23"/>
        </w:rPr>
        <w:t>Instituto</w:t>
      </w:r>
      <w:r>
        <w:rPr>
          <w:spacing w:val="-10"/>
          <w:sz w:val="23"/>
        </w:rPr>
        <w:t> </w:t>
      </w:r>
      <w:r>
        <w:rPr>
          <w:sz w:val="23"/>
        </w:rPr>
        <w:t>de</w:t>
      </w:r>
      <w:r>
        <w:rPr>
          <w:spacing w:val="-22"/>
          <w:sz w:val="23"/>
        </w:rPr>
        <w:t> </w:t>
      </w:r>
      <w:r>
        <w:rPr>
          <w:sz w:val="23"/>
        </w:rPr>
        <w:t>Administración</w:t>
      </w:r>
      <w:r>
        <w:rPr>
          <w:spacing w:val="-10"/>
          <w:sz w:val="23"/>
        </w:rPr>
        <w:t> </w:t>
      </w:r>
      <w:r>
        <w:rPr>
          <w:sz w:val="23"/>
        </w:rPr>
        <w:t>Pública</w:t>
      </w:r>
      <w:r>
        <w:rPr>
          <w:spacing w:val="-10"/>
          <w:sz w:val="23"/>
        </w:rPr>
        <w:t> </w:t>
      </w:r>
      <w:r>
        <w:rPr>
          <w:sz w:val="23"/>
        </w:rPr>
        <w:t>del Estado de México A. C. (IAPEM),</w:t>
      </w:r>
      <w:r>
        <w:rPr>
          <w:spacing w:val="-21"/>
          <w:sz w:val="23"/>
        </w:rPr>
        <w:t> </w:t>
      </w:r>
      <w:r>
        <w:rPr>
          <w:sz w:val="23"/>
        </w:rPr>
        <w:t>2010.</w:t>
      </w:r>
    </w:p>
    <w:p>
      <w:pPr>
        <w:spacing w:line="260" w:lineRule="exact" w:before="0"/>
        <w:ind w:left="684" w:right="108" w:hanging="567"/>
        <w:jc w:val="both"/>
        <w:rPr>
          <w:i/>
          <w:sz w:val="23"/>
        </w:rPr>
      </w:pPr>
      <w:r>
        <w:rPr>
          <w:sz w:val="23"/>
        </w:rPr>
        <w:t>García Sotelo, Luis, </w:t>
      </w:r>
      <w:r>
        <w:rPr>
          <w:i/>
          <w:sz w:val="23"/>
        </w:rPr>
        <w:t>Se fortalecen los trabajos del Sistema Nacional de </w:t>
      </w:r>
      <w:r>
        <w:rPr>
          <w:i/>
          <w:sz w:val="23"/>
        </w:rPr>
        <w:t>Coordinación Fiscal, </w:t>
      </w:r>
      <w:r>
        <w:rPr>
          <w:sz w:val="23"/>
        </w:rPr>
        <w:t>artícu</w:t>
      </w:r>
      <w:hyperlink r:id="rId289">
        <w:r>
          <w:rPr>
            <w:sz w:val="23"/>
          </w:rPr>
          <w:t>lo publicado en http://www.indetec.gob.</w:t>
        </w:r>
      </w:hyperlink>
      <w:r>
        <w:rPr>
          <w:sz w:val="23"/>
        </w:rPr>
        <w:t> mx, 24 de febrero de 2011</w:t>
      </w:r>
      <w:r>
        <w:rPr>
          <w:i/>
          <w:sz w:val="23"/>
        </w:rPr>
        <w:t>.</w:t>
      </w:r>
    </w:p>
    <w:p>
      <w:pPr>
        <w:pStyle w:val="BodyText"/>
        <w:spacing w:line="260" w:lineRule="exact"/>
        <w:ind w:left="684" w:right="108" w:hanging="567"/>
        <w:jc w:val="both"/>
      </w:pPr>
      <w:r>
        <w:rPr/>
        <w:t>Gobierno</w:t>
      </w:r>
      <w:r>
        <w:rPr>
          <w:spacing w:val="-19"/>
        </w:rPr>
        <w:t> </w:t>
      </w:r>
      <w:r>
        <w:rPr/>
        <w:t>del</w:t>
      </w:r>
      <w:r>
        <w:rPr>
          <w:spacing w:val="-20"/>
        </w:rPr>
        <w:t> </w:t>
      </w:r>
      <w:r>
        <w:rPr/>
        <w:t>Estado</w:t>
      </w:r>
      <w:r>
        <w:rPr>
          <w:spacing w:val="-20"/>
        </w:rPr>
        <w:t> </w:t>
      </w:r>
      <w:r>
        <w:rPr/>
        <w:t>de</w:t>
      </w:r>
      <w:r>
        <w:rPr>
          <w:spacing w:val="-20"/>
        </w:rPr>
        <w:t> </w:t>
      </w:r>
      <w:r>
        <w:rPr/>
        <w:t>Hidalgo,</w:t>
      </w:r>
      <w:r>
        <w:rPr>
          <w:spacing w:val="-19"/>
        </w:rPr>
        <w:t> </w:t>
      </w:r>
      <w:r>
        <w:rPr>
          <w:i/>
        </w:rPr>
        <w:t>Aeropuerto</w:t>
      </w:r>
      <w:r>
        <w:rPr>
          <w:i/>
          <w:spacing w:val="-20"/>
        </w:rPr>
        <w:t> </w:t>
      </w:r>
      <w:r>
        <w:rPr>
          <w:i/>
        </w:rPr>
        <w:t>Tizayuca</w:t>
      </w:r>
      <w:r>
        <w:rPr/>
        <w:t>,</w:t>
      </w:r>
      <w:r>
        <w:rPr>
          <w:spacing w:val="-20"/>
        </w:rPr>
        <w:t> </w:t>
      </w:r>
      <w:r>
        <w:rPr/>
        <w:t>México,</w:t>
      </w:r>
      <w:r>
        <w:rPr>
          <w:spacing w:val="-19"/>
        </w:rPr>
        <w:t> </w:t>
      </w:r>
      <w:r>
        <w:rPr/>
        <w:t>Folio</w:t>
      </w:r>
      <w:r>
        <w:rPr>
          <w:spacing w:val="-20"/>
        </w:rPr>
        <w:t> </w:t>
      </w:r>
      <w:r>
        <w:rPr/>
        <w:t>069548, Biblioteca Central del Estado de</w:t>
      </w:r>
      <w:r>
        <w:rPr>
          <w:spacing w:val="-9"/>
        </w:rPr>
        <w:t> </w:t>
      </w:r>
      <w:r>
        <w:rPr/>
        <w:t>Hidalgo.</w:t>
      </w:r>
    </w:p>
    <w:p>
      <w:pPr>
        <w:spacing w:line="260" w:lineRule="exact" w:before="0"/>
        <w:ind w:left="684" w:right="108" w:hanging="567"/>
        <w:jc w:val="both"/>
        <w:rPr>
          <w:sz w:val="23"/>
        </w:rPr>
      </w:pPr>
      <w:r>
        <w:rPr>
          <w:sz w:val="23"/>
        </w:rPr>
        <w:t>Gobierno del Estado de Hidalgo, IHFES, </w:t>
      </w:r>
      <w:r>
        <w:rPr>
          <w:i/>
          <w:sz w:val="23"/>
        </w:rPr>
        <w:t>¿Deseas realizar estudios de </w:t>
      </w:r>
      <w:r>
        <w:rPr>
          <w:i/>
          <w:sz w:val="23"/>
        </w:rPr>
        <w:t>educación</w:t>
      </w:r>
      <w:r>
        <w:rPr>
          <w:i/>
          <w:spacing w:val="-22"/>
          <w:sz w:val="23"/>
        </w:rPr>
        <w:t> </w:t>
      </w:r>
      <w:r>
        <w:rPr>
          <w:i/>
          <w:sz w:val="23"/>
        </w:rPr>
        <w:t>superior</w:t>
      </w:r>
      <w:r>
        <w:rPr>
          <w:i/>
          <w:spacing w:val="-22"/>
          <w:sz w:val="23"/>
        </w:rPr>
        <w:t> </w:t>
      </w:r>
      <w:r>
        <w:rPr>
          <w:i/>
          <w:sz w:val="23"/>
        </w:rPr>
        <w:t>y</w:t>
      </w:r>
      <w:r>
        <w:rPr>
          <w:i/>
          <w:spacing w:val="-22"/>
          <w:sz w:val="23"/>
        </w:rPr>
        <w:t> </w:t>
      </w:r>
      <w:r>
        <w:rPr>
          <w:i/>
          <w:sz w:val="23"/>
        </w:rPr>
        <w:t>no</w:t>
      </w:r>
      <w:r>
        <w:rPr>
          <w:i/>
          <w:spacing w:val="-22"/>
          <w:sz w:val="23"/>
        </w:rPr>
        <w:t> </w:t>
      </w:r>
      <w:r>
        <w:rPr>
          <w:i/>
          <w:sz w:val="23"/>
        </w:rPr>
        <w:t>cuentas</w:t>
      </w:r>
      <w:r>
        <w:rPr>
          <w:i/>
          <w:spacing w:val="-22"/>
          <w:sz w:val="23"/>
        </w:rPr>
        <w:t> </w:t>
      </w:r>
      <w:r>
        <w:rPr>
          <w:i/>
          <w:sz w:val="23"/>
        </w:rPr>
        <w:t>con</w:t>
      </w:r>
      <w:r>
        <w:rPr>
          <w:i/>
          <w:spacing w:val="-22"/>
          <w:sz w:val="23"/>
        </w:rPr>
        <w:t> </w:t>
      </w:r>
      <w:r>
        <w:rPr>
          <w:i/>
          <w:sz w:val="23"/>
        </w:rPr>
        <w:t>el</w:t>
      </w:r>
      <w:r>
        <w:rPr>
          <w:i/>
          <w:spacing w:val="-22"/>
          <w:sz w:val="23"/>
        </w:rPr>
        <w:t> </w:t>
      </w:r>
      <w:r>
        <w:rPr>
          <w:i/>
          <w:sz w:val="23"/>
        </w:rPr>
        <w:t>recurso</w:t>
      </w:r>
      <w:r>
        <w:rPr>
          <w:i/>
          <w:spacing w:val="-22"/>
          <w:sz w:val="23"/>
        </w:rPr>
        <w:t> </w:t>
      </w:r>
      <w:r>
        <w:rPr>
          <w:i/>
          <w:sz w:val="23"/>
        </w:rPr>
        <w:t>suficiente</w:t>
      </w:r>
      <w:r>
        <w:rPr>
          <w:i/>
          <w:spacing w:val="-22"/>
          <w:sz w:val="23"/>
        </w:rPr>
        <w:t> </w:t>
      </w:r>
      <w:r>
        <w:rPr>
          <w:i/>
          <w:sz w:val="23"/>
        </w:rPr>
        <w:t>para</w:t>
      </w:r>
      <w:r>
        <w:rPr>
          <w:i/>
          <w:spacing w:val="-22"/>
          <w:sz w:val="23"/>
        </w:rPr>
        <w:t> </w:t>
      </w:r>
      <w:r>
        <w:rPr>
          <w:i/>
          <w:sz w:val="23"/>
        </w:rPr>
        <w:t>hacerlo?</w:t>
      </w:r>
      <w:r>
        <w:rPr>
          <w:sz w:val="23"/>
        </w:rPr>
        <w:t>, tríptico.</w:t>
      </w:r>
    </w:p>
    <w:p>
      <w:pPr>
        <w:spacing w:after="0" w:line="260" w:lineRule="exact"/>
        <w:jc w:val="both"/>
        <w:rPr>
          <w:sz w:val="23"/>
        </w:rPr>
        <w:sectPr>
          <w:headerReference w:type="default" r:id="rId280"/>
          <w:footerReference w:type="default" r:id="rId281"/>
          <w:footerReference w:type="even" r:id="rId282"/>
          <w:pgSz w:w="9360" w:h="13040"/>
          <w:pgMar w:header="0" w:footer="515" w:top="1200" w:bottom="700" w:left="1300" w:right="740"/>
          <w:pgNumType w:start="195"/>
        </w:sectPr>
      </w:pPr>
    </w:p>
    <w:p>
      <w:pPr>
        <w:pStyle w:val="BodyText"/>
        <w:rPr>
          <w:sz w:val="20"/>
        </w:rPr>
      </w:pPr>
    </w:p>
    <w:p>
      <w:pPr>
        <w:pStyle w:val="BodyText"/>
        <w:spacing w:before="1"/>
        <w:rPr>
          <w:sz w:val="29"/>
        </w:rPr>
      </w:pPr>
    </w:p>
    <w:p>
      <w:pPr>
        <w:spacing w:line="260" w:lineRule="exact" w:before="77"/>
        <w:ind w:left="677" w:right="115" w:hanging="567"/>
        <w:jc w:val="both"/>
        <w:rPr>
          <w:sz w:val="23"/>
        </w:rPr>
      </w:pPr>
      <w:r>
        <w:rPr>
          <w:sz w:val="23"/>
        </w:rPr>
        <w:t>Gobierno</w:t>
      </w:r>
      <w:r>
        <w:rPr>
          <w:spacing w:val="-9"/>
          <w:sz w:val="23"/>
        </w:rPr>
        <w:t> </w:t>
      </w:r>
      <w:r>
        <w:rPr>
          <w:sz w:val="23"/>
        </w:rPr>
        <w:t>del</w:t>
      </w:r>
      <w:r>
        <w:rPr>
          <w:spacing w:val="-10"/>
          <w:sz w:val="23"/>
        </w:rPr>
        <w:t> </w:t>
      </w:r>
      <w:r>
        <w:rPr>
          <w:sz w:val="23"/>
        </w:rPr>
        <w:t>Estado</w:t>
      </w:r>
      <w:r>
        <w:rPr>
          <w:spacing w:val="-10"/>
          <w:sz w:val="23"/>
        </w:rPr>
        <w:t> </w:t>
      </w:r>
      <w:r>
        <w:rPr>
          <w:sz w:val="23"/>
        </w:rPr>
        <w:t>de</w:t>
      </w:r>
      <w:r>
        <w:rPr>
          <w:spacing w:val="-10"/>
          <w:sz w:val="23"/>
        </w:rPr>
        <w:t> </w:t>
      </w:r>
      <w:r>
        <w:rPr>
          <w:sz w:val="23"/>
        </w:rPr>
        <w:t>Hidalgo,</w:t>
      </w:r>
      <w:r>
        <w:rPr>
          <w:spacing w:val="-9"/>
          <w:sz w:val="23"/>
        </w:rPr>
        <w:t> </w:t>
      </w:r>
      <w:r>
        <w:rPr>
          <w:sz w:val="23"/>
        </w:rPr>
        <w:t>DIF</w:t>
      </w:r>
      <w:r>
        <w:rPr>
          <w:spacing w:val="-10"/>
          <w:sz w:val="23"/>
        </w:rPr>
        <w:t> </w:t>
      </w:r>
      <w:r>
        <w:rPr>
          <w:sz w:val="23"/>
        </w:rPr>
        <w:t>Hidalgo</w:t>
      </w:r>
      <w:r>
        <w:rPr>
          <w:i/>
          <w:sz w:val="23"/>
        </w:rPr>
        <w:t>;</w:t>
      </w:r>
      <w:r>
        <w:rPr>
          <w:i/>
          <w:spacing w:val="-10"/>
          <w:sz w:val="23"/>
        </w:rPr>
        <w:t> </w:t>
      </w:r>
      <w:r>
        <w:rPr>
          <w:i/>
          <w:sz w:val="23"/>
        </w:rPr>
        <w:t>Directorio</w:t>
      </w:r>
      <w:r>
        <w:rPr>
          <w:i/>
          <w:spacing w:val="-10"/>
          <w:sz w:val="23"/>
        </w:rPr>
        <w:t> </w:t>
      </w:r>
      <w:r>
        <w:rPr>
          <w:i/>
          <w:sz w:val="23"/>
        </w:rPr>
        <w:t>de</w:t>
      </w:r>
      <w:r>
        <w:rPr>
          <w:i/>
          <w:spacing w:val="-10"/>
          <w:sz w:val="23"/>
        </w:rPr>
        <w:t> </w:t>
      </w:r>
      <w:r>
        <w:rPr>
          <w:i/>
          <w:sz w:val="23"/>
        </w:rPr>
        <w:t>Organizaciones </w:t>
      </w:r>
      <w:r>
        <w:rPr>
          <w:i/>
          <w:sz w:val="23"/>
        </w:rPr>
        <w:t>de Asistencia Privada,</w:t>
      </w:r>
      <w:r>
        <w:rPr>
          <w:i/>
          <w:spacing w:val="-7"/>
          <w:sz w:val="23"/>
        </w:rPr>
        <w:t> </w:t>
      </w:r>
      <w:r>
        <w:rPr>
          <w:sz w:val="23"/>
        </w:rPr>
        <w:t>CD.</w:t>
      </w:r>
    </w:p>
    <w:p>
      <w:pPr>
        <w:spacing w:line="255" w:lineRule="exact" w:before="0"/>
        <w:ind w:left="110" w:right="0" w:firstLine="0"/>
        <w:jc w:val="left"/>
        <w:rPr>
          <w:i/>
          <w:sz w:val="23"/>
        </w:rPr>
      </w:pPr>
      <w:r>
        <w:rPr>
          <w:sz w:val="23"/>
        </w:rPr>
        <w:t>Gobierno del Estado de Hidalgo, </w:t>
      </w:r>
      <w:r>
        <w:rPr>
          <w:i/>
          <w:sz w:val="23"/>
        </w:rPr>
        <w:t>Elementos y compromisos básicos a ser</w:t>
      </w:r>
    </w:p>
    <w:p>
      <w:pPr>
        <w:spacing w:line="260" w:lineRule="exact" w:before="0"/>
        <w:ind w:left="677" w:right="0" w:firstLine="0"/>
        <w:jc w:val="left"/>
        <w:rPr>
          <w:sz w:val="23"/>
        </w:rPr>
      </w:pPr>
      <w:r>
        <w:rPr>
          <w:i/>
          <w:sz w:val="23"/>
        </w:rPr>
        <w:t>incluidos en el contrato de fideicomiso; </w:t>
      </w:r>
      <w:r>
        <w:rPr>
          <w:sz w:val="23"/>
        </w:rPr>
        <w:t>México, mayo de 2009.</w:t>
      </w:r>
    </w:p>
    <w:p>
      <w:pPr>
        <w:spacing w:line="260" w:lineRule="exact" w:before="4"/>
        <w:ind w:left="677" w:right="116" w:hanging="567"/>
        <w:jc w:val="both"/>
        <w:rPr>
          <w:sz w:val="23"/>
        </w:rPr>
      </w:pPr>
      <w:r>
        <w:rPr>
          <w:sz w:val="23"/>
        </w:rPr>
        <w:t>Gobierno del Distrito Federal, gobierno del Estado de México, Secretaría de Desarrollo</w:t>
      </w:r>
      <w:r>
        <w:rPr>
          <w:spacing w:val="-28"/>
          <w:sz w:val="23"/>
        </w:rPr>
        <w:t> </w:t>
      </w:r>
      <w:r>
        <w:rPr>
          <w:sz w:val="23"/>
        </w:rPr>
        <w:t>Social;</w:t>
      </w:r>
      <w:r>
        <w:rPr>
          <w:spacing w:val="-28"/>
          <w:sz w:val="23"/>
        </w:rPr>
        <w:t> </w:t>
      </w:r>
      <w:r>
        <w:rPr>
          <w:i/>
          <w:sz w:val="23"/>
        </w:rPr>
        <w:t>Programa</w:t>
      </w:r>
      <w:r>
        <w:rPr>
          <w:i/>
          <w:spacing w:val="-28"/>
          <w:sz w:val="23"/>
        </w:rPr>
        <w:t> </w:t>
      </w:r>
      <w:r>
        <w:rPr>
          <w:i/>
          <w:sz w:val="23"/>
        </w:rPr>
        <w:t>de</w:t>
      </w:r>
      <w:r>
        <w:rPr>
          <w:i/>
          <w:spacing w:val="-28"/>
          <w:sz w:val="23"/>
        </w:rPr>
        <w:t> </w:t>
      </w:r>
      <w:r>
        <w:rPr>
          <w:i/>
          <w:sz w:val="23"/>
        </w:rPr>
        <w:t>Reordenación</w:t>
      </w:r>
      <w:r>
        <w:rPr>
          <w:i/>
          <w:spacing w:val="-28"/>
          <w:sz w:val="23"/>
        </w:rPr>
        <w:t> </w:t>
      </w:r>
      <w:r>
        <w:rPr>
          <w:i/>
          <w:sz w:val="23"/>
        </w:rPr>
        <w:t>de</w:t>
      </w:r>
      <w:r>
        <w:rPr>
          <w:i/>
          <w:spacing w:val="-28"/>
          <w:sz w:val="23"/>
        </w:rPr>
        <w:t> </w:t>
      </w:r>
      <w:r>
        <w:rPr>
          <w:i/>
          <w:sz w:val="23"/>
        </w:rPr>
        <w:t>la</w:t>
      </w:r>
      <w:r>
        <w:rPr>
          <w:i/>
          <w:spacing w:val="-28"/>
          <w:sz w:val="23"/>
        </w:rPr>
        <w:t> </w:t>
      </w:r>
      <w:r>
        <w:rPr>
          <w:i/>
          <w:sz w:val="23"/>
        </w:rPr>
        <w:t>Zona</w:t>
      </w:r>
      <w:r>
        <w:rPr>
          <w:i/>
          <w:spacing w:val="-28"/>
          <w:sz w:val="23"/>
        </w:rPr>
        <w:t> </w:t>
      </w:r>
      <w:r>
        <w:rPr>
          <w:i/>
          <w:sz w:val="23"/>
        </w:rPr>
        <w:t>Metropolitana </w:t>
      </w:r>
      <w:r>
        <w:rPr>
          <w:i/>
          <w:sz w:val="23"/>
        </w:rPr>
        <w:t>del </w:t>
      </w:r>
      <w:r>
        <w:rPr>
          <w:i/>
          <w:spacing w:val="-6"/>
          <w:sz w:val="23"/>
        </w:rPr>
        <w:t>Valle </w:t>
      </w:r>
      <w:r>
        <w:rPr>
          <w:i/>
          <w:sz w:val="23"/>
        </w:rPr>
        <w:t>de México; </w:t>
      </w:r>
      <w:r>
        <w:rPr>
          <w:sz w:val="23"/>
        </w:rPr>
        <w:t>México,</w:t>
      </w:r>
      <w:r>
        <w:rPr>
          <w:spacing w:val="3"/>
          <w:sz w:val="23"/>
        </w:rPr>
        <w:t> </w:t>
      </w:r>
      <w:r>
        <w:rPr>
          <w:sz w:val="23"/>
        </w:rPr>
        <w:t>1997.</w:t>
      </w:r>
    </w:p>
    <w:p>
      <w:pPr>
        <w:pStyle w:val="BodyText"/>
        <w:spacing w:line="260" w:lineRule="exact"/>
        <w:ind w:left="677" w:right="115" w:hanging="567"/>
        <w:jc w:val="both"/>
      </w:pPr>
      <w:r>
        <w:rPr/>
        <w:t>Gobierno del Estado de Hidalgo, Hudchinson Port Holdings</w:t>
      </w:r>
      <w:r>
        <w:rPr>
          <w:i/>
        </w:rPr>
        <w:t>, </w:t>
      </w:r>
      <w:r>
        <w:rPr/>
        <w:t>Corporativo UNNE,</w:t>
      </w:r>
      <w:r>
        <w:rPr>
          <w:spacing w:val="-7"/>
        </w:rPr>
        <w:t> </w:t>
      </w:r>
      <w:r>
        <w:rPr/>
        <w:t>zona</w:t>
      </w:r>
      <w:r>
        <w:rPr>
          <w:spacing w:val="-7"/>
        </w:rPr>
        <w:t> </w:t>
      </w:r>
      <w:r>
        <w:rPr/>
        <w:t>de</w:t>
      </w:r>
      <w:r>
        <w:rPr>
          <w:spacing w:val="-7"/>
        </w:rPr>
        <w:t> </w:t>
      </w:r>
      <w:r>
        <w:rPr/>
        <w:t>actividades</w:t>
      </w:r>
      <w:r>
        <w:rPr>
          <w:spacing w:val="-7"/>
        </w:rPr>
        <w:t> </w:t>
      </w:r>
      <w:r>
        <w:rPr/>
        <w:t>logísticas</w:t>
      </w:r>
      <w:r>
        <w:rPr>
          <w:spacing w:val="-8"/>
        </w:rPr>
        <w:t> </w:t>
      </w:r>
      <w:r>
        <w:rPr/>
        <w:t>Hidalgo;</w:t>
      </w:r>
      <w:r>
        <w:rPr>
          <w:spacing w:val="-6"/>
        </w:rPr>
        <w:t> </w:t>
      </w:r>
      <w:r>
        <w:rPr>
          <w:i/>
        </w:rPr>
        <w:t>Presentación</w:t>
      </w:r>
      <w:r>
        <w:rPr>
          <w:i/>
          <w:spacing w:val="-7"/>
        </w:rPr>
        <w:t> </w:t>
      </w:r>
      <w:r>
        <w:rPr>
          <w:i/>
        </w:rPr>
        <w:t>proyecto; </w:t>
      </w:r>
      <w:r>
        <w:rPr/>
        <w:t>México, presentación power</w:t>
      </w:r>
      <w:r>
        <w:rPr>
          <w:spacing w:val="-6"/>
        </w:rPr>
        <w:t> </w:t>
      </w:r>
      <w:r>
        <w:rPr/>
        <w:t>point.</w:t>
      </w:r>
    </w:p>
    <w:p>
      <w:pPr>
        <w:spacing w:line="260" w:lineRule="exact" w:before="0"/>
        <w:ind w:left="677" w:right="114" w:hanging="567"/>
        <w:jc w:val="both"/>
        <w:rPr>
          <w:sz w:val="23"/>
        </w:rPr>
      </w:pPr>
      <w:r>
        <w:rPr>
          <w:sz w:val="23"/>
        </w:rPr>
        <w:t>Gobierno del Estado de Hidalgo, </w:t>
      </w:r>
      <w:r>
        <w:rPr>
          <w:i/>
          <w:sz w:val="23"/>
        </w:rPr>
        <w:t>Ley de Coordinación Fiscal para el Estado </w:t>
      </w:r>
      <w:r>
        <w:rPr>
          <w:i/>
          <w:sz w:val="23"/>
        </w:rPr>
        <w:t>de Hidalgo, </w:t>
      </w:r>
      <w:r>
        <w:rPr>
          <w:sz w:val="23"/>
        </w:rPr>
        <w:t>México, 30 de diciembre de 1989, texto recuperado el    10 de agosto de 2012 de </w:t>
      </w:r>
      <w:hyperlink r:id="rId291">
        <w:r>
          <w:rPr>
            <w:sz w:val="23"/>
          </w:rPr>
          <w:t>http://www.congreso-hidalgo.gob.mx/index.</w:t>
        </w:r>
      </w:hyperlink>
      <w:r>
        <w:rPr>
          <w:sz w:val="23"/>
        </w:rPr>
        <w:t> php?Biblioteca-Legislativa.</w:t>
      </w:r>
    </w:p>
    <w:p>
      <w:pPr>
        <w:pStyle w:val="BodyText"/>
        <w:spacing w:line="260" w:lineRule="exact"/>
        <w:ind w:left="677" w:right="114" w:hanging="567"/>
        <w:jc w:val="both"/>
      </w:pPr>
      <w:r>
        <w:rPr/>
        <w:t>Gobierno del Estado de Hidalgo, </w:t>
      </w:r>
      <w:r>
        <w:rPr>
          <w:i/>
        </w:rPr>
        <w:t>Ley de </w:t>
      </w:r>
      <w:r>
        <w:rPr>
          <w:i/>
          <w:spacing w:val="-3"/>
        </w:rPr>
        <w:t>Vivienda </w:t>
      </w:r>
      <w:r>
        <w:rPr>
          <w:i/>
        </w:rPr>
        <w:t>del Estado de Hidalgo, </w:t>
      </w:r>
      <w:r>
        <w:rPr/>
        <w:t>México, 18 de julio de 2011, texto recuperado el 10 de agosto de   2012 de </w:t>
      </w:r>
      <w:hyperlink r:id="rId292">
        <w:r>
          <w:rPr/>
          <w:t>http://www.congreso-hidalgo.gob.mx/index.php?Biblioteca-</w:t>
        </w:r>
      </w:hyperlink>
      <w:r>
        <w:rPr/>
        <w:t> Legislativa.</w:t>
      </w:r>
    </w:p>
    <w:p>
      <w:pPr>
        <w:spacing w:line="260" w:lineRule="exact" w:before="0"/>
        <w:ind w:left="677" w:right="114" w:hanging="567"/>
        <w:jc w:val="both"/>
        <w:rPr>
          <w:sz w:val="23"/>
        </w:rPr>
      </w:pPr>
      <w:r>
        <w:rPr>
          <w:sz w:val="23"/>
        </w:rPr>
        <w:t>Gobierno del Estado de Hidalgo, </w:t>
      </w:r>
      <w:r>
        <w:rPr>
          <w:i/>
          <w:sz w:val="23"/>
        </w:rPr>
        <w:t>Ley de Planeación para el Desarrollo del </w:t>
      </w:r>
      <w:r>
        <w:rPr>
          <w:i/>
          <w:sz w:val="23"/>
        </w:rPr>
        <w:t>Estado</w:t>
      </w:r>
      <w:r>
        <w:rPr>
          <w:i/>
          <w:spacing w:val="-9"/>
          <w:sz w:val="23"/>
        </w:rPr>
        <w:t> </w:t>
      </w:r>
      <w:r>
        <w:rPr>
          <w:i/>
          <w:sz w:val="23"/>
        </w:rPr>
        <w:t>de</w:t>
      </w:r>
      <w:r>
        <w:rPr>
          <w:i/>
          <w:spacing w:val="-9"/>
          <w:sz w:val="23"/>
        </w:rPr>
        <w:t> </w:t>
      </w:r>
      <w:r>
        <w:rPr>
          <w:i/>
          <w:sz w:val="23"/>
        </w:rPr>
        <w:t>Hidalgo,</w:t>
      </w:r>
      <w:r>
        <w:rPr>
          <w:i/>
          <w:spacing w:val="-9"/>
          <w:sz w:val="23"/>
        </w:rPr>
        <w:t> </w:t>
      </w:r>
      <w:r>
        <w:rPr>
          <w:sz w:val="23"/>
        </w:rPr>
        <w:t>México,</w:t>
      </w:r>
      <w:r>
        <w:rPr>
          <w:spacing w:val="-9"/>
          <w:sz w:val="23"/>
        </w:rPr>
        <w:t> </w:t>
      </w:r>
      <w:r>
        <w:rPr>
          <w:sz w:val="23"/>
        </w:rPr>
        <w:t>13</w:t>
      </w:r>
      <w:r>
        <w:rPr>
          <w:spacing w:val="-9"/>
          <w:sz w:val="23"/>
        </w:rPr>
        <w:t> </w:t>
      </w:r>
      <w:r>
        <w:rPr>
          <w:sz w:val="23"/>
        </w:rPr>
        <w:t>de</w:t>
      </w:r>
      <w:r>
        <w:rPr>
          <w:spacing w:val="-9"/>
          <w:sz w:val="23"/>
        </w:rPr>
        <w:t> </w:t>
      </w:r>
      <w:r>
        <w:rPr>
          <w:sz w:val="23"/>
        </w:rPr>
        <w:t>diciembre</w:t>
      </w:r>
      <w:r>
        <w:rPr>
          <w:spacing w:val="-9"/>
          <w:sz w:val="23"/>
        </w:rPr>
        <w:t> </w:t>
      </w:r>
      <w:r>
        <w:rPr>
          <w:sz w:val="23"/>
        </w:rPr>
        <w:t>de</w:t>
      </w:r>
      <w:r>
        <w:rPr>
          <w:spacing w:val="-9"/>
          <w:sz w:val="23"/>
        </w:rPr>
        <w:t> </w:t>
      </w:r>
      <w:r>
        <w:rPr>
          <w:sz w:val="23"/>
        </w:rPr>
        <w:t>2010,</w:t>
      </w:r>
      <w:r>
        <w:rPr>
          <w:spacing w:val="-9"/>
          <w:sz w:val="23"/>
        </w:rPr>
        <w:t> </w:t>
      </w:r>
      <w:r>
        <w:rPr>
          <w:sz w:val="23"/>
        </w:rPr>
        <w:t>texto</w:t>
      </w:r>
      <w:r>
        <w:rPr>
          <w:spacing w:val="-9"/>
          <w:sz w:val="23"/>
        </w:rPr>
        <w:t> </w:t>
      </w:r>
      <w:r>
        <w:rPr>
          <w:sz w:val="23"/>
        </w:rPr>
        <w:t>recuperado el</w:t>
      </w:r>
      <w:r>
        <w:rPr>
          <w:spacing w:val="-13"/>
          <w:sz w:val="23"/>
        </w:rPr>
        <w:t> </w:t>
      </w:r>
      <w:r>
        <w:rPr>
          <w:sz w:val="23"/>
        </w:rPr>
        <w:t>10</w:t>
      </w:r>
      <w:r>
        <w:rPr>
          <w:spacing w:val="-13"/>
          <w:sz w:val="23"/>
        </w:rPr>
        <w:t> </w:t>
      </w:r>
      <w:r>
        <w:rPr>
          <w:sz w:val="23"/>
        </w:rPr>
        <w:t>de</w:t>
      </w:r>
      <w:r>
        <w:rPr>
          <w:spacing w:val="-13"/>
          <w:sz w:val="23"/>
        </w:rPr>
        <w:t> </w:t>
      </w:r>
      <w:r>
        <w:rPr>
          <w:sz w:val="23"/>
        </w:rPr>
        <w:t>agosto</w:t>
      </w:r>
      <w:r>
        <w:rPr>
          <w:spacing w:val="-13"/>
          <w:sz w:val="23"/>
        </w:rPr>
        <w:t> </w:t>
      </w:r>
      <w:r>
        <w:rPr>
          <w:sz w:val="23"/>
        </w:rPr>
        <w:t>de</w:t>
      </w:r>
      <w:r>
        <w:rPr>
          <w:spacing w:val="-13"/>
          <w:sz w:val="23"/>
        </w:rPr>
        <w:t> </w:t>
      </w:r>
      <w:r>
        <w:rPr>
          <w:sz w:val="23"/>
        </w:rPr>
        <w:t>2012</w:t>
      </w:r>
      <w:r>
        <w:rPr>
          <w:spacing w:val="-13"/>
          <w:sz w:val="23"/>
        </w:rPr>
        <w:t> </w:t>
      </w:r>
      <w:r>
        <w:rPr>
          <w:sz w:val="23"/>
        </w:rPr>
        <w:t>de</w:t>
      </w:r>
      <w:r>
        <w:rPr>
          <w:spacing w:val="-13"/>
          <w:sz w:val="23"/>
        </w:rPr>
        <w:t> </w:t>
      </w:r>
      <w:hyperlink r:id="rId291">
        <w:r>
          <w:rPr>
            <w:sz w:val="23"/>
          </w:rPr>
          <w:t>http://www.congreso-hidalgo.gob.mx/index.</w:t>
        </w:r>
      </w:hyperlink>
      <w:r>
        <w:rPr>
          <w:sz w:val="23"/>
        </w:rPr>
        <w:t> php?Biblioteca-Legislativa.</w:t>
      </w:r>
    </w:p>
    <w:p>
      <w:pPr>
        <w:spacing w:line="260" w:lineRule="exact" w:before="0"/>
        <w:ind w:left="0" w:right="113" w:firstLine="0"/>
        <w:jc w:val="right"/>
        <w:rPr>
          <w:i/>
          <w:sz w:val="23"/>
        </w:rPr>
      </w:pPr>
      <w:r>
        <w:rPr>
          <w:sz w:val="23"/>
        </w:rPr>
        <w:t>Gobierno del Estado de Hidalgo, </w:t>
      </w:r>
      <w:r>
        <w:rPr>
          <w:i/>
          <w:sz w:val="23"/>
        </w:rPr>
        <w:t>PLATAH, Plataforma logística de Tizayuca</w:t>
      </w:r>
      <w:r>
        <w:rPr>
          <w:sz w:val="23"/>
        </w:rPr>
        <w:t>, </w:t>
      </w:r>
      <w:r>
        <w:rPr>
          <w:i/>
          <w:sz w:val="23"/>
        </w:rPr>
        <w:t>Plan Maestro; </w:t>
      </w:r>
      <w:r>
        <w:rPr>
          <w:sz w:val="23"/>
        </w:rPr>
        <w:t>México, presentación power point, septiembre de 2007. Gobierno   del   Estado   de   Hidalgo,   </w:t>
      </w:r>
      <w:r>
        <w:rPr>
          <w:i/>
          <w:sz w:val="23"/>
        </w:rPr>
        <w:t>Plataforma   logística   de  Tizayuca,</w:t>
      </w:r>
    </w:p>
    <w:p>
      <w:pPr>
        <w:spacing w:line="260" w:lineRule="exact" w:before="0"/>
        <w:ind w:left="678" w:right="0" w:firstLine="0"/>
        <w:jc w:val="left"/>
        <w:rPr>
          <w:sz w:val="23"/>
        </w:rPr>
      </w:pPr>
      <w:r>
        <w:rPr>
          <w:i/>
          <w:sz w:val="23"/>
        </w:rPr>
        <w:t>Presentación de gabinete PLATAH 190607; </w:t>
      </w:r>
      <w:r>
        <w:rPr>
          <w:sz w:val="23"/>
        </w:rPr>
        <w:t>México, presentación power point.</w:t>
      </w:r>
    </w:p>
    <w:p>
      <w:pPr>
        <w:pStyle w:val="BodyText"/>
        <w:spacing w:line="260" w:lineRule="exact"/>
        <w:ind w:left="678" w:right="113" w:hanging="567"/>
        <w:jc w:val="both"/>
      </w:pPr>
      <w:r>
        <w:rPr/>
        <w:t>Gobierno del Estado de Hidalgo, Secretaría de Desarrollo Económico, Mondragón; </w:t>
      </w:r>
      <w:r>
        <w:rPr>
          <w:i/>
        </w:rPr>
        <w:t>Hidalgo; </w:t>
      </w:r>
      <w:r>
        <w:rPr/>
        <w:t>México, presentación power point.</w:t>
      </w:r>
    </w:p>
    <w:p>
      <w:pPr>
        <w:spacing w:line="260" w:lineRule="exact" w:before="0"/>
        <w:ind w:left="678" w:right="115" w:hanging="567"/>
        <w:jc w:val="both"/>
        <w:rPr>
          <w:sz w:val="23"/>
        </w:rPr>
      </w:pPr>
      <w:r>
        <w:rPr>
          <w:sz w:val="23"/>
        </w:rPr>
        <w:t>Gobierno del Estado de Hidalgo, Secretaría de Salud; </w:t>
      </w:r>
      <w:r>
        <w:rPr>
          <w:i/>
          <w:sz w:val="23"/>
        </w:rPr>
        <w:t>Actualización del </w:t>
      </w:r>
      <w:r>
        <w:rPr>
          <w:i/>
          <w:sz w:val="23"/>
        </w:rPr>
        <w:t>programa estatal de salud 2005-2011; </w:t>
      </w:r>
      <w:r>
        <w:rPr>
          <w:sz w:val="23"/>
        </w:rPr>
        <w:t>2008.</w:t>
      </w:r>
    </w:p>
    <w:p>
      <w:pPr>
        <w:spacing w:line="260" w:lineRule="exact" w:before="0"/>
        <w:ind w:left="678" w:right="114" w:hanging="567"/>
        <w:jc w:val="both"/>
        <w:rPr>
          <w:sz w:val="23"/>
        </w:rPr>
      </w:pPr>
      <w:r>
        <w:rPr>
          <w:sz w:val="23"/>
        </w:rPr>
        <w:t>Godínez, Gustavo, </w:t>
      </w:r>
      <w:r>
        <w:rPr>
          <w:i/>
          <w:sz w:val="23"/>
        </w:rPr>
        <w:t>Descartan proyecto del tren suburbano</w:t>
      </w:r>
      <w:r>
        <w:rPr>
          <w:sz w:val="23"/>
        </w:rPr>
        <w:t>. En Milenio, 8 de junio de 2012.</w:t>
      </w:r>
    </w:p>
    <w:p>
      <w:pPr>
        <w:spacing w:line="260" w:lineRule="exact" w:before="0"/>
        <w:ind w:left="678" w:right="114" w:hanging="567"/>
        <w:jc w:val="both"/>
        <w:rPr>
          <w:sz w:val="23"/>
        </w:rPr>
      </w:pPr>
      <w:r>
        <w:rPr>
          <w:sz w:val="23"/>
        </w:rPr>
        <w:t>González, Eduardo, </w:t>
      </w:r>
      <w:r>
        <w:rPr>
          <w:i/>
          <w:sz w:val="23"/>
        </w:rPr>
        <w:t>Estudios del </w:t>
      </w:r>
      <w:r>
        <w:rPr>
          <w:i/>
          <w:spacing w:val="-3"/>
          <w:sz w:val="23"/>
        </w:rPr>
        <w:t>tren  </w:t>
      </w:r>
      <w:r>
        <w:rPr>
          <w:i/>
          <w:sz w:val="23"/>
        </w:rPr>
        <w:t>suburbano para 2010</w:t>
      </w:r>
      <w:r>
        <w:rPr>
          <w:sz w:val="23"/>
        </w:rPr>
        <w:t>. En Milenio   On Line, 13 de noviembre de 2009, </w:t>
      </w:r>
      <w:hyperlink r:id="rId293">
        <w:r>
          <w:rPr>
            <w:sz w:val="23"/>
          </w:rPr>
          <w:t>http://impreso.milenio.com/</w:t>
        </w:r>
      </w:hyperlink>
      <w:r>
        <w:rPr>
          <w:sz w:val="23"/>
        </w:rPr>
        <w:t> node/8672716.</w:t>
      </w:r>
    </w:p>
    <w:p>
      <w:pPr>
        <w:pStyle w:val="BodyText"/>
        <w:spacing w:line="260" w:lineRule="exact"/>
        <w:ind w:left="678" w:right="114" w:hanging="567"/>
        <w:jc w:val="both"/>
      </w:pPr>
      <w:r>
        <w:rPr/>
        <w:t>González Morfín, Efraín, </w:t>
      </w:r>
      <w:r>
        <w:rPr>
          <w:i/>
        </w:rPr>
        <w:t>Subsidiariedad, </w:t>
      </w:r>
      <w:r>
        <w:rPr/>
        <w:t>México, Instituto Mexicano de Doctrina Social Cristiana, 2009.</w:t>
      </w:r>
    </w:p>
    <w:p>
      <w:pPr>
        <w:spacing w:after="0" w:line="260" w:lineRule="exact"/>
        <w:jc w:val="both"/>
        <w:sectPr>
          <w:headerReference w:type="default" r:id="rId290"/>
          <w:pgSz w:w="9360" w:h="13040"/>
          <w:pgMar w:header="527" w:footer="515" w:top="720" w:bottom="700" w:left="740" w:right="1300"/>
        </w:sectPr>
      </w:pPr>
    </w:p>
    <w:p>
      <w:pPr>
        <w:spacing w:line="254" w:lineRule="auto" w:before="64"/>
        <w:ind w:left="663" w:right="101"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p>
      <w:pPr>
        <w:pStyle w:val="BodyText"/>
        <w:spacing w:before="7"/>
        <w:rPr>
          <w:i/>
          <w:sz w:val="28"/>
        </w:rPr>
      </w:pPr>
    </w:p>
    <w:p>
      <w:pPr>
        <w:spacing w:line="260" w:lineRule="exact" w:before="77"/>
        <w:ind w:left="684" w:right="108" w:hanging="567"/>
        <w:jc w:val="both"/>
        <w:rPr>
          <w:sz w:val="23"/>
        </w:rPr>
      </w:pPr>
      <w:r>
        <w:rPr>
          <w:sz w:val="23"/>
        </w:rPr>
        <w:t>Höffe, Otfried, </w:t>
      </w:r>
      <w:r>
        <w:rPr>
          <w:i/>
          <w:sz w:val="23"/>
        </w:rPr>
        <w:t>La subsidiariedad como principio de la filosofía política. </w:t>
      </w:r>
      <w:r>
        <w:rPr>
          <w:sz w:val="23"/>
        </w:rPr>
        <w:t>En Höffe, Otfried; Ícense, Josef (compiladores); </w:t>
      </w:r>
      <w:r>
        <w:rPr>
          <w:i/>
          <w:sz w:val="23"/>
        </w:rPr>
        <w:t>Panoramas de filosofía </w:t>
      </w:r>
      <w:r>
        <w:rPr>
          <w:i/>
          <w:sz w:val="23"/>
        </w:rPr>
        <w:t>política, </w:t>
      </w:r>
      <w:r>
        <w:rPr>
          <w:sz w:val="23"/>
        </w:rPr>
        <w:t>Alemania, Konrad Adenauer Stiftung, 2002.</w:t>
      </w:r>
    </w:p>
    <w:p>
      <w:pPr>
        <w:pStyle w:val="BodyText"/>
        <w:spacing w:line="255" w:lineRule="exact"/>
        <w:ind w:left="114" w:right="107"/>
        <w:jc w:val="center"/>
      </w:pPr>
      <w:r>
        <w:rPr/>
        <w:t>Instituto de Capacitación para el Trabajo del Estado de Hidalgo (ICATHI),</w:t>
      </w:r>
    </w:p>
    <w:p>
      <w:pPr>
        <w:spacing w:line="260" w:lineRule="exact" w:before="0"/>
        <w:ind w:left="684" w:right="0" w:firstLine="0"/>
        <w:jc w:val="left"/>
        <w:rPr>
          <w:sz w:val="23"/>
        </w:rPr>
      </w:pPr>
      <w:r>
        <w:rPr>
          <w:i/>
          <w:sz w:val="23"/>
        </w:rPr>
        <w:t>Programa operativo anual, </w:t>
      </w:r>
      <w:r>
        <w:rPr>
          <w:sz w:val="23"/>
        </w:rPr>
        <w:t>2010.</w:t>
      </w:r>
    </w:p>
    <w:p>
      <w:pPr>
        <w:spacing w:line="260" w:lineRule="exact" w:before="4"/>
        <w:ind w:left="684" w:right="108" w:hanging="567"/>
        <w:jc w:val="both"/>
        <w:rPr>
          <w:sz w:val="23"/>
        </w:rPr>
      </w:pPr>
      <w:r>
        <w:rPr>
          <w:sz w:val="23"/>
        </w:rPr>
        <w:t>Instituto federal de acceso a la información y protección de datos, </w:t>
      </w:r>
      <w:r>
        <w:rPr>
          <w:i/>
          <w:sz w:val="23"/>
        </w:rPr>
        <w:t>Recurso </w:t>
      </w:r>
      <w:r>
        <w:rPr>
          <w:i/>
          <w:sz w:val="23"/>
        </w:rPr>
        <w:t>con número de expediente 2578/116, </w:t>
      </w:r>
      <w:r>
        <w:rPr>
          <w:sz w:val="23"/>
        </w:rPr>
        <w:t>resuelto el 13 de julio de 2011.</w:t>
      </w:r>
    </w:p>
    <w:p>
      <w:pPr>
        <w:spacing w:line="260" w:lineRule="exact" w:before="0"/>
        <w:ind w:left="684" w:right="108" w:hanging="567"/>
        <w:jc w:val="both"/>
        <w:rPr>
          <w:sz w:val="23"/>
        </w:rPr>
      </w:pPr>
      <w:r>
        <w:rPr>
          <w:sz w:val="23"/>
        </w:rPr>
        <w:t>Kikeleash, </w:t>
      </w:r>
      <w:r>
        <w:rPr>
          <w:i/>
          <w:sz w:val="23"/>
        </w:rPr>
        <w:t>Del </w:t>
      </w:r>
      <w:r>
        <w:rPr>
          <w:i/>
          <w:spacing w:val="-3"/>
          <w:sz w:val="23"/>
        </w:rPr>
        <w:t>tren  </w:t>
      </w:r>
      <w:r>
        <w:rPr>
          <w:i/>
          <w:sz w:val="23"/>
        </w:rPr>
        <w:t>suburbano de Pachuca a México</w:t>
      </w:r>
      <w:r>
        <w:rPr>
          <w:sz w:val="23"/>
        </w:rPr>
        <w:t>. En UN Hidalgo, 28  de julio de 2010, </w:t>
      </w:r>
      <w:hyperlink r:id="rId295">
        <w:r>
          <w:rPr>
            <w:sz w:val="23"/>
          </w:rPr>
          <w:t>http://unhidalgo.com/2010/07/del-suburbano-de-</w:t>
        </w:r>
      </w:hyperlink>
      <w:r>
        <w:rPr>
          <w:sz w:val="23"/>
        </w:rPr>
        <w:t> pachuca-a-mexico/.</w:t>
      </w:r>
    </w:p>
    <w:p>
      <w:pPr>
        <w:spacing w:line="255" w:lineRule="exact" w:before="0"/>
        <w:ind w:left="113" w:right="107" w:firstLine="0"/>
        <w:jc w:val="center"/>
        <w:rPr>
          <w:i/>
          <w:sz w:val="23"/>
        </w:rPr>
      </w:pPr>
      <w:r>
        <w:rPr>
          <w:sz w:val="23"/>
        </w:rPr>
        <w:t>Komonchak, Joseph A., </w:t>
      </w:r>
      <w:r>
        <w:rPr>
          <w:i/>
          <w:sz w:val="23"/>
        </w:rPr>
        <w:t>Subsidiarity in the church: the state of the</w:t>
      </w:r>
      <w:r>
        <w:rPr>
          <w:i/>
          <w:spacing w:val="52"/>
          <w:sz w:val="23"/>
        </w:rPr>
        <w:t> </w:t>
      </w:r>
      <w:r>
        <w:rPr>
          <w:i/>
          <w:sz w:val="23"/>
        </w:rPr>
        <w:t>cuestion,</w:t>
      </w:r>
    </w:p>
    <w:p>
      <w:pPr>
        <w:pStyle w:val="BodyText"/>
        <w:spacing w:line="260" w:lineRule="exact"/>
        <w:ind w:left="684"/>
      </w:pPr>
      <w:r>
        <w:rPr/>
        <w:t>The jurist 48, 1988, p. 301, texto ubicado en </w:t>
      </w:r>
      <w:hyperlink r:id="rId24">
        <w:r>
          <w:rPr/>
          <w:t>http://www.scielo.cl.</w:t>
        </w:r>
      </w:hyperlink>
    </w:p>
    <w:p>
      <w:pPr>
        <w:spacing w:line="260" w:lineRule="exact" w:before="4"/>
        <w:ind w:left="684" w:right="108" w:hanging="567"/>
        <w:jc w:val="both"/>
        <w:rPr>
          <w:sz w:val="23"/>
        </w:rPr>
      </w:pPr>
      <w:r>
        <w:rPr>
          <w:sz w:val="23"/>
        </w:rPr>
        <w:t>La</w:t>
      </w:r>
      <w:r>
        <w:rPr>
          <w:spacing w:val="-11"/>
          <w:sz w:val="23"/>
        </w:rPr>
        <w:t> </w:t>
      </w:r>
      <w:r>
        <w:rPr>
          <w:sz w:val="23"/>
        </w:rPr>
        <w:t>policiaca,</w:t>
      </w:r>
      <w:r>
        <w:rPr>
          <w:spacing w:val="-10"/>
          <w:sz w:val="23"/>
        </w:rPr>
        <w:t> </w:t>
      </w:r>
      <w:r>
        <w:rPr>
          <w:i/>
          <w:sz w:val="23"/>
        </w:rPr>
        <w:t>Continua</w:t>
      </w:r>
      <w:r>
        <w:rPr>
          <w:i/>
          <w:spacing w:val="-11"/>
          <w:sz w:val="23"/>
        </w:rPr>
        <w:t> </w:t>
      </w:r>
      <w:r>
        <w:rPr>
          <w:i/>
          <w:sz w:val="23"/>
        </w:rPr>
        <w:t>bloqueo</w:t>
      </w:r>
      <w:r>
        <w:rPr>
          <w:i/>
          <w:spacing w:val="-11"/>
          <w:sz w:val="23"/>
        </w:rPr>
        <w:t> </w:t>
      </w:r>
      <w:r>
        <w:rPr>
          <w:i/>
          <w:sz w:val="23"/>
        </w:rPr>
        <w:t>en</w:t>
      </w:r>
      <w:r>
        <w:rPr>
          <w:i/>
          <w:spacing w:val="-11"/>
          <w:sz w:val="23"/>
        </w:rPr>
        <w:t> </w:t>
      </w:r>
      <w:r>
        <w:rPr>
          <w:i/>
          <w:sz w:val="23"/>
        </w:rPr>
        <w:t>la</w:t>
      </w:r>
      <w:r>
        <w:rPr>
          <w:i/>
          <w:spacing w:val="-11"/>
          <w:sz w:val="23"/>
        </w:rPr>
        <w:t> </w:t>
      </w:r>
      <w:r>
        <w:rPr>
          <w:i/>
          <w:sz w:val="23"/>
        </w:rPr>
        <w:t>obra</w:t>
      </w:r>
      <w:r>
        <w:rPr>
          <w:i/>
          <w:spacing w:val="-11"/>
          <w:sz w:val="23"/>
        </w:rPr>
        <w:t> </w:t>
      </w:r>
      <w:r>
        <w:rPr>
          <w:i/>
          <w:sz w:val="23"/>
        </w:rPr>
        <w:t>del</w:t>
      </w:r>
      <w:r>
        <w:rPr>
          <w:i/>
          <w:spacing w:val="-11"/>
          <w:sz w:val="23"/>
        </w:rPr>
        <w:t> </w:t>
      </w:r>
      <w:r>
        <w:rPr>
          <w:i/>
          <w:sz w:val="23"/>
        </w:rPr>
        <w:t>puerto</w:t>
      </w:r>
      <w:r>
        <w:rPr>
          <w:i/>
          <w:spacing w:val="-11"/>
          <w:sz w:val="23"/>
        </w:rPr>
        <w:t> </w:t>
      </w:r>
      <w:r>
        <w:rPr>
          <w:i/>
          <w:sz w:val="23"/>
        </w:rPr>
        <w:t>seco</w:t>
      </w:r>
      <w:r>
        <w:rPr>
          <w:sz w:val="23"/>
        </w:rPr>
        <w:t>.</w:t>
      </w:r>
      <w:r>
        <w:rPr>
          <w:spacing w:val="-10"/>
          <w:sz w:val="23"/>
        </w:rPr>
        <w:t> </w:t>
      </w:r>
      <w:r>
        <w:rPr>
          <w:sz w:val="23"/>
        </w:rPr>
        <w:t>En</w:t>
      </w:r>
      <w:r>
        <w:rPr>
          <w:spacing w:val="-11"/>
          <w:sz w:val="23"/>
        </w:rPr>
        <w:t> </w:t>
      </w:r>
      <w:r>
        <w:rPr>
          <w:sz w:val="23"/>
        </w:rPr>
        <w:t>La</w:t>
      </w:r>
      <w:r>
        <w:rPr>
          <w:spacing w:val="-11"/>
          <w:sz w:val="23"/>
        </w:rPr>
        <w:t> </w:t>
      </w:r>
      <w:r>
        <w:rPr>
          <w:sz w:val="23"/>
        </w:rPr>
        <w:t>policiaca,</w:t>
      </w:r>
      <w:r>
        <w:rPr>
          <w:spacing w:val="-11"/>
          <w:sz w:val="23"/>
        </w:rPr>
        <w:t> </w:t>
      </w:r>
      <w:r>
        <w:rPr>
          <w:sz w:val="23"/>
        </w:rPr>
        <w:t>la nota</w:t>
      </w:r>
      <w:r>
        <w:rPr>
          <w:spacing w:val="-11"/>
          <w:sz w:val="23"/>
        </w:rPr>
        <w:t> </w:t>
      </w:r>
      <w:r>
        <w:rPr>
          <w:sz w:val="23"/>
        </w:rPr>
        <w:t>roja</w:t>
      </w:r>
      <w:r>
        <w:rPr>
          <w:spacing w:val="-11"/>
          <w:sz w:val="23"/>
        </w:rPr>
        <w:t> </w:t>
      </w:r>
      <w:r>
        <w:rPr>
          <w:sz w:val="23"/>
        </w:rPr>
        <w:t>de</w:t>
      </w:r>
      <w:r>
        <w:rPr>
          <w:spacing w:val="-11"/>
          <w:sz w:val="23"/>
        </w:rPr>
        <w:t> </w:t>
      </w:r>
      <w:r>
        <w:rPr>
          <w:sz w:val="23"/>
        </w:rPr>
        <w:t>México,</w:t>
      </w:r>
      <w:r>
        <w:rPr>
          <w:spacing w:val="-10"/>
          <w:sz w:val="23"/>
        </w:rPr>
        <w:t> </w:t>
      </w:r>
      <w:r>
        <w:rPr>
          <w:sz w:val="23"/>
        </w:rPr>
        <w:t>8</w:t>
      </w:r>
      <w:r>
        <w:rPr>
          <w:spacing w:val="-11"/>
          <w:sz w:val="23"/>
        </w:rPr>
        <w:t> </w:t>
      </w:r>
      <w:r>
        <w:rPr>
          <w:sz w:val="23"/>
        </w:rPr>
        <w:t>de</w:t>
      </w:r>
      <w:r>
        <w:rPr>
          <w:spacing w:val="-11"/>
          <w:sz w:val="23"/>
        </w:rPr>
        <w:t> </w:t>
      </w:r>
      <w:r>
        <w:rPr>
          <w:sz w:val="23"/>
        </w:rPr>
        <w:t>agosto</w:t>
      </w:r>
      <w:r>
        <w:rPr>
          <w:spacing w:val="-11"/>
          <w:sz w:val="23"/>
        </w:rPr>
        <w:t> </w:t>
      </w:r>
      <w:r>
        <w:rPr>
          <w:sz w:val="23"/>
        </w:rPr>
        <w:t>del</w:t>
      </w:r>
      <w:r>
        <w:rPr>
          <w:spacing w:val="-11"/>
          <w:sz w:val="23"/>
        </w:rPr>
        <w:t> </w:t>
      </w:r>
      <w:r>
        <w:rPr>
          <w:sz w:val="23"/>
        </w:rPr>
        <w:t>2012,</w:t>
      </w:r>
      <w:r>
        <w:rPr>
          <w:spacing w:val="-11"/>
          <w:sz w:val="23"/>
        </w:rPr>
        <w:t> </w:t>
      </w:r>
      <w:hyperlink r:id="rId296">
        <w:r>
          <w:rPr>
            <w:sz w:val="23"/>
          </w:rPr>
          <w:t>http://www.lapoliciaca.com/</w:t>
        </w:r>
      </w:hyperlink>
      <w:r>
        <w:rPr>
          <w:sz w:val="23"/>
        </w:rPr>
        <w:t> nota-roja/continua-bloqueo-en-la-obra-del-puerto-seco/.</w:t>
      </w:r>
    </w:p>
    <w:p>
      <w:pPr>
        <w:spacing w:line="260" w:lineRule="exact" w:before="0"/>
        <w:ind w:left="684" w:right="108" w:hanging="567"/>
        <w:jc w:val="both"/>
        <w:rPr>
          <w:sz w:val="23"/>
        </w:rPr>
      </w:pPr>
      <w:r>
        <w:rPr>
          <w:sz w:val="23"/>
        </w:rPr>
        <w:t>Miranda, Antonio, </w:t>
      </w:r>
      <w:r>
        <w:rPr>
          <w:i/>
          <w:sz w:val="23"/>
        </w:rPr>
        <w:t>Pasaría tren  suburbano  entre  Hidalgo  y  Edomex</w:t>
      </w:r>
      <w:r>
        <w:rPr>
          <w:sz w:val="23"/>
        </w:rPr>
        <w:t>.  En El Universal, 30 de julio de 2010, </w:t>
      </w:r>
      <w:hyperlink r:id="rId297">
        <w:r>
          <w:rPr>
            <w:sz w:val="23"/>
          </w:rPr>
          <w:t>http://www.eluniversal.com.mx/</w:t>
        </w:r>
      </w:hyperlink>
      <w:r>
        <w:rPr>
          <w:sz w:val="23"/>
        </w:rPr>
        <w:t> notas/698671.html.</w:t>
      </w:r>
    </w:p>
    <w:p>
      <w:pPr>
        <w:spacing w:line="260" w:lineRule="exact" w:before="0"/>
        <w:ind w:left="684" w:right="107" w:hanging="567"/>
        <w:jc w:val="both"/>
        <w:rPr>
          <w:sz w:val="23"/>
        </w:rPr>
      </w:pPr>
      <w:r>
        <w:rPr>
          <w:sz w:val="23"/>
        </w:rPr>
        <w:t>Neria,</w:t>
      </w:r>
      <w:r>
        <w:rPr>
          <w:spacing w:val="-29"/>
          <w:sz w:val="23"/>
        </w:rPr>
        <w:t> </w:t>
      </w:r>
      <w:r>
        <w:rPr>
          <w:sz w:val="23"/>
        </w:rPr>
        <w:t>Gerardo,</w:t>
      </w:r>
      <w:r>
        <w:rPr>
          <w:spacing w:val="-29"/>
          <w:sz w:val="23"/>
        </w:rPr>
        <w:t> </w:t>
      </w:r>
      <w:r>
        <w:rPr>
          <w:i/>
          <w:sz w:val="23"/>
        </w:rPr>
        <w:t>Busca</w:t>
      </w:r>
      <w:r>
        <w:rPr>
          <w:i/>
          <w:spacing w:val="-29"/>
          <w:sz w:val="23"/>
        </w:rPr>
        <w:t> </w:t>
      </w:r>
      <w:r>
        <w:rPr>
          <w:i/>
          <w:sz w:val="23"/>
        </w:rPr>
        <w:t>Hidalgo</w:t>
      </w:r>
      <w:r>
        <w:rPr>
          <w:i/>
          <w:spacing w:val="-29"/>
          <w:sz w:val="23"/>
        </w:rPr>
        <w:t> </w:t>
      </w:r>
      <w:r>
        <w:rPr>
          <w:i/>
          <w:sz w:val="23"/>
        </w:rPr>
        <w:t>asesoría</w:t>
      </w:r>
      <w:r>
        <w:rPr>
          <w:i/>
          <w:spacing w:val="-29"/>
          <w:sz w:val="23"/>
        </w:rPr>
        <w:t> </w:t>
      </w:r>
      <w:r>
        <w:rPr>
          <w:i/>
          <w:sz w:val="23"/>
        </w:rPr>
        <w:t>internacional</w:t>
      </w:r>
      <w:r>
        <w:rPr>
          <w:i/>
          <w:spacing w:val="-29"/>
          <w:sz w:val="23"/>
        </w:rPr>
        <w:t> </w:t>
      </w:r>
      <w:r>
        <w:rPr>
          <w:i/>
          <w:sz w:val="23"/>
        </w:rPr>
        <w:t>para</w:t>
      </w:r>
      <w:r>
        <w:rPr>
          <w:i/>
          <w:spacing w:val="-29"/>
          <w:sz w:val="23"/>
        </w:rPr>
        <w:t> </w:t>
      </w:r>
      <w:r>
        <w:rPr>
          <w:i/>
          <w:sz w:val="23"/>
        </w:rPr>
        <w:t>validar</w:t>
      </w:r>
      <w:r>
        <w:rPr>
          <w:i/>
          <w:spacing w:val="-29"/>
          <w:sz w:val="23"/>
        </w:rPr>
        <w:t> </w:t>
      </w:r>
      <w:r>
        <w:rPr>
          <w:i/>
          <w:sz w:val="23"/>
        </w:rPr>
        <w:t>aeropuerto </w:t>
      </w:r>
      <w:r>
        <w:rPr>
          <w:i/>
          <w:sz w:val="23"/>
        </w:rPr>
        <w:t>en</w:t>
      </w:r>
      <w:r>
        <w:rPr>
          <w:i/>
          <w:spacing w:val="-10"/>
          <w:sz w:val="23"/>
        </w:rPr>
        <w:t> </w:t>
      </w:r>
      <w:r>
        <w:rPr>
          <w:i/>
          <w:sz w:val="23"/>
        </w:rPr>
        <w:t>Tizayuca</w:t>
      </w:r>
      <w:r>
        <w:rPr>
          <w:sz w:val="23"/>
        </w:rPr>
        <w:t>.</w:t>
      </w:r>
      <w:r>
        <w:rPr>
          <w:spacing w:val="-10"/>
          <w:sz w:val="23"/>
        </w:rPr>
        <w:t> </w:t>
      </w:r>
      <w:r>
        <w:rPr>
          <w:sz w:val="23"/>
        </w:rPr>
        <w:t>En</w:t>
      </w:r>
      <w:r>
        <w:rPr>
          <w:spacing w:val="-10"/>
          <w:sz w:val="23"/>
        </w:rPr>
        <w:t> </w:t>
      </w:r>
      <w:r>
        <w:rPr>
          <w:sz w:val="23"/>
        </w:rPr>
        <w:t>El</w:t>
      </w:r>
      <w:r>
        <w:rPr>
          <w:spacing w:val="-10"/>
          <w:sz w:val="23"/>
        </w:rPr>
        <w:t> </w:t>
      </w:r>
      <w:r>
        <w:rPr>
          <w:sz w:val="23"/>
        </w:rPr>
        <w:t>Independiente</w:t>
      </w:r>
      <w:r>
        <w:rPr>
          <w:spacing w:val="-10"/>
          <w:sz w:val="23"/>
        </w:rPr>
        <w:t> </w:t>
      </w:r>
      <w:r>
        <w:rPr>
          <w:sz w:val="23"/>
        </w:rPr>
        <w:t>de</w:t>
      </w:r>
      <w:r>
        <w:rPr>
          <w:spacing w:val="-10"/>
          <w:sz w:val="23"/>
        </w:rPr>
        <w:t> </w:t>
      </w:r>
      <w:r>
        <w:rPr>
          <w:sz w:val="23"/>
        </w:rPr>
        <w:t>Hidalgo,</w:t>
      </w:r>
      <w:r>
        <w:rPr>
          <w:spacing w:val="-10"/>
          <w:sz w:val="23"/>
        </w:rPr>
        <w:t> </w:t>
      </w:r>
      <w:r>
        <w:rPr>
          <w:sz w:val="23"/>
        </w:rPr>
        <w:t>28</w:t>
      </w:r>
      <w:r>
        <w:rPr>
          <w:spacing w:val="-10"/>
          <w:sz w:val="23"/>
        </w:rPr>
        <w:t> </w:t>
      </w:r>
      <w:r>
        <w:rPr>
          <w:sz w:val="23"/>
        </w:rPr>
        <w:t>de</w:t>
      </w:r>
      <w:r>
        <w:rPr>
          <w:spacing w:val="-10"/>
          <w:sz w:val="23"/>
        </w:rPr>
        <w:t> </w:t>
      </w:r>
      <w:r>
        <w:rPr>
          <w:sz w:val="23"/>
        </w:rPr>
        <w:t>junio</w:t>
      </w:r>
      <w:r>
        <w:rPr>
          <w:spacing w:val="-10"/>
          <w:sz w:val="23"/>
        </w:rPr>
        <w:t> </w:t>
      </w:r>
      <w:r>
        <w:rPr>
          <w:sz w:val="23"/>
        </w:rPr>
        <w:t>del</w:t>
      </w:r>
      <w:r>
        <w:rPr>
          <w:spacing w:val="-10"/>
          <w:sz w:val="23"/>
        </w:rPr>
        <w:t> </w:t>
      </w:r>
      <w:r>
        <w:rPr>
          <w:sz w:val="23"/>
        </w:rPr>
        <w:t>2012,</w:t>
      </w:r>
      <w:r>
        <w:rPr>
          <w:spacing w:val="-10"/>
          <w:sz w:val="23"/>
        </w:rPr>
        <w:t> </w:t>
      </w:r>
      <w:r>
        <w:rPr>
          <w:sz w:val="23"/>
        </w:rPr>
        <w:t>año 4, número</w:t>
      </w:r>
      <w:r>
        <w:rPr>
          <w:spacing w:val="-9"/>
          <w:sz w:val="23"/>
        </w:rPr>
        <w:t> </w:t>
      </w:r>
      <w:r>
        <w:rPr>
          <w:sz w:val="23"/>
        </w:rPr>
        <w:t>1153.</w:t>
      </w:r>
    </w:p>
    <w:p>
      <w:pPr>
        <w:spacing w:line="260" w:lineRule="exact" w:before="0"/>
        <w:ind w:left="684" w:right="108" w:hanging="567"/>
        <w:jc w:val="both"/>
        <w:rPr>
          <w:sz w:val="23"/>
        </w:rPr>
      </w:pPr>
      <w:r>
        <w:rPr>
          <w:sz w:val="23"/>
        </w:rPr>
        <w:t>Rico, José Luis, </w:t>
      </w:r>
      <w:r>
        <w:rPr>
          <w:i/>
          <w:spacing w:val="-6"/>
          <w:sz w:val="23"/>
        </w:rPr>
        <w:t>Tren </w:t>
      </w:r>
      <w:r>
        <w:rPr>
          <w:i/>
          <w:sz w:val="23"/>
        </w:rPr>
        <w:t>suburbano, a mediano plazo en Hidalgo</w:t>
      </w:r>
      <w:r>
        <w:rPr>
          <w:sz w:val="23"/>
        </w:rPr>
        <w:t>. En El Sol de Hidalgo,</w:t>
      </w:r>
      <w:r>
        <w:rPr>
          <w:spacing w:val="-10"/>
          <w:sz w:val="23"/>
        </w:rPr>
        <w:t> </w:t>
      </w:r>
      <w:r>
        <w:rPr>
          <w:sz w:val="23"/>
        </w:rPr>
        <w:t>1°</w:t>
      </w:r>
      <w:r>
        <w:rPr>
          <w:spacing w:val="-11"/>
          <w:sz w:val="23"/>
        </w:rPr>
        <w:t> </w:t>
      </w:r>
      <w:r>
        <w:rPr>
          <w:sz w:val="23"/>
        </w:rPr>
        <w:t>de</w:t>
      </w:r>
      <w:r>
        <w:rPr>
          <w:spacing w:val="-11"/>
          <w:sz w:val="23"/>
        </w:rPr>
        <w:t> </w:t>
      </w:r>
      <w:r>
        <w:rPr>
          <w:sz w:val="23"/>
        </w:rPr>
        <w:t>mayo</w:t>
      </w:r>
      <w:r>
        <w:rPr>
          <w:spacing w:val="-11"/>
          <w:sz w:val="23"/>
        </w:rPr>
        <w:t> </w:t>
      </w:r>
      <w:r>
        <w:rPr>
          <w:sz w:val="23"/>
        </w:rPr>
        <w:t>de</w:t>
      </w:r>
      <w:r>
        <w:rPr>
          <w:spacing w:val="-11"/>
          <w:sz w:val="23"/>
        </w:rPr>
        <w:t> </w:t>
      </w:r>
      <w:r>
        <w:rPr>
          <w:sz w:val="23"/>
        </w:rPr>
        <w:t>2011,</w:t>
      </w:r>
      <w:r>
        <w:rPr>
          <w:spacing w:val="-11"/>
          <w:sz w:val="23"/>
        </w:rPr>
        <w:t> </w:t>
      </w:r>
      <w:hyperlink r:id="rId298">
        <w:r>
          <w:rPr>
            <w:sz w:val="23"/>
          </w:rPr>
          <w:t>http://www.oem.com.mx/elsoldemexico/</w:t>
        </w:r>
      </w:hyperlink>
      <w:r>
        <w:rPr>
          <w:sz w:val="23"/>
        </w:rPr>
        <w:t> notas/n2060918.htm.</w:t>
      </w:r>
    </w:p>
    <w:p>
      <w:pPr>
        <w:spacing w:line="260" w:lineRule="exact" w:before="0"/>
        <w:ind w:left="684" w:right="107" w:hanging="567"/>
        <w:jc w:val="both"/>
        <w:rPr>
          <w:sz w:val="23"/>
        </w:rPr>
      </w:pPr>
      <w:r>
        <w:rPr>
          <w:sz w:val="23"/>
        </w:rPr>
        <w:t>Secretaría de Finanzas, Procuraduría Fiscal; </w:t>
      </w:r>
      <w:r>
        <w:rPr>
          <w:i/>
          <w:sz w:val="23"/>
        </w:rPr>
        <w:t>Cartera de créditos fiscales, </w:t>
      </w:r>
      <w:r>
        <w:rPr>
          <w:i/>
          <w:sz w:val="23"/>
        </w:rPr>
        <w:t>propuesta de abatimiento de inventarios créditos prescritos, </w:t>
      </w:r>
      <w:r>
        <w:rPr>
          <w:sz w:val="23"/>
        </w:rPr>
        <w:t>presentación power point.</w:t>
      </w:r>
    </w:p>
    <w:p>
      <w:pPr>
        <w:spacing w:line="260" w:lineRule="exact" w:before="0"/>
        <w:ind w:left="684" w:right="98" w:hanging="567"/>
        <w:jc w:val="both"/>
        <w:rPr>
          <w:sz w:val="23"/>
        </w:rPr>
      </w:pPr>
      <w:r>
        <w:rPr>
          <w:sz w:val="23"/>
        </w:rPr>
        <w:t>Secretaría de Hacienda y Crédito Público, </w:t>
      </w:r>
      <w:r>
        <w:rPr>
          <w:i/>
          <w:sz w:val="23"/>
        </w:rPr>
        <w:t>Las finanzas  públicas  y  la  </w:t>
      </w:r>
      <w:r>
        <w:rPr>
          <w:i/>
          <w:sz w:val="23"/>
        </w:rPr>
        <w:t>deuda pública</w:t>
      </w:r>
      <w:r>
        <w:rPr>
          <w:sz w:val="23"/>
        </w:rPr>
        <w:t>, información publicada en: </w:t>
      </w:r>
      <w:hyperlink r:id="rId145">
        <w:r>
          <w:rPr>
            <w:sz w:val="23"/>
          </w:rPr>
          <w:t>http://www.shcp.gob.mx/</w:t>
        </w:r>
      </w:hyperlink>
      <w:r>
        <w:rPr>
          <w:sz w:val="23"/>
        </w:rPr>
        <w:t> </w:t>
      </w:r>
      <w:r>
        <w:rPr>
          <w:spacing w:val="8"/>
          <w:sz w:val="23"/>
        </w:rPr>
        <w:t>POLITICAFINANCIERA/FINANZASPUBLI-CAS/ITSSEFPDP/</w:t>
      </w:r>
    </w:p>
    <w:p>
      <w:pPr>
        <w:pStyle w:val="BodyText"/>
        <w:spacing w:line="255" w:lineRule="exact"/>
        <w:ind w:left="684"/>
      </w:pPr>
      <w:r>
        <w:rPr/>
        <w:t>paginas/2009.aspx, consulta realizada el 14 de febrero de 2011.</w:t>
      </w:r>
    </w:p>
    <w:p>
      <w:pPr>
        <w:spacing w:line="260" w:lineRule="exact" w:before="4"/>
        <w:ind w:left="684" w:right="98" w:hanging="567"/>
        <w:jc w:val="both"/>
        <w:rPr>
          <w:sz w:val="23"/>
        </w:rPr>
      </w:pPr>
      <w:r>
        <w:rPr>
          <w:sz w:val="23"/>
        </w:rPr>
        <w:t>Secretaría de Hacienda y Crédito Público, </w:t>
      </w:r>
      <w:r>
        <w:rPr>
          <w:i/>
          <w:sz w:val="23"/>
        </w:rPr>
        <w:t>Las finanzas  públicas  y  la  </w:t>
      </w:r>
      <w:r>
        <w:rPr>
          <w:i/>
          <w:sz w:val="23"/>
        </w:rPr>
        <w:t>deuda pública</w:t>
      </w:r>
      <w:r>
        <w:rPr>
          <w:sz w:val="23"/>
        </w:rPr>
        <w:t>, información publicada en: </w:t>
      </w:r>
      <w:hyperlink r:id="rId145">
        <w:r>
          <w:rPr>
            <w:sz w:val="23"/>
          </w:rPr>
          <w:t>http://www.shcp.gob.mx/</w:t>
        </w:r>
      </w:hyperlink>
      <w:r>
        <w:rPr>
          <w:sz w:val="23"/>
        </w:rPr>
        <w:t> </w:t>
      </w:r>
      <w:r>
        <w:rPr>
          <w:spacing w:val="8"/>
          <w:sz w:val="23"/>
        </w:rPr>
        <w:t>POLITICAFINANCIERA/FINANZASPUBLI-CAS/ITSSEFPDP/</w:t>
      </w:r>
    </w:p>
    <w:p>
      <w:pPr>
        <w:pStyle w:val="BodyText"/>
        <w:spacing w:line="255" w:lineRule="exact"/>
        <w:ind w:left="684"/>
      </w:pPr>
      <w:r>
        <w:rPr/>
        <w:t>paginas/2010.aspx, consulta realizada el 14 de febrero de 2011.</w:t>
      </w:r>
    </w:p>
    <w:p>
      <w:pPr>
        <w:spacing w:line="260" w:lineRule="exact" w:before="4"/>
        <w:ind w:left="684" w:right="108" w:hanging="567"/>
        <w:jc w:val="both"/>
        <w:rPr>
          <w:sz w:val="23"/>
        </w:rPr>
      </w:pPr>
      <w:r>
        <w:rPr>
          <w:sz w:val="23"/>
        </w:rPr>
        <w:t>Secretaría de Hacienda y Crédito Público, Unidad de Coordinación con Entidades Federativas; </w:t>
      </w:r>
      <w:r>
        <w:rPr>
          <w:i/>
          <w:sz w:val="23"/>
        </w:rPr>
        <w:t>Diagnóstico integral de la situación actual de </w:t>
      </w:r>
      <w:r>
        <w:rPr>
          <w:i/>
          <w:sz w:val="23"/>
        </w:rPr>
        <w:t>las haciendas públicas estatales y municipales, </w:t>
      </w:r>
      <w:r>
        <w:rPr>
          <w:sz w:val="23"/>
        </w:rPr>
        <w:t>2003.</w:t>
      </w:r>
    </w:p>
    <w:p>
      <w:pPr>
        <w:spacing w:after="0" w:line="260" w:lineRule="exact"/>
        <w:jc w:val="both"/>
        <w:rPr>
          <w:sz w:val="23"/>
        </w:rPr>
        <w:sectPr>
          <w:headerReference w:type="even" r:id="rId294"/>
          <w:pgSz w:w="9360" w:h="13040"/>
          <w:pgMar w:header="0" w:footer="515" w:top="440" w:bottom="700" w:left="1300" w:right="740"/>
        </w:sectPr>
      </w:pPr>
    </w:p>
    <w:p>
      <w:pPr>
        <w:pStyle w:val="BodyText"/>
        <w:rPr>
          <w:sz w:val="20"/>
        </w:rPr>
      </w:pPr>
    </w:p>
    <w:p>
      <w:pPr>
        <w:pStyle w:val="BodyText"/>
        <w:spacing w:before="1"/>
        <w:rPr>
          <w:sz w:val="29"/>
        </w:rPr>
      </w:pPr>
    </w:p>
    <w:p>
      <w:pPr>
        <w:spacing w:line="260" w:lineRule="exact" w:before="77"/>
        <w:ind w:left="677" w:right="115" w:hanging="567"/>
        <w:jc w:val="both"/>
        <w:rPr>
          <w:sz w:val="23"/>
        </w:rPr>
      </w:pPr>
      <w:r>
        <w:rPr>
          <w:sz w:val="23"/>
        </w:rPr>
        <w:t>Secretaría de Hacienda y Crédito Público, Unidad de Coordinación con Enti- dades Federativas; </w:t>
      </w:r>
      <w:r>
        <w:rPr>
          <w:i/>
          <w:sz w:val="23"/>
        </w:rPr>
        <w:t>Diagnóstico integral de la situación actual de las </w:t>
      </w:r>
      <w:r>
        <w:rPr>
          <w:i/>
          <w:sz w:val="23"/>
        </w:rPr>
        <w:t>haciendas públicas estatales y municipales, </w:t>
      </w:r>
      <w:r>
        <w:rPr>
          <w:sz w:val="23"/>
        </w:rPr>
        <w:t>2004.</w:t>
      </w:r>
    </w:p>
    <w:p>
      <w:pPr>
        <w:spacing w:line="260" w:lineRule="exact" w:before="0"/>
        <w:ind w:left="677" w:right="114" w:hanging="567"/>
        <w:jc w:val="both"/>
        <w:rPr>
          <w:sz w:val="23"/>
        </w:rPr>
      </w:pPr>
      <w:r>
        <w:rPr>
          <w:sz w:val="23"/>
        </w:rPr>
        <w:t>Secretaría de Hacienda y Crédito Público, Unidad de Coordinación con En- tidades Federativas; </w:t>
      </w:r>
      <w:r>
        <w:rPr>
          <w:i/>
          <w:sz w:val="23"/>
        </w:rPr>
        <w:t>Diagnóstico integral de la situación actual de las </w:t>
      </w:r>
      <w:r>
        <w:rPr>
          <w:i/>
          <w:sz w:val="23"/>
        </w:rPr>
        <w:t>haciendas públicas estatales y municipales, </w:t>
      </w:r>
      <w:r>
        <w:rPr>
          <w:sz w:val="23"/>
        </w:rPr>
        <w:t>2005.</w:t>
      </w:r>
    </w:p>
    <w:p>
      <w:pPr>
        <w:spacing w:line="260" w:lineRule="exact" w:before="0"/>
        <w:ind w:left="677" w:right="115" w:hanging="567"/>
        <w:jc w:val="both"/>
        <w:rPr>
          <w:sz w:val="23"/>
        </w:rPr>
      </w:pPr>
      <w:r>
        <w:rPr>
          <w:sz w:val="23"/>
        </w:rPr>
        <w:t>Secretaría de Hacienda y Crédito Público, Unidad de Coordinación con Enti- dades Federativas; </w:t>
      </w:r>
      <w:r>
        <w:rPr>
          <w:i/>
          <w:sz w:val="23"/>
        </w:rPr>
        <w:t>Diagnóstico integral de la situación actual de las </w:t>
      </w:r>
      <w:r>
        <w:rPr>
          <w:i/>
          <w:sz w:val="23"/>
        </w:rPr>
        <w:t>haciendas públicas estatales y municipales, </w:t>
      </w:r>
      <w:r>
        <w:rPr>
          <w:sz w:val="23"/>
        </w:rPr>
        <w:t>2006.</w:t>
      </w:r>
    </w:p>
    <w:p>
      <w:pPr>
        <w:spacing w:line="260" w:lineRule="exact" w:before="0"/>
        <w:ind w:left="677" w:right="115" w:hanging="567"/>
        <w:jc w:val="both"/>
        <w:rPr>
          <w:sz w:val="23"/>
        </w:rPr>
      </w:pPr>
      <w:r>
        <w:rPr>
          <w:sz w:val="23"/>
        </w:rPr>
        <w:t>Secretaría de Hacienda y Crédito Público, Unidad de Coordinación con Enti- dades Federativas; </w:t>
      </w:r>
      <w:r>
        <w:rPr>
          <w:i/>
          <w:sz w:val="23"/>
        </w:rPr>
        <w:t>Diagnóstico integral de la situación actual de las </w:t>
      </w:r>
      <w:r>
        <w:rPr>
          <w:i/>
          <w:sz w:val="23"/>
        </w:rPr>
        <w:t>haciendas públicas estatales y municipales, </w:t>
      </w:r>
      <w:r>
        <w:rPr>
          <w:sz w:val="23"/>
        </w:rPr>
        <w:t>2007.</w:t>
      </w:r>
    </w:p>
    <w:p>
      <w:pPr>
        <w:spacing w:line="260" w:lineRule="exact" w:before="0"/>
        <w:ind w:left="677" w:right="115" w:hanging="567"/>
        <w:jc w:val="both"/>
        <w:rPr>
          <w:sz w:val="23"/>
        </w:rPr>
      </w:pPr>
      <w:r>
        <w:rPr>
          <w:sz w:val="23"/>
        </w:rPr>
        <w:t>Secretaría de la Reforma Agraria, </w:t>
      </w:r>
      <w:r>
        <w:rPr>
          <w:i/>
          <w:sz w:val="23"/>
        </w:rPr>
        <w:t>Proyecto refinería, avances en expedición </w:t>
      </w:r>
      <w:r>
        <w:rPr>
          <w:i/>
          <w:sz w:val="23"/>
        </w:rPr>
        <w:t>de</w:t>
      </w:r>
      <w:r>
        <w:rPr>
          <w:i/>
          <w:spacing w:val="-7"/>
          <w:sz w:val="23"/>
        </w:rPr>
        <w:t> </w:t>
      </w:r>
      <w:r>
        <w:rPr>
          <w:i/>
          <w:sz w:val="23"/>
        </w:rPr>
        <w:t>títulos</w:t>
      </w:r>
      <w:r>
        <w:rPr>
          <w:i/>
          <w:spacing w:val="-7"/>
          <w:sz w:val="23"/>
        </w:rPr>
        <w:t> </w:t>
      </w:r>
      <w:r>
        <w:rPr>
          <w:i/>
          <w:sz w:val="23"/>
        </w:rPr>
        <w:t>de</w:t>
      </w:r>
      <w:r>
        <w:rPr>
          <w:i/>
          <w:spacing w:val="-7"/>
          <w:sz w:val="23"/>
        </w:rPr>
        <w:t> </w:t>
      </w:r>
      <w:r>
        <w:rPr>
          <w:i/>
          <w:sz w:val="23"/>
        </w:rPr>
        <w:t>propiedad,</w:t>
      </w:r>
      <w:r>
        <w:rPr>
          <w:i/>
          <w:spacing w:val="-7"/>
          <w:sz w:val="23"/>
        </w:rPr>
        <w:t> </w:t>
      </w:r>
      <w:r>
        <w:rPr>
          <w:i/>
          <w:sz w:val="23"/>
        </w:rPr>
        <w:t>RAN;</w:t>
      </w:r>
      <w:r>
        <w:rPr>
          <w:i/>
          <w:spacing w:val="-7"/>
          <w:sz w:val="23"/>
        </w:rPr>
        <w:t> </w:t>
      </w:r>
      <w:r>
        <w:rPr>
          <w:sz w:val="23"/>
        </w:rPr>
        <w:t>México,</w:t>
      </w:r>
      <w:r>
        <w:rPr>
          <w:spacing w:val="-7"/>
          <w:sz w:val="23"/>
        </w:rPr>
        <w:t> </w:t>
      </w:r>
      <w:r>
        <w:rPr>
          <w:sz w:val="23"/>
        </w:rPr>
        <w:t>presentación</w:t>
      </w:r>
      <w:r>
        <w:rPr>
          <w:spacing w:val="-7"/>
          <w:sz w:val="23"/>
        </w:rPr>
        <w:t> </w:t>
      </w:r>
      <w:r>
        <w:rPr>
          <w:i/>
          <w:sz w:val="23"/>
        </w:rPr>
        <w:t>power</w:t>
      </w:r>
      <w:r>
        <w:rPr>
          <w:i/>
          <w:spacing w:val="-7"/>
          <w:sz w:val="23"/>
        </w:rPr>
        <w:t> </w:t>
      </w:r>
      <w:r>
        <w:rPr>
          <w:i/>
          <w:sz w:val="23"/>
        </w:rPr>
        <w:t>point</w:t>
      </w:r>
      <w:r>
        <w:rPr>
          <w:sz w:val="23"/>
        </w:rPr>
        <w:t>,</w:t>
      </w:r>
      <w:r>
        <w:rPr>
          <w:spacing w:val="-7"/>
          <w:sz w:val="23"/>
        </w:rPr>
        <w:t> </w:t>
      </w:r>
      <w:r>
        <w:rPr>
          <w:sz w:val="23"/>
        </w:rPr>
        <w:t>12</w:t>
      </w:r>
      <w:r>
        <w:rPr>
          <w:spacing w:val="-7"/>
          <w:sz w:val="23"/>
        </w:rPr>
        <w:t> </w:t>
      </w:r>
      <w:r>
        <w:rPr>
          <w:sz w:val="23"/>
        </w:rPr>
        <w:t>de agosto de</w:t>
      </w:r>
      <w:r>
        <w:rPr>
          <w:spacing w:val="-1"/>
          <w:sz w:val="23"/>
        </w:rPr>
        <w:t> </w:t>
      </w:r>
      <w:r>
        <w:rPr>
          <w:sz w:val="23"/>
        </w:rPr>
        <w:t>2009.</w:t>
      </w:r>
    </w:p>
    <w:p>
      <w:pPr>
        <w:spacing w:line="255" w:lineRule="exact" w:before="0"/>
        <w:ind w:left="110" w:right="0" w:firstLine="0"/>
        <w:jc w:val="left"/>
        <w:rPr>
          <w:i/>
          <w:sz w:val="23"/>
        </w:rPr>
      </w:pPr>
      <w:r>
        <w:rPr>
          <w:sz w:val="23"/>
        </w:rPr>
        <w:t>Servicio de Administración Tributaria (SAT), </w:t>
      </w:r>
      <w:r>
        <w:rPr>
          <w:i/>
          <w:sz w:val="23"/>
        </w:rPr>
        <w:t>Oficio 800-08-00-00-00-2010-</w:t>
      </w:r>
    </w:p>
    <w:p>
      <w:pPr>
        <w:pStyle w:val="BodyText"/>
        <w:spacing w:line="260" w:lineRule="exact"/>
        <w:ind w:left="677"/>
      </w:pPr>
      <w:r>
        <w:rPr>
          <w:i/>
        </w:rPr>
        <w:t>091</w:t>
      </w:r>
      <w:r>
        <w:rPr/>
        <w:t>, 16 de agosto de 2010.</w:t>
      </w:r>
    </w:p>
    <w:p>
      <w:pPr>
        <w:spacing w:line="260" w:lineRule="exact" w:before="4"/>
        <w:ind w:left="677" w:right="114" w:hanging="567"/>
        <w:jc w:val="both"/>
        <w:rPr>
          <w:sz w:val="23"/>
        </w:rPr>
      </w:pPr>
      <w:r>
        <w:rPr>
          <w:spacing w:val="-4"/>
          <w:sz w:val="23"/>
        </w:rPr>
        <w:t>Watts,</w:t>
      </w:r>
      <w:r>
        <w:rPr>
          <w:spacing w:val="-12"/>
          <w:sz w:val="23"/>
        </w:rPr>
        <w:t> </w:t>
      </w:r>
      <w:r>
        <w:rPr>
          <w:sz w:val="23"/>
        </w:rPr>
        <w:t>Ronald</w:t>
      </w:r>
      <w:r>
        <w:rPr>
          <w:spacing w:val="-11"/>
          <w:sz w:val="23"/>
        </w:rPr>
        <w:t> </w:t>
      </w:r>
      <w:r>
        <w:rPr>
          <w:sz w:val="23"/>
        </w:rPr>
        <w:t>L.,</w:t>
      </w:r>
      <w:r>
        <w:rPr>
          <w:spacing w:val="-12"/>
          <w:sz w:val="23"/>
        </w:rPr>
        <w:t> </w:t>
      </w:r>
      <w:r>
        <w:rPr>
          <w:i/>
          <w:sz w:val="23"/>
        </w:rPr>
        <w:t>Sistemas</w:t>
      </w:r>
      <w:r>
        <w:rPr>
          <w:i/>
          <w:spacing w:val="-11"/>
          <w:sz w:val="23"/>
        </w:rPr>
        <w:t> </w:t>
      </w:r>
      <w:r>
        <w:rPr>
          <w:i/>
          <w:sz w:val="23"/>
        </w:rPr>
        <w:t>federales</w:t>
      </w:r>
      <w:r>
        <w:rPr>
          <w:i/>
          <w:spacing w:val="-12"/>
          <w:sz w:val="23"/>
        </w:rPr>
        <w:t> </w:t>
      </w:r>
      <w:r>
        <w:rPr>
          <w:i/>
          <w:sz w:val="23"/>
        </w:rPr>
        <w:t>comparados,</w:t>
      </w:r>
      <w:r>
        <w:rPr>
          <w:i/>
          <w:spacing w:val="-12"/>
          <w:sz w:val="23"/>
        </w:rPr>
        <w:t> </w:t>
      </w:r>
      <w:r>
        <w:rPr>
          <w:sz w:val="23"/>
        </w:rPr>
        <w:t>Madrid-Barcelona</w:t>
      </w:r>
      <w:r>
        <w:rPr>
          <w:spacing w:val="-10"/>
          <w:sz w:val="23"/>
        </w:rPr>
        <w:t> </w:t>
      </w:r>
      <w:r>
        <w:rPr>
          <w:sz w:val="23"/>
        </w:rPr>
        <w:t>España, Marcial Pons Ediciones Jurídicas y Sociales S.</w:t>
      </w:r>
      <w:r>
        <w:rPr>
          <w:spacing w:val="-42"/>
          <w:sz w:val="23"/>
        </w:rPr>
        <w:t> </w:t>
      </w:r>
      <w:r>
        <w:rPr>
          <w:sz w:val="23"/>
        </w:rPr>
        <w:t>A., 2006.</w:t>
      </w:r>
    </w:p>
    <w:p>
      <w:pPr>
        <w:spacing w:line="260" w:lineRule="exact" w:before="0"/>
        <w:ind w:left="677" w:right="115" w:hanging="567"/>
        <w:jc w:val="both"/>
        <w:rPr>
          <w:sz w:val="23"/>
        </w:rPr>
      </w:pPr>
      <w:r>
        <w:rPr>
          <w:sz w:val="23"/>
        </w:rPr>
        <w:t>Wright,</w:t>
      </w:r>
      <w:r>
        <w:rPr>
          <w:spacing w:val="-8"/>
          <w:sz w:val="23"/>
        </w:rPr>
        <w:t> </w:t>
      </w:r>
      <w:r>
        <w:rPr>
          <w:sz w:val="23"/>
        </w:rPr>
        <w:t>Deil</w:t>
      </w:r>
      <w:r>
        <w:rPr>
          <w:spacing w:val="-8"/>
          <w:sz w:val="23"/>
        </w:rPr>
        <w:t> </w:t>
      </w:r>
      <w:r>
        <w:rPr>
          <w:sz w:val="23"/>
        </w:rPr>
        <w:t>S.,</w:t>
      </w:r>
      <w:r>
        <w:rPr>
          <w:spacing w:val="-8"/>
          <w:sz w:val="23"/>
        </w:rPr>
        <w:t> </w:t>
      </w:r>
      <w:r>
        <w:rPr>
          <w:i/>
          <w:sz w:val="23"/>
        </w:rPr>
        <w:t>Para</w:t>
      </w:r>
      <w:r>
        <w:rPr>
          <w:i/>
          <w:spacing w:val="-8"/>
          <w:sz w:val="23"/>
        </w:rPr>
        <w:t> </w:t>
      </w:r>
      <w:r>
        <w:rPr>
          <w:i/>
          <w:sz w:val="23"/>
        </w:rPr>
        <w:t>entender</w:t>
      </w:r>
      <w:r>
        <w:rPr>
          <w:i/>
          <w:spacing w:val="-8"/>
          <w:sz w:val="23"/>
        </w:rPr>
        <w:t> </w:t>
      </w:r>
      <w:r>
        <w:rPr>
          <w:i/>
          <w:sz w:val="23"/>
        </w:rPr>
        <w:t>las</w:t>
      </w:r>
      <w:r>
        <w:rPr>
          <w:i/>
          <w:spacing w:val="-8"/>
          <w:sz w:val="23"/>
        </w:rPr>
        <w:t> </w:t>
      </w:r>
      <w:r>
        <w:rPr>
          <w:i/>
          <w:sz w:val="23"/>
        </w:rPr>
        <w:t>relaciones</w:t>
      </w:r>
      <w:r>
        <w:rPr>
          <w:i/>
          <w:spacing w:val="-9"/>
          <w:sz w:val="23"/>
        </w:rPr>
        <w:t> </w:t>
      </w:r>
      <w:r>
        <w:rPr>
          <w:i/>
          <w:sz w:val="23"/>
        </w:rPr>
        <w:t>intergubernamentales,</w:t>
      </w:r>
      <w:r>
        <w:rPr>
          <w:i/>
          <w:spacing w:val="-8"/>
          <w:sz w:val="23"/>
        </w:rPr>
        <w:t> </w:t>
      </w:r>
      <w:r>
        <w:rPr>
          <w:sz w:val="23"/>
        </w:rPr>
        <w:t>México, Colegio Nacional de Ciencias Políticas y Administración Pública, Universidad</w:t>
      </w:r>
      <w:r>
        <w:rPr>
          <w:spacing w:val="-24"/>
          <w:sz w:val="23"/>
        </w:rPr>
        <w:t> </w:t>
      </w:r>
      <w:r>
        <w:rPr>
          <w:sz w:val="23"/>
        </w:rPr>
        <w:t>Autónoma</w:t>
      </w:r>
      <w:r>
        <w:rPr>
          <w:spacing w:val="-13"/>
          <w:sz w:val="23"/>
        </w:rPr>
        <w:t> </w:t>
      </w:r>
      <w:r>
        <w:rPr>
          <w:sz w:val="23"/>
        </w:rPr>
        <w:t>de</w:t>
      </w:r>
      <w:r>
        <w:rPr>
          <w:spacing w:val="-13"/>
          <w:sz w:val="23"/>
        </w:rPr>
        <w:t> </w:t>
      </w:r>
      <w:r>
        <w:rPr>
          <w:sz w:val="23"/>
        </w:rPr>
        <w:t>Colima,</w:t>
      </w:r>
      <w:r>
        <w:rPr>
          <w:spacing w:val="-13"/>
          <w:sz w:val="23"/>
        </w:rPr>
        <w:t> </w:t>
      </w:r>
      <w:r>
        <w:rPr>
          <w:sz w:val="23"/>
        </w:rPr>
        <w:t>Fondo</w:t>
      </w:r>
      <w:r>
        <w:rPr>
          <w:spacing w:val="-13"/>
          <w:sz w:val="23"/>
        </w:rPr>
        <w:t> </w:t>
      </w:r>
      <w:r>
        <w:rPr>
          <w:sz w:val="23"/>
        </w:rPr>
        <w:t>de</w:t>
      </w:r>
      <w:r>
        <w:rPr>
          <w:spacing w:val="-13"/>
          <w:sz w:val="23"/>
        </w:rPr>
        <w:t> </w:t>
      </w:r>
      <w:r>
        <w:rPr>
          <w:sz w:val="23"/>
        </w:rPr>
        <w:t>Cultura</w:t>
      </w:r>
      <w:r>
        <w:rPr>
          <w:spacing w:val="-14"/>
          <w:sz w:val="23"/>
        </w:rPr>
        <w:t> </w:t>
      </w:r>
      <w:r>
        <w:rPr>
          <w:sz w:val="23"/>
        </w:rPr>
        <w:t>Económica,</w:t>
      </w:r>
      <w:r>
        <w:rPr>
          <w:spacing w:val="-14"/>
          <w:sz w:val="23"/>
        </w:rPr>
        <w:t> </w:t>
      </w:r>
      <w:r>
        <w:rPr>
          <w:sz w:val="23"/>
        </w:rPr>
        <w:t>1997, Primera edición en</w:t>
      </w:r>
      <w:r>
        <w:rPr>
          <w:spacing w:val="-8"/>
          <w:sz w:val="23"/>
        </w:rPr>
        <w:t> </w:t>
      </w:r>
      <w:r>
        <w:rPr>
          <w:sz w:val="23"/>
        </w:rPr>
        <w:t>español.</w:t>
      </w:r>
    </w:p>
    <w:p>
      <w:pPr>
        <w:spacing w:after="0" w:line="260" w:lineRule="exact"/>
        <w:jc w:val="both"/>
        <w:rPr>
          <w:sz w:val="23"/>
        </w:rPr>
        <w:sectPr>
          <w:headerReference w:type="even" r:id="rId299"/>
          <w:footerReference w:type="even" r:id="rId300"/>
          <w:pgSz w:w="9360" w:h="13040"/>
          <w:pgMar w:header="527" w:footer="515" w:top="720" w:bottom="700" w:left="740" w:right="1300"/>
          <w:pgNumType w:start="198"/>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77"/>
        <w:ind w:left="982" w:right="417" w:firstLine="0"/>
        <w:jc w:val="center"/>
        <w:rPr>
          <w:b/>
          <w:sz w:val="18"/>
        </w:rPr>
      </w:pPr>
      <w:r>
        <w:rPr>
          <w:b/>
          <w:sz w:val="18"/>
        </w:rPr>
        <w:t>Las Capacidades Subsidiarias del Gobierno Estatal</w:t>
      </w:r>
    </w:p>
    <w:p>
      <w:pPr>
        <w:spacing w:line="278" w:lineRule="auto" w:before="13"/>
        <w:ind w:left="985" w:right="417" w:firstLine="0"/>
        <w:jc w:val="center"/>
        <w:rPr>
          <w:b/>
          <w:sz w:val="18"/>
        </w:rPr>
      </w:pPr>
      <w:r>
        <w:rPr>
          <w:b/>
          <w:sz w:val="18"/>
        </w:rPr>
        <w:t>y de los Ayuntamientos del Estado de Hidalgo en el Contexto Federal: Finanzas Públicas, Políticas Públicas, Organización Social</w:t>
      </w:r>
    </w:p>
    <w:p>
      <w:pPr>
        <w:pStyle w:val="BodyText"/>
        <w:rPr>
          <w:b/>
          <w:sz w:val="18"/>
        </w:rPr>
      </w:pPr>
    </w:p>
    <w:p>
      <w:pPr>
        <w:pStyle w:val="BodyText"/>
        <w:spacing w:before="7"/>
        <w:rPr>
          <w:b/>
          <w:sz w:val="19"/>
        </w:rPr>
      </w:pPr>
    </w:p>
    <w:p>
      <w:pPr>
        <w:spacing w:before="0"/>
        <w:ind w:left="984" w:right="417" w:firstLine="0"/>
        <w:jc w:val="center"/>
        <w:rPr>
          <w:sz w:val="18"/>
        </w:rPr>
      </w:pPr>
      <w:r>
        <w:rPr>
          <w:sz w:val="18"/>
        </w:rPr>
        <w:t>Se terminó de imprimir en febrero de 2013</w:t>
      </w:r>
    </w:p>
    <w:p>
      <w:pPr>
        <w:spacing w:line="249" w:lineRule="auto" w:before="9"/>
        <w:ind w:left="1411" w:right="842" w:firstLine="0"/>
        <w:jc w:val="center"/>
        <w:rPr>
          <w:sz w:val="18"/>
        </w:rPr>
      </w:pPr>
      <w:r>
        <w:rPr>
          <w:sz w:val="18"/>
        </w:rPr>
        <w:t>en los talleres de Géminis Editores e impresores, S.A. de C.V. Emma Núm. 75, Col. Nativitas, México, D.F.</w:t>
      </w:r>
    </w:p>
    <w:p>
      <w:pPr>
        <w:spacing w:line="501" w:lineRule="auto" w:before="1"/>
        <w:ind w:left="2026" w:right="1445" w:firstLine="145"/>
        <w:jc w:val="left"/>
        <w:rPr>
          <w:sz w:val="18"/>
        </w:rPr>
      </w:pPr>
      <w:r>
        <w:rPr>
          <w:sz w:val="18"/>
        </w:rPr>
        <w:t>E-mail: </w:t>
      </w:r>
      <w:hyperlink r:id="rId303">
        <w:r>
          <w:rPr>
            <w:sz w:val="18"/>
          </w:rPr>
          <w:t>geminiseditores@prodigy.net.mx</w:t>
        </w:r>
      </w:hyperlink>
      <w:r>
        <w:rPr>
          <w:sz w:val="18"/>
        </w:rPr>
        <w:t> La edición en tiro consta de 1,000 ejemplares</w:t>
      </w:r>
    </w:p>
    <w:p>
      <w:pPr>
        <w:spacing w:before="7"/>
        <w:ind w:left="984" w:right="417" w:firstLine="0"/>
        <w:jc w:val="center"/>
        <w:rPr>
          <w:sz w:val="18"/>
        </w:rPr>
      </w:pPr>
      <w:r>
        <w:rPr>
          <w:sz w:val="18"/>
        </w:rPr>
        <w:t>Distribución a cargo del INAP.</w:t>
      </w:r>
    </w:p>
    <w:p>
      <w:pPr>
        <w:spacing w:after="0"/>
        <w:jc w:val="center"/>
        <w:rPr>
          <w:sz w:val="18"/>
        </w:rPr>
        <w:sectPr>
          <w:headerReference w:type="even" r:id="rId301"/>
          <w:footerReference w:type="even" r:id="rId302"/>
          <w:pgSz w:w="9360" w:h="13040"/>
          <w:pgMar w:header="0" w:footer="0" w:top="1200" w:bottom="280" w:left="1300" w:right="1300"/>
        </w:sectPr>
      </w:pPr>
    </w:p>
    <w:p>
      <w:pPr>
        <w:pStyle w:val="BodyText"/>
        <w:spacing w:before="4"/>
        <w:rPr>
          <w:sz w:val="17"/>
        </w:rPr>
      </w:pPr>
    </w:p>
    <w:p>
      <w:pPr>
        <w:spacing w:after="0"/>
        <w:rPr>
          <w:sz w:val="17"/>
        </w:rPr>
        <w:sectPr>
          <w:headerReference w:type="default" r:id="rId304"/>
          <w:footerReference w:type="default" r:id="rId305"/>
          <w:pgSz w:w="9360" w:h="13040"/>
          <w:pgMar w:header="0" w:footer="0" w:top="1200" w:bottom="280" w:left="1300" w:right="1300"/>
        </w:sectPr>
      </w:pPr>
    </w:p>
    <w:p>
      <w:pPr>
        <w:pStyle w:val="BodyText"/>
        <w:spacing w:before="4"/>
        <w:rPr>
          <w:sz w:val="17"/>
        </w:rPr>
      </w:pPr>
      <w:r>
        <w:rPr/>
        <w:pict>
          <v:group style="position:absolute;margin-left:1pt;margin-top:1.000016pt;width:467.75pt;height:651.950pt;mso-position-horizontal-relative:page;mso-position-vertical-relative:page;z-index:-148192" coordorigin="20,20" coordsize="9355,13039">
            <v:shape style="position:absolute;left:20;top:20;width:9354;height:13038" type="#_x0000_t75" stroked="false">
              <v:imagedata r:id="rId308" o:title=""/>
            </v:shape>
            <v:shape style="position:absolute;left:1584;top:9140;width:1738;height:509" coordorigin="1584,9140" coordsize="1738,509" path="m1716,9208l1711,9182,1697,9161,1676,9147,1650,9142,1624,9147,1603,9161,1589,9182,1584,9208,1584,9577,1589,9603,1603,9624,1624,9638,1650,9643,1676,9638,1697,9624,1711,9603,1716,9577,1716,9208m2299,9204l2279,9157,2235,9140,2191,9156,2171,9204,2171,9425,2102,9356,1915,9167,1880,9146,1844,9145,1815,9165,1804,9204,1804,9576,1824,9629,1867,9649,1910,9631,1930,9576,1930,9356,2200,9626,2225,9643,2246,9648,2263,9643,2277,9634,2290,9620,2297,9606,2299,9592,2299,9425,2299,9204m2891,9590l2872,9541,2688,9354,2502,9166,2467,9145,2431,9144,2402,9164,2391,9203,2391,9575,2410,9628,2454,9647,2497,9630,2516,9575,2516,9354,2787,9625,2834,9648,2873,9631,2891,9590m3322,9204l3318,9181,3308,9161,3291,9147,3264,9142,2989,9142,2963,9149,2942,9165,2928,9185,2922,9204,2922,9576,2943,9630,2988,9648,3033,9630,3054,9576,3054,9242,3207,9242,3207,9376,3133,9376,3095,9391,3083,9423,3096,9455,3133,9469,3272,9469,3291,9464,3307,9451,3318,9432,3322,9411,3322,9242,3322,9204e" filled="true" fillcolor="#00a94f" stroked="false">
              <v:path arrowok="t"/>
              <v:fill type="solid"/>
            </v:shape>
            <v:shape style="position:absolute;left:3565;top:9141;width:1160;height:518" type="#_x0000_t75" stroked="false">
              <v:imagedata r:id="rId309" o:title=""/>
            </v:shape>
            <v:line style="position:absolute" from="3452,8970" to="3452,9821" stroked="true" strokeweight="1.083500pt" strokecolor="#45555f"/>
            <v:shape style="position:absolute;left:6438;top:10913;width:1701;height:1111" type="#_x0000_t75" stroked="false">
              <v:imagedata r:id="rId310" o:title=""/>
            </v:shape>
            <v:shape style="position:absolute;left:6540;top:8970;width:1285;height:855" type="#_x0000_t75" stroked="false">
              <v:imagedata r:id="rId7" o:title=""/>
            </v:shape>
            <w10:wrap type="none"/>
          </v:group>
        </w:pict>
      </w:r>
      <w:bookmarkStart w:name="Página 1" w:id="44"/>
      <w:bookmarkEnd w:id="44"/>
      <w:r>
        <w:rPr/>
      </w:r>
      <w:r>
        <w:rPr>
          <w:sz w:val="17"/>
        </w:rPr>
      </w:r>
    </w:p>
    <w:sectPr>
      <w:headerReference w:type="even" r:id="rId306"/>
      <w:footerReference w:type="even" r:id="rId307"/>
      <w:pgSz w:w="9400" w:h="13080"/>
      <w:pgMar w:header="0" w:footer="0" w:top="1200" w:bottom="28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14.18869pt;margin-top:615.24176pt;width:13.05pt;height:11.1pt;mso-position-horizontal-relative:page;mso-position-vertical-relative:page;z-index:-15306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3695pt;margin-top:615.246704pt;width:13pt;height:11pt;mso-position-horizontal-relative:page;mso-position-vertical-relative:page;z-index:-15284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35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821pt;width:13.05pt;height:11.05pt;mso-position-horizontal-relative:page;mso-position-vertical-relative:page;z-index:-15282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36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75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51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0613pt;margin-top:615.33374pt;width:13pt;height:11pt;mso-position-horizontal-relative:page;mso-position-vertical-relative:page;z-index:-15272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53</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1099pt;margin-top:615.050720pt;width:13.05pt;height:11.2pt;mso-position-horizontal-relative:page;mso-position-vertical-relative:page;z-index:-15270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54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63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61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29pt;margin-top:615.241943pt;width:11pt;height:11pt;mso-position-horizontal-relative:page;mso-position-vertical-relative:page;z-index:-153040" type="#_x0000_t202" filled="false" stroked="false">
          <v:textbox inset="0,0,0,0">
            <w:txbxContent>
              <w:p>
                <w:pPr>
                  <w:spacing w:line="204" w:lineRule="exact" w:before="0"/>
                  <w:ind w:left="20" w:right="0" w:firstLine="0"/>
                  <w:jc w:val="left"/>
                  <w:rPr>
                    <w:sz w:val="18"/>
                  </w:rPr>
                </w:pPr>
                <w:r>
                  <w:rPr>
                    <w:sz w:val="18"/>
                  </w:rPr>
                  <w:t>18</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8869pt;margin-top:615.244751pt;width:13pt;height:11pt;mso-position-horizontal-relative:page;mso-position-vertical-relative:page;z-index:-15260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63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63pt;margin-top:615.237854pt;width:13.05pt;height:11.05pt;mso-position-horizontal-relative:page;mso-position-vertical-relative:page;z-index:-15258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66</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51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75</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48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77</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46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79</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469501pt;margin-top:615.24176pt;width:13.1pt;height:11.05pt;mso-position-horizontal-relative:page;mso-position-vertical-relative:page;z-index:-152440" type="#_x0000_t202" filled="false" stroked="false">
          <v:textbox inset="0,0,0,0">
            <w:txbxContent>
              <w:p>
                <w:pPr>
                  <w:spacing w:line="204" w:lineRule="exact" w:before="0"/>
                  <w:ind w:left="41" w:right="0" w:firstLine="0"/>
                  <w:jc w:val="left"/>
                  <w:rPr>
                    <w:sz w:val="18"/>
                  </w:rPr>
                </w:pPr>
                <w:r>
                  <w:rPr/>
                  <w:fldChar w:fldCharType="begin"/>
                </w:r>
                <w:r>
                  <w:rPr>
                    <w:sz w:val="18"/>
                  </w:rPr>
                  <w:instrText> PAGE </w:instrText>
                </w:r>
                <w:r>
                  <w:rPr/>
                  <w:fldChar w:fldCharType="separate"/>
                </w:r>
                <w:r>
                  <w:rPr/>
                  <w:t>82</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2368" from="42.51960pt,467.102905pt" to="114.5196pt,467.102905pt" stroked="true" strokeweight="1pt" strokecolor="#000000">
          <w10:wrap type="none"/>
        </v:line>
      </w:pict>
    </w:r>
    <w:r>
      <w:rPr/>
      <w:pict>
        <v:shape style="position:absolute;margin-left:41.516602pt;margin-top:615.24176pt;width:11pt;height:11pt;mso-position-horizontal-relative:page;mso-position-vertical-relative:page;z-index:-152344" type="#_x0000_t202" filled="false" stroked="false">
          <v:textbox inset="0,0,0,0">
            <w:txbxContent>
              <w:p>
                <w:pPr>
                  <w:spacing w:line="204" w:lineRule="exact" w:before="0"/>
                  <w:ind w:left="20" w:right="0" w:firstLine="0"/>
                  <w:jc w:val="left"/>
                  <w:rPr>
                    <w:sz w:val="18"/>
                  </w:rPr>
                </w:pPr>
                <w:r>
                  <w:rPr>
                    <w:sz w:val="18"/>
                  </w:rPr>
                  <w:t>96</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202087pt;margin-top:615.241821pt;width:13pt;height:11pt;mso-position-horizontal-relative:page;mso-position-vertical-relative:page;z-index:-152320" type="#_x0000_t202" filled="false" stroked="false">
          <v:textbox inset="0,0,0,0">
            <w:txbxContent>
              <w:p>
                <w:pPr>
                  <w:spacing w:line="204" w:lineRule="exact" w:before="0"/>
                  <w:ind w:left="40" w:right="0" w:firstLine="0"/>
                  <w:jc w:val="left"/>
                  <w:rPr>
                    <w:sz w:val="18"/>
                  </w:rPr>
                </w:pPr>
                <w:r>
                  <w:rPr>
                    <w:sz w:val="18"/>
                  </w:rPr>
                  <w:t>97</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56pt;margin-top:615.241821pt;width:11pt;height:11pt;mso-position-horizontal-relative:page;mso-position-vertical-relative:page;z-index:-152296" type="#_x0000_t202" filled="false" stroked="false">
          <v:textbox inset="0,0,0,0">
            <w:txbxContent>
              <w:p>
                <w:pPr>
                  <w:spacing w:line="204" w:lineRule="exact" w:before="0"/>
                  <w:ind w:left="20" w:right="0" w:firstLine="0"/>
                  <w:jc w:val="left"/>
                  <w:rPr>
                    <w:sz w:val="18"/>
                  </w:rPr>
                </w:pPr>
                <w:r>
                  <w:rPr>
                    <w:sz w:val="18"/>
                  </w:rPr>
                  <w:t>98</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21109pt;margin-top:615.241821pt;width:13pt;height:11pt;mso-position-horizontal-relative:page;mso-position-vertical-relative:page;z-index:-152272" type="#_x0000_t202" filled="false" stroked="false">
          <v:textbox inset="0,0,0,0">
            <w:txbxContent>
              <w:p>
                <w:pPr>
                  <w:spacing w:line="204" w:lineRule="exact" w:before="0"/>
                  <w:ind w:left="40" w:right="0" w:firstLine="0"/>
                  <w:jc w:val="left"/>
                  <w:rPr>
                    <w:sz w:val="18"/>
                  </w:rPr>
                </w:pPr>
                <w:r>
                  <w:rPr>
                    <w:sz w:val="18"/>
                  </w:rPr>
                  <w:t>99</w:t>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526901pt;margin-top:615.241821pt;width:15.5pt;height:11pt;mso-position-horizontal-relative:page;mso-position-vertical-relative:page;z-index:-152248" type="#_x0000_t202" filled="false" stroked="false">
          <v:textbox inset="0,0,0,0">
            <w:txbxContent>
              <w:p>
                <w:pPr>
                  <w:spacing w:line="204" w:lineRule="exact" w:before="0"/>
                  <w:ind w:left="20" w:right="0" w:firstLine="0"/>
                  <w:jc w:val="left"/>
                  <w:rPr>
                    <w:sz w:val="18"/>
                  </w:rPr>
                </w:pPr>
                <w:r>
                  <w:rPr>
                    <w:sz w:val="18"/>
                  </w:rPr>
                  <w:t>100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700287pt;margin-top:615.241943pt;width:15.5pt;height:11pt;mso-position-horizontal-relative:page;mso-position-vertical-relative:page;z-index:-152224" type="#_x0000_t202" filled="false" stroked="false">
          <v:textbox inset="0,0,0,0">
            <w:txbxContent>
              <w:p>
                <w:pPr>
                  <w:spacing w:line="204" w:lineRule="exact" w:before="0"/>
                  <w:ind w:left="20" w:right="0" w:firstLine="0"/>
                  <w:jc w:val="left"/>
                  <w:rPr>
                    <w:sz w:val="18"/>
                  </w:rPr>
                </w:pPr>
                <w:r>
                  <w:rPr>
                    <w:sz w:val="18"/>
                  </w:rPr>
                  <w:t>101</w:t>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821pt;width:17.55pt;height:11pt;mso-position-horizontal-relative:page;mso-position-vertical-relative:page;z-index:-15220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102</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5404pt;margin-top:615.20575pt;width:17.55pt;height:11.05pt;mso-position-horizontal-relative:page;mso-position-vertical-relative:page;z-index:-152176"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107</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432201pt;margin-top:615.216003pt;width:17.3pt;height:11.05pt;mso-position-horizontal-relative:page;mso-position-vertical-relative:page;z-index:-152152" type="#_x0000_t202" filled="false" stroked="false">
          <v:textbox inset="0,0,0,0">
            <w:txbxContent>
              <w:p>
                <w:pPr>
                  <w:spacing w:line="204" w:lineRule="exact" w:before="0"/>
                  <w:ind w:left="41" w:right="0" w:firstLine="0"/>
                  <w:jc w:val="left"/>
                  <w:rPr>
                    <w:sz w:val="18"/>
                  </w:rPr>
                </w:pPr>
                <w:r>
                  <w:rPr/>
                  <w:fldChar w:fldCharType="begin"/>
                </w:r>
                <w:r>
                  <w:rPr>
                    <w:sz w:val="18"/>
                  </w:rPr>
                  <w:instrText> PAGE </w:instrText>
                </w:r>
                <w:r>
                  <w:rPr/>
                  <w:fldChar w:fldCharType="separate"/>
                </w:r>
                <w:r>
                  <w:rPr/>
                  <w:t>110</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366302pt;margin-top:615.241943pt;width:16.5pt;height:11pt;mso-position-horizontal-relative:page;mso-position-vertical-relative:page;z-index:-15212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111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5099pt;margin-top:615.241821pt;width:13pt;height:11pt;mso-position-horizontal-relative:page;mso-position-vertical-relative:page;z-index:-15299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21</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030914pt;margin-top:615.242737pt;width:17.2pt;height:11pt;mso-position-horizontal-relative:page;mso-position-vertical-relative:page;z-index:-15210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117</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0.030914pt;margin-top:615.242737pt;width:17.2pt;height:11pt;mso-position-horizontal-relative:page;mso-position-vertical-relative:page;z-index:-15208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119</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12299pt;margin-top:615.239807pt;width:17.55pt;height:11.2pt;mso-position-horizontal-relative:page;mso-position-vertical-relative:page;z-index:-152056"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122</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700287pt;margin-top:615.240845pt;width:17.55pt;height:11.05pt;mso-position-horizontal-relative:page;mso-position-vertical-relative:page;z-index:-15198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121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943pt;width:17.5pt;height:11pt;mso-position-horizontal-relative:page;mso-position-vertical-relative:page;z-index:-15196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122</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1936" from="70.866096pt,531.102905pt" to="142.866096pt,531.102905pt" stroked="true" strokeweight="1pt" strokecolor="#000000">
          <w10:wrap type="none"/>
        </v:line>
      </w:pict>
    </w:r>
    <w:r>
      <w:rPr/>
      <w:pict>
        <v:shape style="position:absolute;margin-left:410.702087pt;margin-top:615.239807pt;width:15.5pt;height:11pt;mso-position-horizontal-relative:page;mso-position-vertical-relative:page;z-index:-151912" type="#_x0000_t202" filled="false" stroked="false">
          <v:textbox inset="0,0,0,0">
            <w:txbxContent>
              <w:p>
                <w:pPr>
                  <w:spacing w:line="204" w:lineRule="exact" w:before="0"/>
                  <w:ind w:left="20" w:right="0" w:firstLine="0"/>
                  <w:jc w:val="left"/>
                  <w:rPr>
                    <w:sz w:val="18"/>
                  </w:rPr>
                </w:pPr>
                <w:r>
                  <w:rPr>
                    <w:sz w:val="18"/>
                  </w:rPr>
                  <w:t>127</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57pt;margin-top:615.241821pt;width:17.5pt;height:11pt;mso-position-horizontal-relative:page;mso-position-vertical-relative:page;z-index:-151888" type="#_x0000_t202" filled="false" stroked="false">
          <v:textbox inset="0,0,0,0">
            <w:txbxContent>
              <w:p>
                <w:pPr>
                  <w:spacing w:line="204" w:lineRule="exact" w:before="0"/>
                  <w:ind w:left="40" w:right="0" w:firstLine="0"/>
                  <w:jc w:val="left"/>
                  <w:rPr>
                    <w:sz w:val="18"/>
                  </w:rPr>
                </w:pPr>
                <w:r>
                  <w:rPr>
                    <w:sz w:val="18"/>
                  </w:rPr>
                  <w:t>128</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701996pt;margin-top:615.240845pt;width:17.5pt;height:11.05pt;mso-position-horizontal-relative:page;mso-position-vertical-relative:page;z-index:-15186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129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57pt;margin-top:615.241821pt;width:17.5pt;height:11pt;mso-position-horizontal-relative:page;mso-position-vertical-relative:page;z-index:-15184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130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821pt;width:13.05pt;height:11pt;mso-position-horizontal-relative:page;mso-position-vertical-relative:page;z-index:-15296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22</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51816" from="70.866096pt,546.302917pt" to="142.866096pt,546.302917pt" stroked="true" strokeweight="1pt" strokecolor="#000000">
          <w10:wrap type="none"/>
        </v:line>
      </w:pict>
    </w:r>
    <w:r>
      <w:rPr/>
      <w:pict>
        <v:shape style="position:absolute;margin-left:410.702087pt;margin-top:615.241821pt;width:15.5pt;height:11pt;mso-position-horizontal-relative:page;mso-position-vertical-relative:page;z-index:-151792" type="#_x0000_t202" filled="false" stroked="false">
          <v:textbox inset="0,0,0,0">
            <w:txbxContent>
              <w:p>
                <w:pPr>
                  <w:spacing w:line="204" w:lineRule="exact" w:before="0"/>
                  <w:ind w:left="20" w:right="0" w:firstLine="0"/>
                  <w:jc w:val="left"/>
                  <w:rPr>
                    <w:sz w:val="18"/>
                  </w:rPr>
                </w:pPr>
                <w:r>
                  <w:rPr>
                    <w:sz w:val="18"/>
                  </w:rPr>
                  <w:t>141</w:t>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6901pt;margin-top:615.388733pt;width:17.5pt;height:11pt;mso-position-horizontal-relative:page;mso-position-vertical-relative:page;z-index:-151768" type="#_x0000_t202" filled="false" stroked="false">
          <v:textbox inset="0,0,0,0">
            <w:txbxContent>
              <w:p>
                <w:pPr>
                  <w:spacing w:line="204" w:lineRule="exact" w:before="0"/>
                  <w:ind w:left="40" w:right="0" w:firstLine="0"/>
                  <w:jc w:val="left"/>
                  <w:rPr>
                    <w:sz w:val="18"/>
                  </w:rPr>
                </w:pPr>
                <w:r>
                  <w:rPr>
                    <w:sz w:val="18"/>
                  </w:rPr>
                  <w:t>142</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84204pt;margin-top:615.233826pt;width:17.55pt;height:11.2pt;mso-position-horizontal-relative:page;mso-position-vertical-relative:page;z-index:-15174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143</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56pt;margin-top:615.241821pt;width:17.5pt;height:11pt;mso-position-horizontal-relative:page;mso-position-vertical-relative:page;z-index:-15172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144</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696"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153</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67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155</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40.516701pt;margin-top:615.241821pt;width:17.55pt;height:11.4pt;mso-position-horizontal-relative:page;mso-position-vertical-relative:page;z-index:-15164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158</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576"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163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55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165</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84204pt;margin-top:615.403442pt;width:17.5pt;height:11pt;mso-position-horizontal-relative:page;mso-position-vertical-relative:page;z-index:-15152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167</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821pt;width:17.55pt;height:11pt;mso-position-horizontal-relative:page;mso-position-vertical-relative:page;z-index:-15150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168</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43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175</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87195pt;margin-top:615.242737pt;width:17.5pt;height:11pt;mso-position-horizontal-relative:page;mso-position-vertical-relative:page;z-index:-15140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177</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478699pt;margin-top:615.241821pt;width:17.55pt;height:11.05pt;mso-position-horizontal-relative:page;mso-position-vertical-relative:page;z-index:-15138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178</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31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185</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896"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31</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28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187</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26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189</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943pt;width:17.5pt;height:11pt;mso-position-horizontal-relative:page;mso-position-vertical-relative:page;z-index:-151240"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190</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9.696899pt;margin-top:615.242737pt;width:17.5pt;height:11pt;mso-position-horizontal-relative:page;mso-position-vertical-relative:page;z-index:-151168"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195</w:t>
                </w:r>
                <w:r>
                  <w:rPr/>
                  <w:fldChar w:fldCharType="end"/>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943pt;width:17.5pt;height:11pt;mso-position-horizontal-relative:page;mso-position-vertical-relative:page;z-index:-151144"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196</w:t>
                </w:r>
                <w:r>
                  <w:rPr/>
                  <w:fldChar w:fldCharType="end"/>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0.5229pt;margin-top:615.241943pt;width:17.5pt;height:11pt;mso-position-horizontal-relative:page;mso-position-vertical-relative:page;z-index:-15107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198</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4.196899pt;margin-top:615.242737pt;width:13pt;height:11pt;mso-position-horizontal-relative:page;mso-position-vertical-relative:page;z-index:-152872" type="#_x0000_t202" filled="false" stroked="false">
          <v:textbox inset="0,0,0,0">
            <w:txbxContent>
              <w:p>
                <w:pPr>
                  <w:spacing w:line="204" w:lineRule="exact" w:before="0"/>
                  <w:ind w:left="40" w:right="0" w:firstLine="0"/>
                  <w:jc w:val="left"/>
                  <w:rPr>
                    <w:sz w:val="18"/>
                  </w:rPr>
                </w:pPr>
                <w:r>
                  <w:rPr/>
                  <w:fldChar w:fldCharType="begin"/>
                </w:r>
                <w:r>
                  <w:rPr>
                    <w:sz w:val="18"/>
                  </w:rPr>
                  <w:instrText> PAGE </w:instrText>
                </w:r>
                <w:r>
                  <w:rPr/>
                  <w:fldChar w:fldCharType="separate"/>
                </w:r>
                <w:r>
                  <w:rPr/>
                  <w:t>33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3016"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4702pt;margin-top:26.36133pt;width:70.5pt;height:11pt;mso-position-horizontal-relative:page;mso-position-vertical-relative:page;z-index:-15280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2102pt;margin-top:26.35383pt;width:352.9pt;height:22pt;mso-position-horizontal-relative:page;mso-position-vertical-relative:page;z-index:-152776"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1101pt;margin-top:26.162731pt;width:70.5pt;height:11pt;mso-position-horizontal-relative:page;mso-position-vertical-relative:page;z-index:-15268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2102pt;margin-top:26.35383pt;width:352.9pt;height:22pt;mso-position-horizontal-relative:page;mso-position-vertical-relative:page;z-index:-152656"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256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2102pt;margin-top:26.35383pt;width:352.9pt;height:22pt;mso-position-horizontal-relative:page;mso-position-vertical-relative:page;z-index:-152536"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50607pt;margin-top:26.328032pt;width:70.5pt;height:11pt;mso-position-horizontal-relative:page;mso-position-vertical-relative:page;z-index:-152416"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84396pt;margin-top:26.31773pt;width:352.9pt;height:22pt;mso-position-horizontal-relative:page;mso-position-vertical-relative:page;z-index:-152392"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2032"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1103pt;margin-top:26.35383pt;width:352.9pt;height:22pt;mso-position-horizontal-relative:page;mso-position-vertical-relative:page;z-index:-152008"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9"/>
      </w:rPr>
    </w:pPr>
    <w:r>
      <w:rPr/>
      <w:pict>
        <v:shape style="position:absolute;margin-left:184.442902pt;margin-top:26.353931pt;width:70.5pt;height:11pt;mso-position-horizontal-relative:page;mso-position-vertical-relative:page;z-index:-151624"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1103pt;margin-top:26.35383pt;width:352.9pt;height:22pt;mso-position-horizontal-relative:page;mso-position-vertical-relative:page;z-index:-151600"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7693pt;margin-top:26.35383pt;width:70.5pt;height:11pt;mso-position-horizontal-relative:page;mso-position-vertical-relative:page;z-index:-152944"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5602pt;margin-top:26.35383pt;width:70.5pt;height:11pt;mso-position-horizontal-relative:page;mso-position-vertical-relative:page;z-index:-15148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89302pt;margin-top:26.353931pt;width:352.9pt;height:22pt;mso-position-horizontal-relative:page;mso-position-vertical-relative:page;z-index:-151456"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398697pt;margin-top:26.360731pt;width:70.5pt;height:11pt;mso-position-horizontal-relative:page;mso-position-vertical-relative:page;z-index:-15136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1103pt;margin-top:26.35383pt;width:352.9pt;height:22pt;mso-position-horizontal-relative:page;mso-position-vertical-relative:page;z-index:-151336"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92102pt;margin-top:26.35383pt;width:352.9pt;height:22pt;mso-position-horizontal-relative:page;mso-position-vertical-relative:page;z-index:-152920"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1216"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89302pt;margin-top:26.353931pt;width:352.9pt;height:22pt;mso-position-horizontal-relative:page;mso-position-vertical-relative:page;z-index:-151192" type="#_x0000_t202" filled="false" stroked="false">
          <v:textbox inset="0,0,0,0">
            <w:txbxContent>
              <w:p>
                <w:pPr>
                  <w:spacing w:line="254" w:lineRule="auto" w:before="0"/>
                  <w:ind w:left="531" w:right="15" w:hanging="512"/>
                  <w:jc w:val="left"/>
                  <w:rPr>
                    <w:i/>
                    <w:sz w:val="18"/>
                  </w:rPr>
                </w:pPr>
                <w:r>
                  <w:rPr>
                    <w:i/>
                    <w:sz w:val="18"/>
                  </w:rPr>
                  <w:t>Las</w:t>
                </w:r>
                <w:r>
                  <w:rPr>
                    <w:i/>
                    <w:spacing w:val="-8"/>
                    <w:sz w:val="18"/>
                  </w:rPr>
                  <w:t> </w:t>
                </w:r>
                <w:r>
                  <w:rPr>
                    <w:i/>
                    <w:sz w:val="18"/>
                  </w:rPr>
                  <w:t>Capacidades</w:t>
                </w:r>
                <w:r>
                  <w:rPr>
                    <w:i/>
                    <w:spacing w:val="-8"/>
                    <w:sz w:val="18"/>
                  </w:rPr>
                  <w:t> </w:t>
                </w:r>
                <w:r>
                  <w:rPr>
                    <w:i/>
                    <w:sz w:val="18"/>
                  </w:rPr>
                  <w:t>Subsidiarias</w:t>
                </w:r>
                <w:r>
                  <w:rPr>
                    <w:i/>
                    <w:spacing w:val="-8"/>
                    <w:sz w:val="18"/>
                  </w:rPr>
                  <w:t> </w:t>
                </w:r>
                <w:r>
                  <w:rPr>
                    <w:i/>
                    <w:sz w:val="18"/>
                  </w:rPr>
                  <w:t>del</w:t>
                </w:r>
                <w:r>
                  <w:rPr>
                    <w:i/>
                    <w:spacing w:val="-8"/>
                    <w:sz w:val="18"/>
                  </w:rPr>
                  <w:t> </w:t>
                </w:r>
                <w:r>
                  <w:rPr>
                    <w:i/>
                    <w:sz w:val="18"/>
                  </w:rPr>
                  <w:t>Gobierno</w:t>
                </w:r>
                <w:r>
                  <w:rPr>
                    <w:i/>
                    <w:spacing w:val="-8"/>
                    <w:sz w:val="18"/>
                  </w:rPr>
                  <w:t> </w:t>
                </w:r>
                <w:r>
                  <w:rPr>
                    <w:i/>
                    <w:sz w:val="18"/>
                  </w:rPr>
                  <w:t>Estatal</w:t>
                </w:r>
                <w:r>
                  <w:rPr>
                    <w:i/>
                    <w:spacing w:val="-9"/>
                    <w:sz w:val="18"/>
                  </w:rPr>
                  <w:t> </w:t>
                </w:r>
                <w:r>
                  <w:rPr>
                    <w:i/>
                    <w:sz w:val="18"/>
                  </w:rPr>
                  <w:t>y</w:t>
                </w:r>
                <w:r>
                  <w:rPr>
                    <w:i/>
                    <w:spacing w:val="-8"/>
                    <w:sz w:val="18"/>
                  </w:rPr>
                  <w:t> </w:t>
                </w:r>
                <w:r>
                  <w:rPr>
                    <w:i/>
                    <w:sz w:val="18"/>
                  </w:rPr>
                  <w:t>de</w:t>
                </w:r>
                <w:r>
                  <w:rPr>
                    <w:i/>
                    <w:spacing w:val="-8"/>
                    <w:sz w:val="18"/>
                  </w:rPr>
                  <w:t> </w:t>
                </w:r>
                <w:r>
                  <w:rPr>
                    <w:i/>
                    <w:sz w:val="18"/>
                  </w:rPr>
                  <w:t>los</w:t>
                </w:r>
                <w:r>
                  <w:rPr>
                    <w:i/>
                    <w:spacing w:val="-12"/>
                    <w:sz w:val="18"/>
                  </w:rPr>
                  <w:t> </w:t>
                </w:r>
                <w:r>
                  <w:rPr>
                    <w:i/>
                    <w:sz w:val="18"/>
                  </w:rPr>
                  <w:t>Ayuntamientos</w:t>
                </w:r>
                <w:r>
                  <w:rPr>
                    <w:i/>
                    <w:spacing w:val="-9"/>
                    <w:sz w:val="18"/>
                  </w:rPr>
                  <w:t> </w:t>
                </w:r>
                <w:r>
                  <w:rPr>
                    <w:i/>
                    <w:sz w:val="18"/>
                  </w:rPr>
                  <w:t>del</w:t>
                </w:r>
                <w:r>
                  <w:rPr>
                    <w:i/>
                    <w:spacing w:val="-8"/>
                    <w:sz w:val="18"/>
                  </w:rPr>
                  <w:t> </w:t>
                </w:r>
                <w:r>
                  <w:rPr>
                    <w:i/>
                    <w:sz w:val="18"/>
                  </w:rPr>
                  <w:t>Estado</w:t>
                </w:r>
                <w:r>
                  <w:rPr>
                    <w:i/>
                    <w:spacing w:val="-9"/>
                    <w:sz w:val="18"/>
                  </w:rPr>
                  <w:t> </w:t>
                </w:r>
                <w:r>
                  <w:rPr>
                    <w:i/>
                    <w:sz w:val="18"/>
                  </w:rPr>
                  <w:t>de</w:t>
                </w:r>
                <w:r>
                  <w:rPr>
                    <w:i/>
                    <w:spacing w:val="-8"/>
                    <w:sz w:val="18"/>
                  </w:rPr>
                  <w:t> </w:t>
                </w:r>
                <w:r>
                  <w:rPr>
                    <w:i/>
                    <w:sz w:val="18"/>
                  </w:rPr>
                  <w:t>Hidalgo </w:t>
                </w:r>
                <w:r>
                  <w:rPr>
                    <w:i/>
                    <w:sz w:val="18"/>
                  </w:rPr>
                  <w:t>en</w:t>
                </w:r>
                <w:r>
                  <w:rPr>
                    <w:i/>
                    <w:spacing w:val="-10"/>
                    <w:sz w:val="18"/>
                  </w:rPr>
                  <w:t> </w:t>
                </w:r>
                <w:r>
                  <w:rPr>
                    <w:i/>
                    <w:sz w:val="18"/>
                  </w:rPr>
                  <w:t>el</w:t>
                </w:r>
                <w:r>
                  <w:rPr>
                    <w:i/>
                    <w:spacing w:val="-10"/>
                    <w:sz w:val="18"/>
                  </w:rPr>
                  <w:t> </w:t>
                </w:r>
                <w:r>
                  <w:rPr>
                    <w:i/>
                    <w:sz w:val="18"/>
                  </w:rPr>
                  <w:t>Contexto</w:t>
                </w:r>
                <w:r>
                  <w:rPr>
                    <w:i/>
                    <w:spacing w:val="-10"/>
                    <w:sz w:val="18"/>
                  </w:rPr>
                  <w:t> </w:t>
                </w:r>
                <w:r>
                  <w:rPr>
                    <w:i/>
                    <w:sz w:val="18"/>
                  </w:rPr>
                  <w:t>Federal:</w:t>
                </w:r>
                <w:r>
                  <w:rPr>
                    <w:i/>
                    <w:spacing w:val="-11"/>
                    <w:sz w:val="18"/>
                  </w:rPr>
                  <w:t> </w:t>
                </w:r>
                <w:r>
                  <w:rPr>
                    <w:i/>
                    <w:sz w:val="18"/>
                  </w:rPr>
                  <w:t>Finanzas</w:t>
                </w:r>
                <w:r>
                  <w:rPr>
                    <w:i/>
                    <w:spacing w:val="-11"/>
                    <w:sz w:val="18"/>
                  </w:rPr>
                  <w:t> </w:t>
                </w:r>
                <w:r>
                  <w:rPr>
                    <w:i/>
                    <w:sz w:val="18"/>
                  </w:rPr>
                  <w:t>Públicas,</w:t>
                </w:r>
                <w:r>
                  <w:rPr>
                    <w:i/>
                    <w:spacing w:val="-11"/>
                    <w:sz w:val="18"/>
                  </w:rPr>
                  <w:t> </w:t>
                </w:r>
                <w:r>
                  <w:rPr>
                    <w:i/>
                    <w:sz w:val="18"/>
                  </w:rPr>
                  <w:t>Políticas</w:t>
                </w:r>
                <w:r>
                  <w:rPr>
                    <w:i/>
                    <w:spacing w:val="-11"/>
                    <w:sz w:val="18"/>
                  </w:rPr>
                  <w:t> </w:t>
                </w:r>
                <w:r>
                  <w:rPr>
                    <w:i/>
                    <w:sz w:val="18"/>
                  </w:rPr>
                  <w:t>Públicas,</w:t>
                </w:r>
                <w:r>
                  <w:rPr>
                    <w:i/>
                    <w:spacing w:val="-11"/>
                    <w:sz w:val="18"/>
                  </w:rPr>
                  <w:t> </w:t>
                </w:r>
                <w:r>
                  <w:rPr>
                    <w:i/>
                    <w:sz w:val="18"/>
                  </w:rPr>
                  <w:t>Organización</w:t>
                </w:r>
                <w:r>
                  <w:rPr>
                    <w:i/>
                    <w:spacing w:val="-10"/>
                    <w:sz w:val="18"/>
                  </w:rPr>
                  <w:t> </w:t>
                </w:r>
                <w:r>
                  <w:rPr>
                    <w:i/>
                    <w:sz w:val="18"/>
                  </w:rPr>
                  <w:t>Social</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1120"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4.442902pt;margin-top:26.353931pt;width:70.5pt;height:11pt;mso-position-horizontal-relative:page;mso-position-vertical-relative:page;z-index:-151096" type="#_x0000_t202" filled="false" stroked="false">
          <v:textbox inset="0,0,0,0">
            <w:txbxContent>
              <w:p>
                <w:pPr>
                  <w:spacing w:line="204" w:lineRule="exact" w:before="0"/>
                  <w:ind w:left="20" w:right="0" w:firstLine="0"/>
                  <w:jc w:val="left"/>
                  <w:rPr>
                    <w:i/>
                    <w:sz w:val="18"/>
                  </w:rPr>
                </w:pPr>
                <w:r>
                  <w:rPr>
                    <w:i/>
                    <w:sz w:val="18"/>
                  </w:rPr>
                  <w:t>Joel Mendoza Ruiz</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decimal"/>
      <w:lvlText w:val="%1."/>
      <w:lvlJc w:val="left"/>
      <w:pPr>
        <w:ind w:left="684" w:hanging="284"/>
        <w:jc w:val="left"/>
      </w:pPr>
      <w:rPr>
        <w:rFonts w:hint="default" w:ascii="Times New Roman" w:hAnsi="Times New Roman" w:eastAsia="Times New Roman" w:cs="Times New Roman"/>
        <w:spacing w:val="-29"/>
        <w:w w:val="98"/>
        <w:sz w:val="23"/>
        <w:szCs w:val="23"/>
      </w:rPr>
    </w:lvl>
    <w:lvl w:ilvl="1">
      <w:start w:val="1"/>
      <w:numFmt w:val="bullet"/>
      <w:lvlText w:val="•"/>
      <w:lvlJc w:val="left"/>
      <w:pPr>
        <w:ind w:left="1343" w:hanging="284"/>
      </w:pPr>
      <w:rPr>
        <w:rFonts w:hint="default"/>
      </w:rPr>
    </w:lvl>
    <w:lvl w:ilvl="2">
      <w:start w:val="1"/>
      <w:numFmt w:val="bullet"/>
      <w:lvlText w:val="•"/>
      <w:lvlJc w:val="left"/>
      <w:pPr>
        <w:ind w:left="2006" w:hanging="284"/>
      </w:pPr>
      <w:rPr>
        <w:rFonts w:hint="default"/>
      </w:rPr>
    </w:lvl>
    <w:lvl w:ilvl="3">
      <w:start w:val="1"/>
      <w:numFmt w:val="bullet"/>
      <w:lvlText w:val="•"/>
      <w:lvlJc w:val="left"/>
      <w:pPr>
        <w:ind w:left="2670"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3997" w:hanging="284"/>
      </w:pPr>
      <w:rPr>
        <w:rFonts w:hint="default"/>
      </w:rPr>
    </w:lvl>
    <w:lvl w:ilvl="6">
      <w:start w:val="1"/>
      <w:numFmt w:val="bullet"/>
      <w:lvlText w:val="•"/>
      <w:lvlJc w:val="left"/>
      <w:pPr>
        <w:ind w:left="4660" w:hanging="284"/>
      </w:pPr>
      <w:rPr>
        <w:rFonts w:hint="default"/>
      </w:rPr>
    </w:lvl>
    <w:lvl w:ilvl="7">
      <w:start w:val="1"/>
      <w:numFmt w:val="bullet"/>
      <w:lvlText w:val="•"/>
      <w:lvlJc w:val="left"/>
      <w:pPr>
        <w:ind w:left="5324" w:hanging="284"/>
      </w:pPr>
      <w:rPr>
        <w:rFonts w:hint="default"/>
      </w:rPr>
    </w:lvl>
    <w:lvl w:ilvl="8">
      <w:start w:val="1"/>
      <w:numFmt w:val="bullet"/>
      <w:lvlText w:val="•"/>
      <w:lvlJc w:val="left"/>
      <w:pPr>
        <w:ind w:left="5987" w:hanging="284"/>
      </w:pPr>
      <w:rPr>
        <w:rFonts w:hint="default"/>
      </w:rPr>
    </w:lvl>
  </w:abstractNum>
  <w:abstractNum w:abstractNumId="17">
    <w:multiLevelType w:val="hybridMultilevel"/>
    <w:lvl w:ilvl="0">
      <w:start w:val="1"/>
      <w:numFmt w:val="lowerLetter"/>
      <w:lvlText w:val="%1)"/>
      <w:lvlJc w:val="left"/>
      <w:pPr>
        <w:ind w:left="117" w:hanging="265"/>
        <w:jc w:val="left"/>
      </w:pPr>
      <w:rPr>
        <w:rFonts w:hint="default" w:ascii="Times New Roman" w:hAnsi="Times New Roman" w:eastAsia="Times New Roman" w:cs="Times New Roman"/>
        <w:w w:val="100"/>
        <w:sz w:val="23"/>
        <w:szCs w:val="23"/>
      </w:rPr>
    </w:lvl>
    <w:lvl w:ilvl="1">
      <w:start w:val="1"/>
      <w:numFmt w:val="upperLetter"/>
      <w:lvlText w:val="%2."/>
      <w:lvlJc w:val="left"/>
      <w:pPr>
        <w:ind w:left="684" w:hanging="284"/>
        <w:jc w:val="left"/>
      </w:pPr>
      <w:rPr>
        <w:rFonts w:hint="default" w:ascii="Times New Roman" w:hAnsi="Times New Roman" w:eastAsia="Times New Roman" w:cs="Times New Roman"/>
        <w:spacing w:val="-1"/>
        <w:w w:val="100"/>
        <w:sz w:val="23"/>
        <w:szCs w:val="23"/>
      </w:rPr>
    </w:lvl>
    <w:lvl w:ilvl="2">
      <w:start w:val="1"/>
      <w:numFmt w:val="decimal"/>
      <w:lvlText w:val="%3."/>
      <w:lvlJc w:val="left"/>
      <w:pPr>
        <w:ind w:left="677" w:hanging="284"/>
        <w:jc w:val="left"/>
      </w:pPr>
      <w:rPr>
        <w:rFonts w:hint="default" w:ascii="Times New Roman" w:hAnsi="Times New Roman" w:eastAsia="Times New Roman" w:cs="Times New Roman"/>
        <w:spacing w:val="-29"/>
        <w:w w:val="97"/>
        <w:sz w:val="23"/>
        <w:szCs w:val="23"/>
      </w:rPr>
    </w:lvl>
    <w:lvl w:ilvl="3">
      <w:start w:val="1"/>
      <w:numFmt w:val="bullet"/>
      <w:lvlText w:val="•"/>
      <w:lvlJc w:val="left"/>
      <w:pPr>
        <w:ind w:left="2611" w:hanging="284"/>
      </w:pPr>
      <w:rPr>
        <w:rFonts w:hint="default"/>
      </w:rPr>
    </w:lvl>
    <w:lvl w:ilvl="4">
      <w:start w:val="1"/>
      <w:numFmt w:val="bullet"/>
      <w:lvlText w:val="•"/>
      <w:lvlJc w:val="left"/>
      <w:pPr>
        <w:ind w:left="3203" w:hanging="284"/>
      </w:pPr>
      <w:rPr>
        <w:rFonts w:hint="default"/>
      </w:rPr>
    </w:lvl>
    <w:lvl w:ilvl="5">
      <w:start w:val="1"/>
      <w:numFmt w:val="bullet"/>
      <w:lvlText w:val="•"/>
      <w:lvlJc w:val="left"/>
      <w:pPr>
        <w:ind w:left="3795" w:hanging="284"/>
      </w:pPr>
      <w:rPr>
        <w:rFonts w:hint="default"/>
      </w:rPr>
    </w:lvl>
    <w:lvl w:ilvl="6">
      <w:start w:val="1"/>
      <w:numFmt w:val="bullet"/>
      <w:lvlText w:val="•"/>
      <w:lvlJc w:val="left"/>
      <w:pPr>
        <w:ind w:left="4387" w:hanging="284"/>
      </w:pPr>
      <w:rPr>
        <w:rFonts w:hint="default"/>
      </w:rPr>
    </w:lvl>
    <w:lvl w:ilvl="7">
      <w:start w:val="1"/>
      <w:numFmt w:val="bullet"/>
      <w:lvlText w:val="•"/>
      <w:lvlJc w:val="left"/>
      <w:pPr>
        <w:ind w:left="4978" w:hanging="284"/>
      </w:pPr>
      <w:rPr>
        <w:rFonts w:hint="default"/>
      </w:rPr>
    </w:lvl>
    <w:lvl w:ilvl="8">
      <w:start w:val="1"/>
      <w:numFmt w:val="bullet"/>
      <w:lvlText w:val="•"/>
      <w:lvlJc w:val="left"/>
      <w:pPr>
        <w:ind w:left="5570" w:hanging="284"/>
      </w:pPr>
      <w:rPr>
        <w:rFonts w:hint="default"/>
      </w:rPr>
    </w:lvl>
  </w:abstractNum>
  <w:abstractNum w:abstractNumId="16">
    <w:multiLevelType w:val="hybridMultilevel"/>
    <w:lvl w:ilvl="0">
      <w:start w:val="3"/>
      <w:numFmt w:val="lowerLetter"/>
      <w:lvlText w:val="%1)"/>
      <w:lvlJc w:val="left"/>
      <w:pPr>
        <w:ind w:left="369" w:hanging="259"/>
        <w:jc w:val="left"/>
      </w:pPr>
      <w:rPr>
        <w:rFonts w:hint="default" w:ascii="Times New Roman" w:hAnsi="Times New Roman" w:eastAsia="Times New Roman" w:cs="Times New Roman"/>
        <w:w w:val="100"/>
        <w:sz w:val="23"/>
        <w:szCs w:val="23"/>
      </w:rPr>
    </w:lvl>
    <w:lvl w:ilvl="1">
      <w:start w:val="1"/>
      <w:numFmt w:val="decimal"/>
      <w:lvlText w:val="%2."/>
      <w:lvlJc w:val="left"/>
      <w:pPr>
        <w:ind w:left="684" w:hanging="284"/>
        <w:jc w:val="left"/>
      </w:pPr>
      <w:rPr>
        <w:rFonts w:hint="default" w:ascii="Times New Roman" w:hAnsi="Times New Roman" w:eastAsia="Times New Roman" w:cs="Times New Roman"/>
        <w:spacing w:val="-28"/>
        <w:w w:val="98"/>
        <w:sz w:val="23"/>
        <w:szCs w:val="23"/>
      </w:rPr>
    </w:lvl>
    <w:lvl w:ilvl="2">
      <w:start w:val="1"/>
      <w:numFmt w:val="bullet"/>
      <w:lvlText w:val="•"/>
      <w:lvlJc w:val="left"/>
      <w:pPr>
        <w:ind w:left="1354" w:hanging="284"/>
      </w:pPr>
      <w:rPr>
        <w:rFonts w:hint="default"/>
      </w:rPr>
    </w:lvl>
    <w:lvl w:ilvl="3">
      <w:start w:val="1"/>
      <w:numFmt w:val="bullet"/>
      <w:lvlText w:val="•"/>
      <w:lvlJc w:val="left"/>
      <w:pPr>
        <w:ind w:left="2029" w:hanging="284"/>
      </w:pPr>
      <w:rPr>
        <w:rFonts w:hint="default"/>
      </w:rPr>
    </w:lvl>
    <w:lvl w:ilvl="4">
      <w:start w:val="1"/>
      <w:numFmt w:val="bullet"/>
      <w:lvlText w:val="•"/>
      <w:lvlJc w:val="left"/>
      <w:pPr>
        <w:ind w:left="2704" w:hanging="284"/>
      </w:pPr>
      <w:rPr>
        <w:rFonts w:hint="default"/>
      </w:rPr>
    </w:lvl>
    <w:lvl w:ilvl="5">
      <w:start w:val="1"/>
      <w:numFmt w:val="bullet"/>
      <w:lvlText w:val="•"/>
      <w:lvlJc w:val="left"/>
      <w:pPr>
        <w:ind w:left="3379" w:hanging="284"/>
      </w:pPr>
      <w:rPr>
        <w:rFonts w:hint="default"/>
      </w:rPr>
    </w:lvl>
    <w:lvl w:ilvl="6">
      <w:start w:val="1"/>
      <w:numFmt w:val="bullet"/>
      <w:lvlText w:val="•"/>
      <w:lvlJc w:val="left"/>
      <w:pPr>
        <w:ind w:left="4054" w:hanging="284"/>
      </w:pPr>
      <w:rPr>
        <w:rFonts w:hint="default"/>
      </w:rPr>
    </w:lvl>
    <w:lvl w:ilvl="7">
      <w:start w:val="1"/>
      <w:numFmt w:val="bullet"/>
      <w:lvlText w:val="•"/>
      <w:lvlJc w:val="left"/>
      <w:pPr>
        <w:ind w:left="4729" w:hanging="284"/>
      </w:pPr>
      <w:rPr>
        <w:rFonts w:hint="default"/>
      </w:rPr>
    </w:lvl>
    <w:lvl w:ilvl="8">
      <w:start w:val="1"/>
      <w:numFmt w:val="bullet"/>
      <w:lvlText w:val="•"/>
      <w:lvlJc w:val="left"/>
      <w:pPr>
        <w:ind w:left="5404" w:hanging="284"/>
      </w:pPr>
      <w:rPr>
        <w:rFonts w:hint="default"/>
      </w:rPr>
    </w:lvl>
  </w:abstractNum>
  <w:abstractNum w:abstractNumId="15">
    <w:multiLevelType w:val="hybridMultilevel"/>
    <w:lvl w:ilvl="0">
      <w:start w:val="3"/>
      <w:numFmt w:val="lowerLetter"/>
      <w:lvlText w:val="%1)"/>
      <w:lvlJc w:val="left"/>
      <w:pPr>
        <w:ind w:left="117" w:hanging="280"/>
        <w:jc w:val="left"/>
      </w:pPr>
      <w:rPr>
        <w:rFonts w:hint="default" w:ascii="Times New Roman" w:hAnsi="Times New Roman" w:eastAsia="Times New Roman" w:cs="Times New Roman"/>
        <w:spacing w:val="-16"/>
        <w:w w:val="99"/>
        <w:sz w:val="23"/>
        <w:szCs w:val="23"/>
      </w:rPr>
    </w:lvl>
    <w:lvl w:ilvl="1">
      <w:start w:val="1"/>
      <w:numFmt w:val="decimal"/>
      <w:lvlText w:val="%2."/>
      <w:lvlJc w:val="left"/>
      <w:pPr>
        <w:ind w:left="684" w:hanging="284"/>
        <w:jc w:val="left"/>
      </w:pPr>
      <w:rPr>
        <w:rFonts w:hint="default" w:ascii="Times New Roman" w:hAnsi="Times New Roman" w:eastAsia="Times New Roman" w:cs="Times New Roman"/>
        <w:spacing w:val="-24"/>
        <w:w w:val="97"/>
        <w:sz w:val="23"/>
        <w:szCs w:val="23"/>
      </w:rPr>
    </w:lvl>
    <w:lvl w:ilvl="2">
      <w:start w:val="1"/>
      <w:numFmt w:val="bullet"/>
      <w:lvlText w:val="•"/>
      <w:lvlJc w:val="left"/>
      <w:pPr>
        <w:ind w:left="1354" w:hanging="284"/>
      </w:pPr>
      <w:rPr>
        <w:rFonts w:hint="default"/>
      </w:rPr>
    </w:lvl>
    <w:lvl w:ilvl="3">
      <w:start w:val="1"/>
      <w:numFmt w:val="bullet"/>
      <w:lvlText w:val="•"/>
      <w:lvlJc w:val="left"/>
      <w:pPr>
        <w:ind w:left="2029" w:hanging="284"/>
      </w:pPr>
      <w:rPr>
        <w:rFonts w:hint="default"/>
      </w:rPr>
    </w:lvl>
    <w:lvl w:ilvl="4">
      <w:start w:val="1"/>
      <w:numFmt w:val="bullet"/>
      <w:lvlText w:val="•"/>
      <w:lvlJc w:val="left"/>
      <w:pPr>
        <w:ind w:left="2704" w:hanging="284"/>
      </w:pPr>
      <w:rPr>
        <w:rFonts w:hint="default"/>
      </w:rPr>
    </w:lvl>
    <w:lvl w:ilvl="5">
      <w:start w:val="1"/>
      <w:numFmt w:val="bullet"/>
      <w:lvlText w:val="•"/>
      <w:lvlJc w:val="left"/>
      <w:pPr>
        <w:ind w:left="3379" w:hanging="284"/>
      </w:pPr>
      <w:rPr>
        <w:rFonts w:hint="default"/>
      </w:rPr>
    </w:lvl>
    <w:lvl w:ilvl="6">
      <w:start w:val="1"/>
      <w:numFmt w:val="bullet"/>
      <w:lvlText w:val="•"/>
      <w:lvlJc w:val="left"/>
      <w:pPr>
        <w:ind w:left="4054" w:hanging="284"/>
      </w:pPr>
      <w:rPr>
        <w:rFonts w:hint="default"/>
      </w:rPr>
    </w:lvl>
    <w:lvl w:ilvl="7">
      <w:start w:val="1"/>
      <w:numFmt w:val="bullet"/>
      <w:lvlText w:val="•"/>
      <w:lvlJc w:val="left"/>
      <w:pPr>
        <w:ind w:left="4729" w:hanging="284"/>
      </w:pPr>
      <w:rPr>
        <w:rFonts w:hint="default"/>
      </w:rPr>
    </w:lvl>
    <w:lvl w:ilvl="8">
      <w:start w:val="1"/>
      <w:numFmt w:val="bullet"/>
      <w:lvlText w:val="•"/>
      <w:lvlJc w:val="left"/>
      <w:pPr>
        <w:ind w:left="5404" w:hanging="284"/>
      </w:pPr>
      <w:rPr>
        <w:rFonts w:hint="default"/>
      </w:rPr>
    </w:lvl>
  </w:abstractNum>
  <w:abstractNum w:abstractNumId="14">
    <w:multiLevelType w:val="hybridMultilevel"/>
    <w:lvl w:ilvl="0">
      <w:start w:val="1"/>
      <w:numFmt w:val="decimal"/>
      <w:lvlText w:val="%1."/>
      <w:lvlJc w:val="left"/>
      <w:pPr>
        <w:ind w:left="684" w:hanging="284"/>
        <w:jc w:val="left"/>
      </w:pPr>
      <w:rPr>
        <w:rFonts w:hint="default" w:ascii="Times New Roman" w:hAnsi="Times New Roman" w:eastAsia="Times New Roman" w:cs="Times New Roman"/>
        <w:spacing w:val="-9"/>
        <w:w w:val="100"/>
        <w:sz w:val="23"/>
        <w:szCs w:val="23"/>
      </w:rPr>
    </w:lvl>
    <w:lvl w:ilvl="1">
      <w:start w:val="1"/>
      <w:numFmt w:val="upperLetter"/>
      <w:lvlText w:val="%2."/>
      <w:lvlJc w:val="left"/>
      <w:pPr>
        <w:ind w:left="684" w:hanging="284"/>
        <w:jc w:val="left"/>
      </w:pPr>
      <w:rPr>
        <w:rFonts w:hint="default" w:ascii="Times New Roman" w:hAnsi="Times New Roman" w:eastAsia="Times New Roman" w:cs="Times New Roman"/>
        <w:spacing w:val="-29"/>
        <w:w w:val="91"/>
        <w:sz w:val="23"/>
        <w:szCs w:val="23"/>
      </w:rPr>
    </w:lvl>
    <w:lvl w:ilvl="2">
      <w:start w:val="1"/>
      <w:numFmt w:val="bullet"/>
      <w:lvlText w:val="•"/>
      <w:lvlJc w:val="left"/>
      <w:pPr>
        <w:ind w:left="2006" w:hanging="284"/>
      </w:pPr>
      <w:rPr>
        <w:rFonts w:hint="default"/>
      </w:rPr>
    </w:lvl>
    <w:lvl w:ilvl="3">
      <w:start w:val="1"/>
      <w:numFmt w:val="bullet"/>
      <w:lvlText w:val="•"/>
      <w:lvlJc w:val="left"/>
      <w:pPr>
        <w:ind w:left="2670"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3997" w:hanging="284"/>
      </w:pPr>
      <w:rPr>
        <w:rFonts w:hint="default"/>
      </w:rPr>
    </w:lvl>
    <w:lvl w:ilvl="6">
      <w:start w:val="1"/>
      <w:numFmt w:val="bullet"/>
      <w:lvlText w:val="•"/>
      <w:lvlJc w:val="left"/>
      <w:pPr>
        <w:ind w:left="4660" w:hanging="284"/>
      </w:pPr>
      <w:rPr>
        <w:rFonts w:hint="default"/>
      </w:rPr>
    </w:lvl>
    <w:lvl w:ilvl="7">
      <w:start w:val="1"/>
      <w:numFmt w:val="bullet"/>
      <w:lvlText w:val="•"/>
      <w:lvlJc w:val="left"/>
      <w:pPr>
        <w:ind w:left="5324" w:hanging="284"/>
      </w:pPr>
      <w:rPr>
        <w:rFonts w:hint="default"/>
      </w:rPr>
    </w:lvl>
    <w:lvl w:ilvl="8">
      <w:start w:val="1"/>
      <w:numFmt w:val="bullet"/>
      <w:lvlText w:val="•"/>
      <w:lvlJc w:val="left"/>
      <w:pPr>
        <w:ind w:left="5987" w:hanging="284"/>
      </w:pPr>
      <w:rPr>
        <w:rFonts w:hint="default"/>
      </w:rPr>
    </w:lvl>
  </w:abstractNum>
  <w:abstractNum w:abstractNumId="13">
    <w:multiLevelType w:val="hybridMultilevel"/>
    <w:lvl w:ilvl="0">
      <w:start w:val="6"/>
      <w:numFmt w:val="lowerLetter"/>
      <w:lvlText w:val="%1)"/>
      <w:lvlJc w:val="left"/>
      <w:pPr>
        <w:ind w:left="117" w:hanging="273"/>
        <w:jc w:val="left"/>
      </w:pPr>
      <w:rPr>
        <w:rFonts w:hint="default" w:ascii="Times New Roman" w:hAnsi="Times New Roman" w:eastAsia="Times New Roman" w:cs="Times New Roman"/>
        <w:spacing w:val="0"/>
        <w:w w:val="100"/>
        <w:sz w:val="23"/>
        <w:szCs w:val="23"/>
      </w:rPr>
    </w:lvl>
    <w:lvl w:ilvl="1">
      <w:start w:val="1"/>
      <w:numFmt w:val="upperRoman"/>
      <w:lvlText w:val="%2."/>
      <w:lvlJc w:val="left"/>
      <w:pPr>
        <w:ind w:left="393" w:hanging="182"/>
        <w:jc w:val="left"/>
      </w:pPr>
      <w:rPr>
        <w:rFonts w:hint="default" w:ascii="Times New Roman" w:hAnsi="Times New Roman" w:eastAsia="Times New Roman" w:cs="Times New Roman"/>
        <w:i/>
        <w:spacing w:val="-24"/>
        <w:w w:val="100"/>
        <w:sz w:val="18"/>
        <w:szCs w:val="18"/>
      </w:rPr>
    </w:lvl>
    <w:lvl w:ilvl="2">
      <w:start w:val="1"/>
      <w:numFmt w:val="bullet"/>
      <w:lvlText w:val="•"/>
      <w:lvlJc w:val="left"/>
      <w:pPr>
        <w:ind w:left="1106" w:hanging="182"/>
      </w:pPr>
      <w:rPr>
        <w:rFonts w:hint="default"/>
      </w:rPr>
    </w:lvl>
    <w:lvl w:ilvl="3">
      <w:start w:val="1"/>
      <w:numFmt w:val="bullet"/>
      <w:lvlText w:val="•"/>
      <w:lvlJc w:val="left"/>
      <w:pPr>
        <w:ind w:left="1812" w:hanging="182"/>
      </w:pPr>
      <w:rPr>
        <w:rFonts w:hint="default"/>
      </w:rPr>
    </w:lvl>
    <w:lvl w:ilvl="4">
      <w:start w:val="1"/>
      <w:numFmt w:val="bullet"/>
      <w:lvlText w:val="•"/>
      <w:lvlJc w:val="left"/>
      <w:pPr>
        <w:ind w:left="2518" w:hanging="182"/>
      </w:pPr>
      <w:rPr>
        <w:rFonts w:hint="default"/>
      </w:rPr>
    </w:lvl>
    <w:lvl w:ilvl="5">
      <w:start w:val="1"/>
      <w:numFmt w:val="bullet"/>
      <w:lvlText w:val="•"/>
      <w:lvlJc w:val="left"/>
      <w:pPr>
        <w:ind w:left="3224" w:hanging="182"/>
      </w:pPr>
      <w:rPr>
        <w:rFonts w:hint="default"/>
      </w:rPr>
    </w:lvl>
    <w:lvl w:ilvl="6">
      <w:start w:val="1"/>
      <w:numFmt w:val="bullet"/>
      <w:lvlText w:val="•"/>
      <w:lvlJc w:val="left"/>
      <w:pPr>
        <w:ind w:left="3930" w:hanging="182"/>
      </w:pPr>
      <w:rPr>
        <w:rFonts w:hint="default"/>
      </w:rPr>
    </w:lvl>
    <w:lvl w:ilvl="7">
      <w:start w:val="1"/>
      <w:numFmt w:val="bullet"/>
      <w:lvlText w:val="•"/>
      <w:lvlJc w:val="left"/>
      <w:pPr>
        <w:ind w:left="4636" w:hanging="182"/>
      </w:pPr>
      <w:rPr>
        <w:rFonts w:hint="default"/>
      </w:rPr>
    </w:lvl>
    <w:lvl w:ilvl="8">
      <w:start w:val="1"/>
      <w:numFmt w:val="bullet"/>
      <w:lvlText w:val="•"/>
      <w:lvlJc w:val="left"/>
      <w:pPr>
        <w:ind w:left="5342" w:hanging="182"/>
      </w:pPr>
      <w:rPr>
        <w:rFonts w:hint="default"/>
      </w:rPr>
    </w:lvl>
  </w:abstractNum>
  <w:abstractNum w:abstractNumId="12">
    <w:multiLevelType w:val="hybridMultilevel"/>
    <w:lvl w:ilvl="0">
      <w:start w:val="2"/>
      <w:numFmt w:val="decimal"/>
      <w:lvlText w:val="%1)"/>
      <w:lvlJc w:val="left"/>
      <w:pPr>
        <w:ind w:left="110" w:hanging="262"/>
        <w:jc w:val="left"/>
      </w:pPr>
      <w:rPr>
        <w:rFonts w:hint="default" w:ascii="Times New Roman" w:hAnsi="Times New Roman" w:eastAsia="Times New Roman" w:cs="Times New Roman"/>
        <w:w w:val="100"/>
        <w:sz w:val="23"/>
        <w:szCs w:val="23"/>
      </w:rPr>
    </w:lvl>
    <w:lvl w:ilvl="1">
      <w:start w:val="1"/>
      <w:numFmt w:val="decimal"/>
      <w:lvlText w:val="%2)"/>
      <w:lvlJc w:val="left"/>
      <w:pPr>
        <w:ind w:left="789" w:hanging="280"/>
        <w:jc w:val="right"/>
      </w:pPr>
      <w:rPr>
        <w:rFonts w:hint="default" w:ascii="Times New Roman" w:hAnsi="Times New Roman" w:eastAsia="Times New Roman" w:cs="Times New Roman"/>
        <w:spacing w:val="-27"/>
        <w:w w:val="100"/>
        <w:sz w:val="23"/>
        <w:szCs w:val="23"/>
      </w:rPr>
    </w:lvl>
    <w:lvl w:ilvl="2">
      <w:start w:val="1"/>
      <w:numFmt w:val="bullet"/>
      <w:lvlText w:val="•"/>
      <w:lvlJc w:val="left"/>
      <w:pPr>
        <w:ind w:left="1506" w:hanging="280"/>
      </w:pPr>
      <w:rPr>
        <w:rFonts w:hint="default"/>
      </w:rPr>
    </w:lvl>
    <w:lvl w:ilvl="3">
      <w:start w:val="1"/>
      <w:numFmt w:val="bullet"/>
      <w:lvlText w:val="•"/>
      <w:lvlJc w:val="left"/>
      <w:pPr>
        <w:ind w:left="2232" w:hanging="280"/>
      </w:pPr>
      <w:rPr>
        <w:rFonts w:hint="default"/>
      </w:rPr>
    </w:lvl>
    <w:lvl w:ilvl="4">
      <w:start w:val="1"/>
      <w:numFmt w:val="bullet"/>
      <w:lvlText w:val="•"/>
      <w:lvlJc w:val="left"/>
      <w:pPr>
        <w:ind w:left="2958" w:hanging="280"/>
      </w:pPr>
      <w:rPr>
        <w:rFonts w:hint="default"/>
      </w:rPr>
    </w:lvl>
    <w:lvl w:ilvl="5">
      <w:start w:val="1"/>
      <w:numFmt w:val="bullet"/>
      <w:lvlText w:val="•"/>
      <w:lvlJc w:val="left"/>
      <w:pPr>
        <w:ind w:left="3684" w:hanging="280"/>
      </w:pPr>
      <w:rPr>
        <w:rFonts w:hint="default"/>
      </w:rPr>
    </w:lvl>
    <w:lvl w:ilvl="6">
      <w:start w:val="1"/>
      <w:numFmt w:val="bullet"/>
      <w:lvlText w:val="•"/>
      <w:lvlJc w:val="left"/>
      <w:pPr>
        <w:ind w:left="4410" w:hanging="280"/>
      </w:pPr>
      <w:rPr>
        <w:rFonts w:hint="default"/>
      </w:rPr>
    </w:lvl>
    <w:lvl w:ilvl="7">
      <w:start w:val="1"/>
      <w:numFmt w:val="bullet"/>
      <w:lvlText w:val="•"/>
      <w:lvlJc w:val="left"/>
      <w:pPr>
        <w:ind w:left="5136" w:hanging="280"/>
      </w:pPr>
      <w:rPr>
        <w:rFonts w:hint="default"/>
      </w:rPr>
    </w:lvl>
    <w:lvl w:ilvl="8">
      <w:start w:val="1"/>
      <w:numFmt w:val="bullet"/>
      <w:lvlText w:val="•"/>
      <w:lvlJc w:val="left"/>
      <w:pPr>
        <w:ind w:left="5862" w:hanging="280"/>
      </w:pPr>
      <w:rPr>
        <w:rFonts w:hint="default"/>
      </w:rPr>
    </w:lvl>
  </w:abstractNum>
  <w:abstractNum w:abstractNumId="11">
    <w:multiLevelType w:val="hybridMultilevel"/>
    <w:lvl w:ilvl="0">
      <w:start w:val="1"/>
      <w:numFmt w:val="decimal"/>
      <w:lvlText w:val="%1)"/>
      <w:lvlJc w:val="left"/>
      <w:pPr>
        <w:ind w:left="677" w:hanging="294"/>
        <w:jc w:val="left"/>
      </w:pPr>
      <w:rPr>
        <w:rFonts w:hint="default" w:ascii="Times New Roman" w:hAnsi="Times New Roman" w:eastAsia="Times New Roman" w:cs="Times New Roman"/>
        <w:spacing w:val="-14"/>
        <w:w w:val="100"/>
        <w:sz w:val="23"/>
        <w:szCs w:val="23"/>
      </w:rPr>
    </w:lvl>
    <w:lvl w:ilvl="1">
      <w:start w:val="1"/>
      <w:numFmt w:val="bullet"/>
      <w:lvlText w:val="•"/>
      <w:lvlJc w:val="left"/>
      <w:pPr>
        <w:ind w:left="1343" w:hanging="294"/>
      </w:pPr>
      <w:rPr>
        <w:rFonts w:hint="default"/>
      </w:rPr>
    </w:lvl>
    <w:lvl w:ilvl="2">
      <w:start w:val="1"/>
      <w:numFmt w:val="bullet"/>
      <w:lvlText w:val="•"/>
      <w:lvlJc w:val="left"/>
      <w:pPr>
        <w:ind w:left="2006" w:hanging="294"/>
      </w:pPr>
      <w:rPr>
        <w:rFonts w:hint="default"/>
      </w:rPr>
    </w:lvl>
    <w:lvl w:ilvl="3">
      <w:start w:val="1"/>
      <w:numFmt w:val="bullet"/>
      <w:lvlText w:val="•"/>
      <w:lvlJc w:val="left"/>
      <w:pPr>
        <w:ind w:left="2670" w:hanging="294"/>
      </w:pPr>
      <w:rPr>
        <w:rFonts w:hint="default"/>
      </w:rPr>
    </w:lvl>
    <w:lvl w:ilvl="4">
      <w:start w:val="1"/>
      <w:numFmt w:val="bullet"/>
      <w:lvlText w:val="•"/>
      <w:lvlJc w:val="left"/>
      <w:pPr>
        <w:ind w:left="3333" w:hanging="294"/>
      </w:pPr>
      <w:rPr>
        <w:rFonts w:hint="default"/>
      </w:rPr>
    </w:lvl>
    <w:lvl w:ilvl="5">
      <w:start w:val="1"/>
      <w:numFmt w:val="bullet"/>
      <w:lvlText w:val="•"/>
      <w:lvlJc w:val="left"/>
      <w:pPr>
        <w:ind w:left="3997" w:hanging="294"/>
      </w:pPr>
      <w:rPr>
        <w:rFonts w:hint="default"/>
      </w:rPr>
    </w:lvl>
    <w:lvl w:ilvl="6">
      <w:start w:val="1"/>
      <w:numFmt w:val="bullet"/>
      <w:lvlText w:val="•"/>
      <w:lvlJc w:val="left"/>
      <w:pPr>
        <w:ind w:left="4660" w:hanging="294"/>
      </w:pPr>
      <w:rPr>
        <w:rFonts w:hint="default"/>
      </w:rPr>
    </w:lvl>
    <w:lvl w:ilvl="7">
      <w:start w:val="1"/>
      <w:numFmt w:val="bullet"/>
      <w:lvlText w:val="•"/>
      <w:lvlJc w:val="left"/>
      <w:pPr>
        <w:ind w:left="5324" w:hanging="294"/>
      </w:pPr>
      <w:rPr>
        <w:rFonts w:hint="default"/>
      </w:rPr>
    </w:lvl>
    <w:lvl w:ilvl="8">
      <w:start w:val="1"/>
      <w:numFmt w:val="bullet"/>
      <w:lvlText w:val="•"/>
      <w:lvlJc w:val="left"/>
      <w:pPr>
        <w:ind w:left="5987" w:hanging="294"/>
      </w:pPr>
      <w:rPr>
        <w:rFonts w:hint="default"/>
      </w:rPr>
    </w:lvl>
  </w:abstractNum>
  <w:abstractNum w:abstractNumId="10">
    <w:multiLevelType w:val="hybridMultilevel"/>
    <w:lvl w:ilvl="0">
      <w:start w:val="6"/>
      <w:numFmt w:val="decimal"/>
      <w:lvlText w:val="%1)"/>
      <w:lvlJc w:val="left"/>
      <w:pPr>
        <w:ind w:left="684" w:hanging="369"/>
        <w:jc w:val="left"/>
      </w:pPr>
      <w:rPr>
        <w:rFonts w:hint="default" w:ascii="Times New Roman" w:hAnsi="Times New Roman" w:eastAsia="Times New Roman" w:cs="Times New Roman"/>
        <w:spacing w:val="-14"/>
        <w:w w:val="100"/>
        <w:sz w:val="23"/>
        <w:szCs w:val="23"/>
      </w:rPr>
    </w:lvl>
    <w:lvl w:ilvl="1">
      <w:start w:val="1"/>
      <w:numFmt w:val="bullet"/>
      <w:lvlText w:val="•"/>
      <w:lvlJc w:val="left"/>
      <w:pPr>
        <w:ind w:left="1343" w:hanging="369"/>
      </w:pPr>
      <w:rPr>
        <w:rFonts w:hint="default"/>
      </w:rPr>
    </w:lvl>
    <w:lvl w:ilvl="2">
      <w:start w:val="1"/>
      <w:numFmt w:val="bullet"/>
      <w:lvlText w:val="•"/>
      <w:lvlJc w:val="left"/>
      <w:pPr>
        <w:ind w:left="2006" w:hanging="369"/>
      </w:pPr>
      <w:rPr>
        <w:rFonts w:hint="default"/>
      </w:rPr>
    </w:lvl>
    <w:lvl w:ilvl="3">
      <w:start w:val="1"/>
      <w:numFmt w:val="bullet"/>
      <w:lvlText w:val="•"/>
      <w:lvlJc w:val="left"/>
      <w:pPr>
        <w:ind w:left="2670" w:hanging="369"/>
      </w:pPr>
      <w:rPr>
        <w:rFonts w:hint="default"/>
      </w:rPr>
    </w:lvl>
    <w:lvl w:ilvl="4">
      <w:start w:val="1"/>
      <w:numFmt w:val="bullet"/>
      <w:lvlText w:val="•"/>
      <w:lvlJc w:val="left"/>
      <w:pPr>
        <w:ind w:left="3333" w:hanging="369"/>
      </w:pPr>
      <w:rPr>
        <w:rFonts w:hint="default"/>
      </w:rPr>
    </w:lvl>
    <w:lvl w:ilvl="5">
      <w:start w:val="1"/>
      <w:numFmt w:val="bullet"/>
      <w:lvlText w:val="•"/>
      <w:lvlJc w:val="left"/>
      <w:pPr>
        <w:ind w:left="3997" w:hanging="369"/>
      </w:pPr>
      <w:rPr>
        <w:rFonts w:hint="default"/>
      </w:rPr>
    </w:lvl>
    <w:lvl w:ilvl="6">
      <w:start w:val="1"/>
      <w:numFmt w:val="bullet"/>
      <w:lvlText w:val="•"/>
      <w:lvlJc w:val="left"/>
      <w:pPr>
        <w:ind w:left="4660" w:hanging="369"/>
      </w:pPr>
      <w:rPr>
        <w:rFonts w:hint="default"/>
      </w:rPr>
    </w:lvl>
    <w:lvl w:ilvl="7">
      <w:start w:val="1"/>
      <w:numFmt w:val="bullet"/>
      <w:lvlText w:val="•"/>
      <w:lvlJc w:val="left"/>
      <w:pPr>
        <w:ind w:left="5324" w:hanging="369"/>
      </w:pPr>
      <w:rPr>
        <w:rFonts w:hint="default"/>
      </w:rPr>
    </w:lvl>
    <w:lvl w:ilvl="8">
      <w:start w:val="1"/>
      <w:numFmt w:val="bullet"/>
      <w:lvlText w:val="•"/>
      <w:lvlJc w:val="left"/>
      <w:pPr>
        <w:ind w:left="5987" w:hanging="369"/>
      </w:pPr>
      <w:rPr>
        <w:rFonts w:hint="default"/>
      </w:rPr>
    </w:lvl>
  </w:abstractNum>
  <w:abstractNum w:abstractNumId="9">
    <w:multiLevelType w:val="hybridMultilevel"/>
    <w:lvl w:ilvl="0">
      <w:start w:val="1"/>
      <w:numFmt w:val="decimal"/>
      <w:lvlText w:val="%1)"/>
      <w:lvlJc w:val="left"/>
      <w:pPr>
        <w:ind w:left="110" w:hanging="289"/>
        <w:jc w:val="left"/>
      </w:pPr>
      <w:rPr>
        <w:rFonts w:hint="default" w:ascii="Times New Roman" w:hAnsi="Times New Roman" w:eastAsia="Times New Roman" w:cs="Times New Roman"/>
        <w:spacing w:val="-20"/>
        <w:w w:val="100"/>
        <w:sz w:val="23"/>
        <w:szCs w:val="23"/>
      </w:rPr>
    </w:lvl>
    <w:lvl w:ilvl="1">
      <w:start w:val="1"/>
      <w:numFmt w:val="decimal"/>
      <w:lvlText w:val="%2)"/>
      <w:lvlJc w:val="left"/>
      <w:pPr>
        <w:ind w:left="684" w:hanging="369"/>
        <w:jc w:val="left"/>
      </w:pPr>
      <w:rPr>
        <w:rFonts w:hint="default" w:ascii="Times New Roman" w:hAnsi="Times New Roman" w:eastAsia="Times New Roman" w:cs="Times New Roman"/>
        <w:spacing w:val="-25"/>
        <w:w w:val="99"/>
        <w:sz w:val="23"/>
        <w:szCs w:val="23"/>
      </w:rPr>
    </w:lvl>
    <w:lvl w:ilvl="2">
      <w:start w:val="1"/>
      <w:numFmt w:val="bullet"/>
      <w:lvlText w:val="•"/>
      <w:lvlJc w:val="left"/>
      <w:pPr>
        <w:ind w:left="1354" w:hanging="369"/>
      </w:pPr>
      <w:rPr>
        <w:rFonts w:hint="default"/>
      </w:rPr>
    </w:lvl>
    <w:lvl w:ilvl="3">
      <w:start w:val="1"/>
      <w:numFmt w:val="bullet"/>
      <w:lvlText w:val="•"/>
      <w:lvlJc w:val="left"/>
      <w:pPr>
        <w:ind w:left="2029" w:hanging="369"/>
      </w:pPr>
      <w:rPr>
        <w:rFonts w:hint="default"/>
      </w:rPr>
    </w:lvl>
    <w:lvl w:ilvl="4">
      <w:start w:val="1"/>
      <w:numFmt w:val="bullet"/>
      <w:lvlText w:val="•"/>
      <w:lvlJc w:val="left"/>
      <w:pPr>
        <w:ind w:left="2704" w:hanging="369"/>
      </w:pPr>
      <w:rPr>
        <w:rFonts w:hint="default"/>
      </w:rPr>
    </w:lvl>
    <w:lvl w:ilvl="5">
      <w:start w:val="1"/>
      <w:numFmt w:val="bullet"/>
      <w:lvlText w:val="•"/>
      <w:lvlJc w:val="left"/>
      <w:pPr>
        <w:ind w:left="3379" w:hanging="369"/>
      </w:pPr>
      <w:rPr>
        <w:rFonts w:hint="default"/>
      </w:rPr>
    </w:lvl>
    <w:lvl w:ilvl="6">
      <w:start w:val="1"/>
      <w:numFmt w:val="bullet"/>
      <w:lvlText w:val="•"/>
      <w:lvlJc w:val="left"/>
      <w:pPr>
        <w:ind w:left="4054" w:hanging="369"/>
      </w:pPr>
      <w:rPr>
        <w:rFonts w:hint="default"/>
      </w:rPr>
    </w:lvl>
    <w:lvl w:ilvl="7">
      <w:start w:val="1"/>
      <w:numFmt w:val="bullet"/>
      <w:lvlText w:val="•"/>
      <w:lvlJc w:val="left"/>
      <w:pPr>
        <w:ind w:left="4729" w:hanging="369"/>
      </w:pPr>
      <w:rPr>
        <w:rFonts w:hint="default"/>
      </w:rPr>
    </w:lvl>
    <w:lvl w:ilvl="8">
      <w:start w:val="1"/>
      <w:numFmt w:val="bullet"/>
      <w:lvlText w:val="•"/>
      <w:lvlJc w:val="left"/>
      <w:pPr>
        <w:ind w:left="5404" w:hanging="369"/>
      </w:pPr>
      <w:rPr>
        <w:rFonts w:hint="default"/>
      </w:rPr>
    </w:lvl>
  </w:abstractNum>
  <w:abstractNum w:abstractNumId="8">
    <w:multiLevelType w:val="hybridMultilevel"/>
    <w:lvl w:ilvl="0">
      <w:start w:val="1"/>
      <w:numFmt w:val="decimal"/>
      <w:lvlText w:val="%1."/>
      <w:lvlJc w:val="left"/>
      <w:pPr>
        <w:ind w:left="684" w:hanging="284"/>
        <w:jc w:val="left"/>
      </w:pPr>
      <w:rPr>
        <w:rFonts w:hint="default" w:ascii="Times New Roman" w:hAnsi="Times New Roman" w:eastAsia="Times New Roman" w:cs="Times New Roman"/>
        <w:spacing w:val="-29"/>
        <w:w w:val="100"/>
        <w:sz w:val="23"/>
        <w:szCs w:val="23"/>
      </w:rPr>
    </w:lvl>
    <w:lvl w:ilvl="1">
      <w:start w:val="1"/>
      <w:numFmt w:val="bullet"/>
      <w:lvlText w:val="•"/>
      <w:lvlJc w:val="left"/>
      <w:pPr>
        <w:ind w:left="1345" w:hanging="284"/>
      </w:pPr>
      <w:rPr>
        <w:rFonts w:hint="default"/>
      </w:rPr>
    </w:lvl>
    <w:lvl w:ilvl="2">
      <w:start w:val="1"/>
      <w:numFmt w:val="bullet"/>
      <w:lvlText w:val="•"/>
      <w:lvlJc w:val="left"/>
      <w:pPr>
        <w:ind w:left="2010" w:hanging="284"/>
      </w:pPr>
      <w:rPr>
        <w:rFonts w:hint="default"/>
      </w:rPr>
    </w:lvl>
    <w:lvl w:ilvl="3">
      <w:start w:val="1"/>
      <w:numFmt w:val="bullet"/>
      <w:lvlText w:val="•"/>
      <w:lvlJc w:val="left"/>
      <w:pPr>
        <w:ind w:left="2676" w:hanging="284"/>
      </w:pPr>
      <w:rPr>
        <w:rFonts w:hint="default"/>
      </w:rPr>
    </w:lvl>
    <w:lvl w:ilvl="4">
      <w:start w:val="1"/>
      <w:numFmt w:val="bullet"/>
      <w:lvlText w:val="•"/>
      <w:lvlJc w:val="left"/>
      <w:pPr>
        <w:ind w:left="3341" w:hanging="284"/>
      </w:pPr>
      <w:rPr>
        <w:rFonts w:hint="default"/>
      </w:rPr>
    </w:lvl>
    <w:lvl w:ilvl="5">
      <w:start w:val="1"/>
      <w:numFmt w:val="bullet"/>
      <w:lvlText w:val="•"/>
      <w:lvlJc w:val="left"/>
      <w:pPr>
        <w:ind w:left="4007" w:hanging="284"/>
      </w:pPr>
      <w:rPr>
        <w:rFonts w:hint="default"/>
      </w:rPr>
    </w:lvl>
    <w:lvl w:ilvl="6">
      <w:start w:val="1"/>
      <w:numFmt w:val="bullet"/>
      <w:lvlText w:val="•"/>
      <w:lvlJc w:val="left"/>
      <w:pPr>
        <w:ind w:left="4672" w:hanging="284"/>
      </w:pPr>
      <w:rPr>
        <w:rFonts w:hint="default"/>
      </w:rPr>
    </w:lvl>
    <w:lvl w:ilvl="7">
      <w:start w:val="1"/>
      <w:numFmt w:val="bullet"/>
      <w:lvlText w:val="•"/>
      <w:lvlJc w:val="left"/>
      <w:pPr>
        <w:ind w:left="5338" w:hanging="284"/>
      </w:pPr>
      <w:rPr>
        <w:rFonts w:hint="default"/>
      </w:rPr>
    </w:lvl>
    <w:lvl w:ilvl="8">
      <w:start w:val="1"/>
      <w:numFmt w:val="bullet"/>
      <w:lvlText w:val="•"/>
      <w:lvlJc w:val="left"/>
      <w:pPr>
        <w:ind w:left="6003" w:hanging="284"/>
      </w:pPr>
      <w:rPr>
        <w:rFonts w:hint="default"/>
      </w:rPr>
    </w:lvl>
  </w:abstractNum>
  <w:abstractNum w:abstractNumId="7">
    <w:multiLevelType w:val="hybridMultilevel"/>
    <w:lvl w:ilvl="0">
      <w:start w:val="2"/>
      <w:numFmt w:val="lowerLetter"/>
      <w:lvlText w:val="%1)"/>
      <w:lvlJc w:val="left"/>
      <w:pPr>
        <w:ind w:left="117" w:hanging="314"/>
        <w:jc w:val="left"/>
      </w:pPr>
      <w:rPr>
        <w:rFonts w:hint="default" w:ascii="Times New Roman" w:hAnsi="Times New Roman" w:eastAsia="Times New Roman" w:cs="Times New Roman"/>
        <w:spacing w:val="-26"/>
        <w:w w:val="100"/>
        <w:sz w:val="23"/>
        <w:szCs w:val="23"/>
      </w:rPr>
    </w:lvl>
    <w:lvl w:ilvl="1">
      <w:start w:val="1"/>
      <w:numFmt w:val="decimal"/>
      <w:lvlText w:val="%2."/>
      <w:lvlJc w:val="left"/>
      <w:pPr>
        <w:ind w:left="684" w:hanging="284"/>
        <w:jc w:val="left"/>
      </w:pPr>
      <w:rPr>
        <w:rFonts w:hint="default" w:ascii="Times New Roman" w:hAnsi="Times New Roman" w:eastAsia="Times New Roman" w:cs="Times New Roman"/>
        <w:spacing w:val="-28"/>
        <w:w w:val="100"/>
        <w:sz w:val="23"/>
        <w:szCs w:val="23"/>
      </w:rPr>
    </w:lvl>
    <w:lvl w:ilvl="2">
      <w:start w:val="1"/>
      <w:numFmt w:val="bullet"/>
      <w:lvlText w:val="•"/>
      <w:lvlJc w:val="left"/>
      <w:pPr>
        <w:ind w:left="1417" w:hanging="284"/>
      </w:pPr>
      <w:rPr>
        <w:rFonts w:hint="default"/>
      </w:rPr>
    </w:lvl>
    <w:lvl w:ilvl="3">
      <w:start w:val="1"/>
      <w:numFmt w:val="bullet"/>
      <w:lvlText w:val="•"/>
      <w:lvlJc w:val="left"/>
      <w:pPr>
        <w:ind w:left="2154" w:hanging="284"/>
      </w:pPr>
      <w:rPr>
        <w:rFonts w:hint="default"/>
      </w:rPr>
    </w:lvl>
    <w:lvl w:ilvl="4">
      <w:start w:val="1"/>
      <w:numFmt w:val="bullet"/>
      <w:lvlText w:val="•"/>
      <w:lvlJc w:val="left"/>
      <w:pPr>
        <w:ind w:left="2891" w:hanging="284"/>
      </w:pPr>
      <w:rPr>
        <w:rFonts w:hint="default"/>
      </w:rPr>
    </w:lvl>
    <w:lvl w:ilvl="5">
      <w:start w:val="1"/>
      <w:numFmt w:val="bullet"/>
      <w:lvlText w:val="•"/>
      <w:lvlJc w:val="left"/>
      <w:pPr>
        <w:ind w:left="3628" w:hanging="284"/>
      </w:pPr>
      <w:rPr>
        <w:rFonts w:hint="default"/>
      </w:rPr>
    </w:lvl>
    <w:lvl w:ilvl="6">
      <w:start w:val="1"/>
      <w:numFmt w:val="bullet"/>
      <w:lvlText w:val="•"/>
      <w:lvlJc w:val="left"/>
      <w:pPr>
        <w:ind w:left="4365" w:hanging="284"/>
      </w:pPr>
      <w:rPr>
        <w:rFonts w:hint="default"/>
      </w:rPr>
    </w:lvl>
    <w:lvl w:ilvl="7">
      <w:start w:val="1"/>
      <w:numFmt w:val="bullet"/>
      <w:lvlText w:val="•"/>
      <w:lvlJc w:val="left"/>
      <w:pPr>
        <w:ind w:left="5102" w:hanging="284"/>
      </w:pPr>
      <w:rPr>
        <w:rFonts w:hint="default"/>
      </w:rPr>
    </w:lvl>
    <w:lvl w:ilvl="8">
      <w:start w:val="1"/>
      <w:numFmt w:val="bullet"/>
      <w:lvlText w:val="•"/>
      <w:lvlJc w:val="left"/>
      <w:pPr>
        <w:ind w:left="5840" w:hanging="284"/>
      </w:pPr>
      <w:rPr>
        <w:rFonts w:hint="default"/>
      </w:rPr>
    </w:lvl>
  </w:abstractNum>
  <w:abstractNum w:abstractNumId="6">
    <w:multiLevelType w:val="hybridMultilevel"/>
    <w:lvl w:ilvl="0">
      <w:start w:val="1"/>
      <w:numFmt w:val="decimal"/>
      <w:lvlText w:val="%1"/>
      <w:lvlJc w:val="left"/>
      <w:pPr>
        <w:ind w:left="110" w:hanging="382"/>
        <w:jc w:val="left"/>
      </w:pPr>
      <w:rPr>
        <w:rFonts w:hint="default"/>
      </w:rPr>
    </w:lvl>
    <w:lvl w:ilvl="1">
      <w:start w:val="2"/>
      <w:numFmt w:val="decimal"/>
      <w:lvlText w:val="%1.%2"/>
      <w:lvlJc w:val="left"/>
      <w:pPr>
        <w:ind w:left="110" w:hanging="382"/>
        <w:jc w:val="left"/>
      </w:pPr>
      <w:rPr>
        <w:rFonts w:hint="default" w:ascii="Times New Roman" w:hAnsi="Times New Roman" w:eastAsia="Times New Roman" w:cs="Times New Roman"/>
        <w:i/>
        <w:spacing w:val="-26"/>
        <w:w w:val="98"/>
        <w:sz w:val="23"/>
        <w:szCs w:val="23"/>
      </w:rPr>
    </w:lvl>
    <w:lvl w:ilvl="2">
      <w:start w:val="1"/>
      <w:numFmt w:val="decimal"/>
      <w:lvlText w:val="%3."/>
      <w:lvlJc w:val="left"/>
      <w:pPr>
        <w:ind w:left="677" w:hanging="284"/>
        <w:jc w:val="left"/>
      </w:pPr>
      <w:rPr>
        <w:rFonts w:hint="default" w:ascii="Times New Roman" w:hAnsi="Times New Roman" w:eastAsia="Times New Roman" w:cs="Times New Roman"/>
        <w:spacing w:val="-6"/>
        <w:w w:val="98"/>
        <w:sz w:val="23"/>
        <w:szCs w:val="23"/>
      </w:rPr>
    </w:lvl>
    <w:lvl w:ilvl="3">
      <w:start w:val="1"/>
      <w:numFmt w:val="bullet"/>
      <w:lvlText w:val="•"/>
      <w:lvlJc w:val="left"/>
      <w:pPr>
        <w:ind w:left="2154" w:hanging="284"/>
      </w:pPr>
      <w:rPr>
        <w:rFonts w:hint="default"/>
      </w:rPr>
    </w:lvl>
    <w:lvl w:ilvl="4">
      <w:start w:val="1"/>
      <w:numFmt w:val="bullet"/>
      <w:lvlText w:val="•"/>
      <w:lvlJc w:val="left"/>
      <w:pPr>
        <w:ind w:left="2891" w:hanging="284"/>
      </w:pPr>
      <w:rPr>
        <w:rFonts w:hint="default"/>
      </w:rPr>
    </w:lvl>
    <w:lvl w:ilvl="5">
      <w:start w:val="1"/>
      <w:numFmt w:val="bullet"/>
      <w:lvlText w:val="•"/>
      <w:lvlJc w:val="left"/>
      <w:pPr>
        <w:ind w:left="3628" w:hanging="284"/>
      </w:pPr>
      <w:rPr>
        <w:rFonts w:hint="default"/>
      </w:rPr>
    </w:lvl>
    <w:lvl w:ilvl="6">
      <w:start w:val="1"/>
      <w:numFmt w:val="bullet"/>
      <w:lvlText w:val="•"/>
      <w:lvlJc w:val="left"/>
      <w:pPr>
        <w:ind w:left="4365" w:hanging="284"/>
      </w:pPr>
      <w:rPr>
        <w:rFonts w:hint="default"/>
      </w:rPr>
    </w:lvl>
    <w:lvl w:ilvl="7">
      <w:start w:val="1"/>
      <w:numFmt w:val="bullet"/>
      <w:lvlText w:val="•"/>
      <w:lvlJc w:val="left"/>
      <w:pPr>
        <w:ind w:left="5102" w:hanging="284"/>
      </w:pPr>
      <w:rPr>
        <w:rFonts w:hint="default"/>
      </w:rPr>
    </w:lvl>
    <w:lvl w:ilvl="8">
      <w:start w:val="1"/>
      <w:numFmt w:val="bullet"/>
      <w:lvlText w:val="•"/>
      <w:lvlJc w:val="left"/>
      <w:pPr>
        <w:ind w:left="5840" w:hanging="284"/>
      </w:pPr>
      <w:rPr>
        <w:rFonts w:hint="default"/>
      </w:rPr>
    </w:lvl>
  </w:abstractNum>
  <w:abstractNum w:abstractNumId="5">
    <w:multiLevelType w:val="hybridMultilevel"/>
    <w:lvl w:ilvl="0">
      <w:start w:val="19"/>
      <w:numFmt w:val="decimal"/>
      <w:lvlText w:val="%1"/>
      <w:lvlJc w:val="left"/>
      <w:pPr>
        <w:ind w:left="110" w:hanging="519"/>
        <w:jc w:val="left"/>
      </w:pPr>
      <w:rPr>
        <w:rFonts w:hint="default"/>
      </w:rPr>
    </w:lvl>
    <w:lvl w:ilvl="1">
      <w:start w:val="47"/>
      <w:numFmt w:val="decimal"/>
      <w:lvlText w:val="%1.%2"/>
      <w:lvlJc w:val="left"/>
      <w:pPr>
        <w:ind w:left="110" w:hanging="519"/>
        <w:jc w:val="left"/>
      </w:pPr>
      <w:rPr>
        <w:rFonts w:hint="default" w:ascii="Times New Roman" w:hAnsi="Times New Roman" w:eastAsia="Times New Roman" w:cs="Times New Roman"/>
        <w:spacing w:val="-22"/>
        <w:w w:val="98"/>
        <w:sz w:val="23"/>
        <w:szCs w:val="23"/>
      </w:rPr>
    </w:lvl>
    <w:lvl w:ilvl="2">
      <w:start w:val="1"/>
      <w:numFmt w:val="decimal"/>
      <w:lvlText w:val="%3."/>
      <w:lvlJc w:val="left"/>
      <w:pPr>
        <w:ind w:left="684" w:hanging="284"/>
        <w:jc w:val="left"/>
      </w:pPr>
      <w:rPr>
        <w:rFonts w:hint="default" w:ascii="Times New Roman" w:hAnsi="Times New Roman" w:eastAsia="Times New Roman" w:cs="Times New Roman"/>
        <w:spacing w:val="-20"/>
        <w:w w:val="100"/>
        <w:sz w:val="23"/>
        <w:szCs w:val="23"/>
      </w:rPr>
    </w:lvl>
    <w:lvl w:ilvl="3">
      <w:start w:val="1"/>
      <w:numFmt w:val="bullet"/>
      <w:lvlText w:val="•"/>
      <w:lvlJc w:val="left"/>
      <w:pPr>
        <w:ind w:left="2029" w:hanging="284"/>
      </w:pPr>
      <w:rPr>
        <w:rFonts w:hint="default"/>
      </w:rPr>
    </w:lvl>
    <w:lvl w:ilvl="4">
      <w:start w:val="1"/>
      <w:numFmt w:val="bullet"/>
      <w:lvlText w:val="•"/>
      <w:lvlJc w:val="left"/>
      <w:pPr>
        <w:ind w:left="2704" w:hanging="284"/>
      </w:pPr>
      <w:rPr>
        <w:rFonts w:hint="default"/>
      </w:rPr>
    </w:lvl>
    <w:lvl w:ilvl="5">
      <w:start w:val="1"/>
      <w:numFmt w:val="bullet"/>
      <w:lvlText w:val="•"/>
      <w:lvlJc w:val="left"/>
      <w:pPr>
        <w:ind w:left="3379" w:hanging="284"/>
      </w:pPr>
      <w:rPr>
        <w:rFonts w:hint="default"/>
      </w:rPr>
    </w:lvl>
    <w:lvl w:ilvl="6">
      <w:start w:val="1"/>
      <w:numFmt w:val="bullet"/>
      <w:lvlText w:val="•"/>
      <w:lvlJc w:val="left"/>
      <w:pPr>
        <w:ind w:left="4054" w:hanging="284"/>
      </w:pPr>
      <w:rPr>
        <w:rFonts w:hint="default"/>
      </w:rPr>
    </w:lvl>
    <w:lvl w:ilvl="7">
      <w:start w:val="1"/>
      <w:numFmt w:val="bullet"/>
      <w:lvlText w:val="•"/>
      <w:lvlJc w:val="left"/>
      <w:pPr>
        <w:ind w:left="4729" w:hanging="284"/>
      </w:pPr>
      <w:rPr>
        <w:rFonts w:hint="default"/>
      </w:rPr>
    </w:lvl>
    <w:lvl w:ilvl="8">
      <w:start w:val="1"/>
      <w:numFmt w:val="bullet"/>
      <w:lvlText w:val="•"/>
      <w:lvlJc w:val="left"/>
      <w:pPr>
        <w:ind w:left="5404" w:hanging="284"/>
      </w:pPr>
      <w:rPr>
        <w:rFonts w:hint="default"/>
      </w:rPr>
    </w:lvl>
  </w:abstractNum>
  <w:abstractNum w:abstractNumId="4">
    <w:multiLevelType w:val="hybridMultilevel"/>
    <w:lvl w:ilvl="0">
      <w:start w:val="1"/>
      <w:numFmt w:val="lowerLetter"/>
      <w:lvlText w:val="%1)"/>
      <w:lvlJc w:val="left"/>
      <w:pPr>
        <w:ind w:left="117" w:hanging="270"/>
        <w:jc w:val="left"/>
      </w:pPr>
      <w:rPr>
        <w:rFonts w:hint="default" w:ascii="Times New Roman" w:hAnsi="Times New Roman" w:eastAsia="Times New Roman" w:cs="Times New Roman"/>
        <w:w w:val="100"/>
        <w:sz w:val="23"/>
        <w:szCs w:val="23"/>
      </w:rPr>
    </w:lvl>
    <w:lvl w:ilvl="1">
      <w:start w:val="1"/>
      <w:numFmt w:val="decimal"/>
      <w:lvlText w:val="%2."/>
      <w:lvlJc w:val="left"/>
      <w:pPr>
        <w:ind w:left="684" w:hanging="284"/>
        <w:jc w:val="left"/>
      </w:pPr>
      <w:rPr>
        <w:rFonts w:hint="default" w:ascii="Times New Roman" w:hAnsi="Times New Roman" w:eastAsia="Times New Roman" w:cs="Times New Roman"/>
        <w:spacing w:val="-28"/>
        <w:w w:val="98"/>
        <w:sz w:val="23"/>
        <w:szCs w:val="23"/>
      </w:rPr>
    </w:lvl>
    <w:lvl w:ilvl="2">
      <w:start w:val="1"/>
      <w:numFmt w:val="bullet"/>
      <w:lvlText w:val="•"/>
      <w:lvlJc w:val="left"/>
      <w:pPr>
        <w:ind w:left="1417" w:hanging="284"/>
      </w:pPr>
      <w:rPr>
        <w:rFonts w:hint="default"/>
      </w:rPr>
    </w:lvl>
    <w:lvl w:ilvl="3">
      <w:start w:val="1"/>
      <w:numFmt w:val="bullet"/>
      <w:lvlText w:val="•"/>
      <w:lvlJc w:val="left"/>
      <w:pPr>
        <w:ind w:left="2154" w:hanging="284"/>
      </w:pPr>
      <w:rPr>
        <w:rFonts w:hint="default"/>
      </w:rPr>
    </w:lvl>
    <w:lvl w:ilvl="4">
      <w:start w:val="1"/>
      <w:numFmt w:val="bullet"/>
      <w:lvlText w:val="•"/>
      <w:lvlJc w:val="left"/>
      <w:pPr>
        <w:ind w:left="2891" w:hanging="284"/>
      </w:pPr>
      <w:rPr>
        <w:rFonts w:hint="default"/>
      </w:rPr>
    </w:lvl>
    <w:lvl w:ilvl="5">
      <w:start w:val="1"/>
      <w:numFmt w:val="bullet"/>
      <w:lvlText w:val="•"/>
      <w:lvlJc w:val="left"/>
      <w:pPr>
        <w:ind w:left="3628" w:hanging="284"/>
      </w:pPr>
      <w:rPr>
        <w:rFonts w:hint="default"/>
      </w:rPr>
    </w:lvl>
    <w:lvl w:ilvl="6">
      <w:start w:val="1"/>
      <w:numFmt w:val="bullet"/>
      <w:lvlText w:val="•"/>
      <w:lvlJc w:val="left"/>
      <w:pPr>
        <w:ind w:left="4365" w:hanging="284"/>
      </w:pPr>
      <w:rPr>
        <w:rFonts w:hint="default"/>
      </w:rPr>
    </w:lvl>
    <w:lvl w:ilvl="7">
      <w:start w:val="1"/>
      <w:numFmt w:val="bullet"/>
      <w:lvlText w:val="•"/>
      <w:lvlJc w:val="left"/>
      <w:pPr>
        <w:ind w:left="5102" w:hanging="284"/>
      </w:pPr>
      <w:rPr>
        <w:rFonts w:hint="default"/>
      </w:rPr>
    </w:lvl>
    <w:lvl w:ilvl="8">
      <w:start w:val="1"/>
      <w:numFmt w:val="bullet"/>
      <w:lvlText w:val="•"/>
      <w:lvlJc w:val="left"/>
      <w:pPr>
        <w:ind w:left="5840" w:hanging="284"/>
      </w:pPr>
      <w:rPr>
        <w:rFonts w:hint="default"/>
      </w:rPr>
    </w:lvl>
  </w:abstractNum>
  <w:abstractNum w:abstractNumId="3">
    <w:multiLevelType w:val="hybridMultilevel"/>
    <w:lvl w:ilvl="0">
      <w:start w:val="1"/>
      <w:numFmt w:val="decimal"/>
      <w:lvlText w:val="%1"/>
      <w:lvlJc w:val="left"/>
      <w:pPr>
        <w:ind w:left="117" w:hanging="332"/>
        <w:jc w:val="left"/>
      </w:pPr>
      <w:rPr>
        <w:rFonts w:hint="default"/>
      </w:rPr>
    </w:lvl>
    <w:lvl w:ilvl="1">
      <w:start w:val="5"/>
      <w:numFmt w:val="decimal"/>
      <w:lvlText w:val="%1.%2"/>
      <w:lvlJc w:val="left"/>
      <w:pPr>
        <w:ind w:left="117" w:hanging="332"/>
        <w:jc w:val="left"/>
      </w:pPr>
      <w:rPr>
        <w:rFonts w:hint="default" w:ascii="Times New Roman" w:hAnsi="Times New Roman" w:eastAsia="Times New Roman" w:cs="Times New Roman"/>
        <w:w w:val="100"/>
        <w:sz w:val="23"/>
        <w:szCs w:val="23"/>
      </w:rPr>
    </w:lvl>
    <w:lvl w:ilvl="2">
      <w:start w:val="1"/>
      <w:numFmt w:val="decimal"/>
      <w:lvlText w:val="%3."/>
      <w:lvlJc w:val="left"/>
      <w:pPr>
        <w:ind w:left="684" w:hanging="284"/>
        <w:jc w:val="left"/>
      </w:pPr>
      <w:rPr>
        <w:rFonts w:hint="default" w:ascii="Times New Roman" w:hAnsi="Times New Roman" w:eastAsia="Times New Roman" w:cs="Times New Roman"/>
        <w:spacing w:val="-27"/>
        <w:w w:val="100"/>
        <w:sz w:val="23"/>
        <w:szCs w:val="23"/>
      </w:rPr>
    </w:lvl>
    <w:lvl w:ilvl="3">
      <w:start w:val="1"/>
      <w:numFmt w:val="upperLetter"/>
      <w:lvlText w:val="%4."/>
      <w:lvlJc w:val="left"/>
      <w:pPr>
        <w:ind w:left="677" w:hanging="284"/>
        <w:jc w:val="left"/>
      </w:pPr>
      <w:rPr>
        <w:rFonts w:hint="default" w:ascii="Times New Roman" w:hAnsi="Times New Roman" w:eastAsia="Times New Roman" w:cs="Times New Roman"/>
        <w:spacing w:val="-1"/>
        <w:w w:val="100"/>
        <w:sz w:val="23"/>
        <w:szCs w:val="23"/>
      </w:rPr>
    </w:lvl>
    <w:lvl w:ilvl="4">
      <w:start w:val="1"/>
      <w:numFmt w:val="decimal"/>
      <w:lvlText w:val="%5."/>
      <w:lvlJc w:val="left"/>
      <w:pPr>
        <w:ind w:left="684" w:hanging="284"/>
        <w:jc w:val="left"/>
      </w:pPr>
      <w:rPr>
        <w:rFonts w:hint="default" w:ascii="Times New Roman" w:hAnsi="Times New Roman" w:eastAsia="Times New Roman" w:cs="Times New Roman"/>
        <w:spacing w:val="-24"/>
        <w:w w:val="97"/>
        <w:sz w:val="23"/>
        <w:szCs w:val="23"/>
      </w:rPr>
    </w:lvl>
    <w:lvl w:ilvl="5">
      <w:start w:val="1"/>
      <w:numFmt w:val="bullet"/>
      <w:lvlText w:val="•"/>
      <w:lvlJc w:val="left"/>
      <w:pPr>
        <w:ind w:left="3379" w:hanging="284"/>
      </w:pPr>
      <w:rPr>
        <w:rFonts w:hint="default"/>
      </w:rPr>
    </w:lvl>
    <w:lvl w:ilvl="6">
      <w:start w:val="1"/>
      <w:numFmt w:val="bullet"/>
      <w:lvlText w:val="•"/>
      <w:lvlJc w:val="left"/>
      <w:pPr>
        <w:ind w:left="4054" w:hanging="284"/>
      </w:pPr>
      <w:rPr>
        <w:rFonts w:hint="default"/>
      </w:rPr>
    </w:lvl>
    <w:lvl w:ilvl="7">
      <w:start w:val="1"/>
      <w:numFmt w:val="bullet"/>
      <w:lvlText w:val="•"/>
      <w:lvlJc w:val="left"/>
      <w:pPr>
        <w:ind w:left="4729" w:hanging="284"/>
      </w:pPr>
      <w:rPr>
        <w:rFonts w:hint="default"/>
      </w:rPr>
    </w:lvl>
    <w:lvl w:ilvl="8">
      <w:start w:val="1"/>
      <w:numFmt w:val="bullet"/>
      <w:lvlText w:val="•"/>
      <w:lvlJc w:val="left"/>
      <w:pPr>
        <w:ind w:left="5404" w:hanging="284"/>
      </w:pPr>
      <w:rPr>
        <w:rFonts w:hint="default"/>
      </w:rPr>
    </w:lvl>
  </w:abstractNum>
  <w:abstractNum w:abstractNumId="1">
    <w:multiLevelType w:val="hybridMultilevel"/>
    <w:lvl w:ilvl="0">
      <w:start w:val="1"/>
      <w:numFmt w:val="decimal"/>
      <w:lvlText w:val="%1."/>
      <w:lvlJc w:val="left"/>
      <w:pPr>
        <w:ind w:left="684" w:hanging="284"/>
        <w:jc w:val="left"/>
      </w:pPr>
      <w:rPr>
        <w:rFonts w:hint="default" w:ascii="Times New Roman" w:hAnsi="Times New Roman" w:eastAsia="Times New Roman" w:cs="Times New Roman"/>
        <w:spacing w:val="-25"/>
        <w:w w:val="97"/>
        <w:sz w:val="23"/>
        <w:szCs w:val="23"/>
      </w:rPr>
    </w:lvl>
    <w:lvl w:ilvl="1">
      <w:start w:val="1"/>
      <w:numFmt w:val="lowerLetter"/>
      <w:lvlText w:val="%2)"/>
      <w:lvlJc w:val="left"/>
      <w:pPr>
        <w:ind w:left="677" w:hanging="225"/>
        <w:jc w:val="right"/>
      </w:pPr>
      <w:rPr>
        <w:rFonts w:hint="default" w:ascii="Times New Roman" w:hAnsi="Times New Roman" w:eastAsia="Times New Roman" w:cs="Times New Roman"/>
        <w:w w:val="100"/>
        <w:sz w:val="23"/>
        <w:szCs w:val="23"/>
      </w:rPr>
    </w:lvl>
    <w:lvl w:ilvl="2">
      <w:start w:val="1"/>
      <w:numFmt w:val="bullet"/>
      <w:lvlText w:val="•"/>
      <w:lvlJc w:val="left"/>
      <w:pPr>
        <w:ind w:left="1894" w:hanging="225"/>
      </w:pPr>
      <w:rPr>
        <w:rFonts w:hint="default"/>
      </w:rPr>
    </w:lvl>
    <w:lvl w:ilvl="3">
      <w:start w:val="1"/>
      <w:numFmt w:val="bullet"/>
      <w:lvlText w:val="•"/>
      <w:lvlJc w:val="left"/>
      <w:pPr>
        <w:ind w:left="2502" w:hanging="225"/>
      </w:pPr>
      <w:rPr>
        <w:rFonts w:hint="default"/>
      </w:rPr>
    </w:lvl>
    <w:lvl w:ilvl="4">
      <w:start w:val="1"/>
      <w:numFmt w:val="bullet"/>
      <w:lvlText w:val="•"/>
      <w:lvlJc w:val="left"/>
      <w:pPr>
        <w:ind w:left="3109" w:hanging="225"/>
      </w:pPr>
      <w:rPr>
        <w:rFonts w:hint="default"/>
      </w:rPr>
    </w:lvl>
    <w:lvl w:ilvl="5">
      <w:start w:val="1"/>
      <w:numFmt w:val="bullet"/>
      <w:lvlText w:val="•"/>
      <w:lvlJc w:val="left"/>
      <w:pPr>
        <w:ind w:left="3717" w:hanging="225"/>
      </w:pPr>
      <w:rPr>
        <w:rFonts w:hint="default"/>
      </w:rPr>
    </w:lvl>
    <w:lvl w:ilvl="6">
      <w:start w:val="1"/>
      <w:numFmt w:val="bullet"/>
      <w:lvlText w:val="•"/>
      <w:lvlJc w:val="left"/>
      <w:pPr>
        <w:ind w:left="4324" w:hanging="225"/>
      </w:pPr>
      <w:rPr>
        <w:rFonts w:hint="default"/>
      </w:rPr>
    </w:lvl>
    <w:lvl w:ilvl="7">
      <w:start w:val="1"/>
      <w:numFmt w:val="bullet"/>
      <w:lvlText w:val="•"/>
      <w:lvlJc w:val="left"/>
      <w:pPr>
        <w:ind w:left="4932" w:hanging="225"/>
      </w:pPr>
      <w:rPr>
        <w:rFonts w:hint="default"/>
      </w:rPr>
    </w:lvl>
    <w:lvl w:ilvl="8">
      <w:start w:val="1"/>
      <w:numFmt w:val="bullet"/>
      <w:lvlText w:val="•"/>
      <w:lvlJc w:val="left"/>
      <w:pPr>
        <w:ind w:left="5539" w:hanging="225"/>
      </w:pPr>
      <w:rPr>
        <w:rFonts w:hint="default"/>
      </w:rPr>
    </w:lvl>
  </w:abstractNum>
  <w:abstractNum w:abstractNumId="0">
    <w:multiLevelType w:val="hybridMultilevel"/>
    <w:lvl w:ilvl="0">
      <w:start w:val="1"/>
      <w:numFmt w:val="decimal"/>
      <w:lvlText w:val="%1."/>
      <w:lvlJc w:val="left"/>
      <w:pPr>
        <w:ind w:left="677" w:hanging="284"/>
        <w:jc w:val="left"/>
      </w:pPr>
      <w:rPr>
        <w:rFonts w:hint="default" w:ascii="Times New Roman" w:hAnsi="Times New Roman" w:eastAsia="Times New Roman" w:cs="Times New Roman"/>
        <w:spacing w:val="-24"/>
        <w:w w:val="100"/>
        <w:sz w:val="23"/>
        <w:szCs w:val="23"/>
      </w:rPr>
    </w:lvl>
    <w:lvl w:ilvl="1">
      <w:start w:val="1"/>
      <w:numFmt w:val="bullet"/>
      <w:lvlText w:val="•"/>
      <w:lvlJc w:val="left"/>
      <w:pPr>
        <w:ind w:left="1343" w:hanging="284"/>
      </w:pPr>
      <w:rPr>
        <w:rFonts w:hint="default"/>
      </w:rPr>
    </w:lvl>
    <w:lvl w:ilvl="2">
      <w:start w:val="1"/>
      <w:numFmt w:val="bullet"/>
      <w:lvlText w:val="•"/>
      <w:lvlJc w:val="left"/>
      <w:pPr>
        <w:ind w:left="2006" w:hanging="284"/>
      </w:pPr>
      <w:rPr>
        <w:rFonts w:hint="default"/>
      </w:rPr>
    </w:lvl>
    <w:lvl w:ilvl="3">
      <w:start w:val="1"/>
      <w:numFmt w:val="bullet"/>
      <w:lvlText w:val="•"/>
      <w:lvlJc w:val="left"/>
      <w:pPr>
        <w:ind w:left="2670"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3997" w:hanging="284"/>
      </w:pPr>
      <w:rPr>
        <w:rFonts w:hint="default"/>
      </w:rPr>
    </w:lvl>
    <w:lvl w:ilvl="6">
      <w:start w:val="1"/>
      <w:numFmt w:val="bullet"/>
      <w:lvlText w:val="•"/>
      <w:lvlJc w:val="left"/>
      <w:pPr>
        <w:ind w:left="4660" w:hanging="284"/>
      </w:pPr>
      <w:rPr>
        <w:rFonts w:hint="default"/>
      </w:rPr>
    </w:lvl>
    <w:lvl w:ilvl="7">
      <w:start w:val="1"/>
      <w:numFmt w:val="bullet"/>
      <w:lvlText w:val="•"/>
      <w:lvlJc w:val="left"/>
      <w:pPr>
        <w:ind w:left="5324" w:hanging="284"/>
      </w:pPr>
      <w:rPr>
        <w:rFonts w:hint="default"/>
      </w:rPr>
    </w:lvl>
    <w:lvl w:ilvl="8">
      <w:start w:val="1"/>
      <w:numFmt w:val="bullet"/>
      <w:lvlText w:val="•"/>
      <w:lvlJc w:val="left"/>
      <w:pPr>
        <w:ind w:left="5987" w:hanging="284"/>
      </w:pPr>
      <w:rPr>
        <w:rFonts w:hint="default"/>
      </w:rPr>
    </w:lvl>
  </w:abstractNum>
  <w:num w:numId="3">
    <w:abstractNumId w:val="2"/>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
      <w:ind w:left="117"/>
    </w:pPr>
    <w:rPr>
      <w:rFonts w:ascii="Times New Roman" w:hAnsi="Times New Roman" w:eastAsia="Times New Roman" w:cs="Times New Roman"/>
      <w:b/>
      <w:bCs/>
      <w:sz w:val="21"/>
      <w:szCs w:val="21"/>
    </w:rPr>
  </w:style>
  <w:style w:styleId="TOC2" w:type="paragraph">
    <w:name w:val="TOC 2"/>
    <w:basedOn w:val="Normal"/>
    <w:uiPriority w:val="1"/>
    <w:qFormat/>
    <w:pPr>
      <w:spacing w:before="2"/>
      <w:ind w:left="117"/>
    </w:pPr>
    <w:rPr>
      <w:rFonts w:ascii="Times New Roman" w:hAnsi="Times New Roman" w:eastAsia="Times New Roman" w:cs="Times New Roman"/>
      <w:sz w:val="21"/>
      <w:szCs w:val="21"/>
    </w:rPr>
  </w:style>
  <w:style w:styleId="TOC3" w:type="paragraph">
    <w:name w:val="TOC 3"/>
    <w:basedOn w:val="Normal"/>
    <w:uiPriority w:val="1"/>
    <w:qFormat/>
    <w:pPr>
      <w:spacing w:before="2"/>
      <w:ind w:left="117"/>
    </w:pPr>
    <w:rPr>
      <w:rFonts w:ascii="Times New Roman" w:hAnsi="Times New Roman" w:eastAsia="Times New Roman" w:cs="Times New Roman"/>
      <w:b/>
      <w:bCs/>
      <w:i/>
    </w:rPr>
  </w:style>
  <w:style w:styleId="BodyText" w:type="paragraph">
    <w:name w:val="Body Text"/>
    <w:basedOn w:val="Normal"/>
    <w:uiPriority w:val="1"/>
    <w:qFormat/>
    <w:pPr/>
    <w:rPr>
      <w:rFonts w:ascii="Times New Roman" w:hAnsi="Times New Roman" w:eastAsia="Times New Roman" w:cs="Times New Roman"/>
      <w:sz w:val="23"/>
      <w:szCs w:val="23"/>
    </w:rPr>
  </w:style>
  <w:style w:styleId="Heading1" w:type="paragraph">
    <w:name w:val="Heading 1"/>
    <w:basedOn w:val="Normal"/>
    <w:uiPriority w:val="1"/>
    <w:qFormat/>
    <w:pPr>
      <w:ind w:left="738" w:right="732"/>
      <w:jc w:val="center"/>
      <w:outlineLvl w:val="1"/>
    </w:pPr>
    <w:rPr>
      <w:rFonts w:ascii="Times New Roman" w:hAnsi="Times New Roman" w:eastAsia="Times New Roman" w:cs="Times New Roman"/>
      <w:b/>
      <w:bCs/>
      <w:sz w:val="36"/>
      <w:szCs w:val="36"/>
    </w:rPr>
  </w:style>
  <w:style w:styleId="Heading2" w:type="paragraph">
    <w:name w:val="Heading 2"/>
    <w:basedOn w:val="Normal"/>
    <w:uiPriority w:val="1"/>
    <w:qFormat/>
    <w:pPr>
      <w:spacing w:before="136"/>
      <w:ind w:left="318" w:right="732"/>
      <w:jc w:val="center"/>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ind w:left="117"/>
      <w:jc w:val="both"/>
      <w:outlineLvl w:val="3"/>
    </w:pPr>
    <w:rPr>
      <w:rFonts w:ascii="Times New Roman" w:hAnsi="Times New Roman" w:eastAsia="Times New Roman" w:cs="Times New Roman"/>
      <w:b/>
      <w:bCs/>
      <w:sz w:val="23"/>
      <w:szCs w:val="23"/>
    </w:rPr>
  </w:style>
  <w:style w:styleId="ListParagraph" w:type="paragraph">
    <w:name w:val="List Paragraph"/>
    <w:basedOn w:val="Normal"/>
    <w:uiPriority w:val="1"/>
    <w:qFormat/>
    <w:pPr>
      <w:spacing w:line="260" w:lineRule="exact"/>
      <w:ind w:left="684" w:right="114" w:hanging="284"/>
      <w:jc w:val="both"/>
    </w:pPr>
    <w:rPr>
      <w:rFonts w:ascii="Times New Roman" w:hAnsi="Times New Roman" w:eastAsia="Times New Roman" w:cs="Times New Roman"/>
    </w:rPr>
  </w:style>
  <w:style w:styleId="TableParagraph" w:type="paragraph">
    <w:name w:val="Table Paragraph"/>
    <w:basedOn w:val="Normal"/>
    <w:uiPriority w:val="1"/>
    <w:qFormat/>
    <w:pPr>
      <w:spacing w:before="9"/>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hyperlink" Target="http://www.inap.org.mx/" TargetMode="External"/><Relationship Id="rId10" Type="http://schemas.openxmlformats.org/officeDocument/2006/relationships/hyperlink" Target="http://www.iaphidalgo.org/" TargetMode="External"/><Relationship Id="rId11" Type="http://schemas.openxmlformats.org/officeDocument/2006/relationships/image" Target="media/image5.png"/><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1.xml"/><Relationship Id="rId15" Type="http://schemas.openxmlformats.org/officeDocument/2006/relationships/header" Target="header2.xml"/><Relationship Id="rId16" Type="http://schemas.openxmlformats.org/officeDocument/2006/relationships/image" Target="media/image6.png"/><Relationship Id="rId17" Type="http://schemas.openxmlformats.org/officeDocument/2006/relationships/header" Target="header3.xml"/><Relationship Id="rId18" Type="http://schemas.openxmlformats.org/officeDocument/2006/relationships/footer" Target="footer3.xml"/><Relationship Id="rId19" Type="http://schemas.openxmlformats.org/officeDocument/2006/relationships/header" Target="header4.xml"/><Relationship Id="rId20" Type="http://schemas.openxmlformats.org/officeDocument/2006/relationships/footer" Target="footer4.xml"/><Relationship Id="rId21" Type="http://schemas.openxmlformats.org/officeDocument/2006/relationships/footer" Target="footer5.xml"/><Relationship Id="rId22" Type="http://schemas.openxmlformats.org/officeDocument/2006/relationships/header" Target="header5.xml"/><Relationship Id="rId23" Type="http://schemas.openxmlformats.org/officeDocument/2006/relationships/header" Target="header6.xml"/><Relationship Id="rId24" Type="http://schemas.openxmlformats.org/officeDocument/2006/relationships/hyperlink" Target="http://www.scielo.cl/" TargetMode="External"/><Relationship Id="rId25" Type="http://schemas.openxmlformats.org/officeDocument/2006/relationships/header" Target="header7.xml"/><Relationship Id="rId26" Type="http://schemas.openxmlformats.org/officeDocument/2006/relationships/footer" Target="footer6.xml"/><Relationship Id="rId27" Type="http://schemas.openxmlformats.org/officeDocument/2006/relationships/header" Target="header8.xml"/><Relationship Id="rId28" Type="http://schemas.openxmlformats.org/officeDocument/2006/relationships/footer" Target="footer7.xml"/><Relationship Id="rId29" Type="http://schemas.openxmlformats.org/officeDocument/2006/relationships/header" Target="header9.xml"/><Relationship Id="rId30" Type="http://schemas.openxmlformats.org/officeDocument/2006/relationships/footer" Target="footer8.xml"/><Relationship Id="rId31" Type="http://schemas.openxmlformats.org/officeDocument/2006/relationships/header" Target="header10.xml"/><Relationship Id="rId32" Type="http://schemas.openxmlformats.org/officeDocument/2006/relationships/footer" Target="footer9.xml"/><Relationship Id="rId33" Type="http://schemas.openxmlformats.org/officeDocument/2006/relationships/image" Target="media/image7.png"/><Relationship Id="rId34" Type="http://schemas.openxmlformats.org/officeDocument/2006/relationships/header" Target="header11.xml"/><Relationship Id="rId35" Type="http://schemas.openxmlformats.org/officeDocument/2006/relationships/footer" Target="footer10.xml"/><Relationship Id="rId36" Type="http://schemas.openxmlformats.org/officeDocument/2006/relationships/header" Target="header12.xml"/><Relationship Id="rId37" Type="http://schemas.openxmlformats.org/officeDocument/2006/relationships/footer" Target="footer11.xml"/><Relationship Id="rId38" Type="http://schemas.openxmlformats.org/officeDocument/2006/relationships/footer" Target="footer12.xml"/><Relationship Id="rId39" Type="http://schemas.openxmlformats.org/officeDocument/2006/relationships/header" Target="header13.xml"/><Relationship Id="rId40" Type="http://schemas.openxmlformats.org/officeDocument/2006/relationships/header" Target="header14.xml"/><Relationship Id="rId41" Type="http://schemas.openxmlformats.org/officeDocument/2006/relationships/hyperlink" Target="http://www.indetec.gob.mx/" TargetMode="External"/><Relationship Id="rId42" Type="http://schemas.openxmlformats.org/officeDocument/2006/relationships/image" Target="media/image8.png"/><Relationship Id="rId43" Type="http://schemas.openxmlformats.org/officeDocument/2006/relationships/image" Target="media/image9.png"/><Relationship Id="rId44" Type="http://schemas.openxmlformats.org/officeDocument/2006/relationships/image" Target="media/image10.png"/><Relationship Id="rId45" Type="http://schemas.openxmlformats.org/officeDocument/2006/relationships/image" Target="media/image11.png"/><Relationship Id="rId46" Type="http://schemas.openxmlformats.org/officeDocument/2006/relationships/image" Target="media/image12.png"/><Relationship Id="rId47" Type="http://schemas.openxmlformats.org/officeDocument/2006/relationships/image" Target="media/image13.png"/><Relationship Id="rId48" Type="http://schemas.openxmlformats.org/officeDocument/2006/relationships/image" Target="media/image14.png"/><Relationship Id="rId49" Type="http://schemas.openxmlformats.org/officeDocument/2006/relationships/image" Target="media/image15.png"/><Relationship Id="rId50" Type="http://schemas.openxmlformats.org/officeDocument/2006/relationships/image" Target="media/image16.png"/><Relationship Id="rId51" Type="http://schemas.openxmlformats.org/officeDocument/2006/relationships/image" Target="media/image17.png"/><Relationship Id="rId52" Type="http://schemas.openxmlformats.org/officeDocument/2006/relationships/image" Target="media/image18.png"/><Relationship Id="rId53" Type="http://schemas.openxmlformats.org/officeDocument/2006/relationships/image" Target="media/image19.png"/><Relationship Id="rId54" Type="http://schemas.openxmlformats.org/officeDocument/2006/relationships/image" Target="media/image20.png"/><Relationship Id="rId55" Type="http://schemas.openxmlformats.org/officeDocument/2006/relationships/image" Target="media/image21.png"/><Relationship Id="rId56" Type="http://schemas.openxmlformats.org/officeDocument/2006/relationships/image" Target="media/image22.png"/><Relationship Id="rId57" Type="http://schemas.openxmlformats.org/officeDocument/2006/relationships/image" Target="media/image23.png"/><Relationship Id="rId58" Type="http://schemas.openxmlformats.org/officeDocument/2006/relationships/image" Target="media/image24.png"/><Relationship Id="rId59" Type="http://schemas.openxmlformats.org/officeDocument/2006/relationships/image" Target="media/image25.png"/><Relationship Id="rId60" Type="http://schemas.openxmlformats.org/officeDocument/2006/relationships/image" Target="media/image26.png"/><Relationship Id="rId61" Type="http://schemas.openxmlformats.org/officeDocument/2006/relationships/image" Target="media/image27.png"/><Relationship Id="rId62" Type="http://schemas.openxmlformats.org/officeDocument/2006/relationships/image" Target="media/image28.png"/><Relationship Id="rId63" Type="http://schemas.openxmlformats.org/officeDocument/2006/relationships/image" Target="media/image29.png"/><Relationship Id="rId64" Type="http://schemas.openxmlformats.org/officeDocument/2006/relationships/image" Target="media/image30.png"/><Relationship Id="rId65" Type="http://schemas.openxmlformats.org/officeDocument/2006/relationships/image" Target="media/image31.png"/><Relationship Id="rId66" Type="http://schemas.openxmlformats.org/officeDocument/2006/relationships/image" Target="media/image32.png"/><Relationship Id="rId67" Type="http://schemas.openxmlformats.org/officeDocument/2006/relationships/image" Target="media/image33.png"/><Relationship Id="rId68" Type="http://schemas.openxmlformats.org/officeDocument/2006/relationships/image" Target="media/image34.png"/><Relationship Id="rId69" Type="http://schemas.openxmlformats.org/officeDocument/2006/relationships/image" Target="media/image35.png"/><Relationship Id="rId70" Type="http://schemas.openxmlformats.org/officeDocument/2006/relationships/image" Target="media/image36.png"/><Relationship Id="rId71" Type="http://schemas.openxmlformats.org/officeDocument/2006/relationships/image" Target="media/image37.png"/><Relationship Id="rId72" Type="http://schemas.openxmlformats.org/officeDocument/2006/relationships/image" Target="media/image38.png"/><Relationship Id="rId73" Type="http://schemas.openxmlformats.org/officeDocument/2006/relationships/image" Target="media/image39.png"/><Relationship Id="rId74" Type="http://schemas.openxmlformats.org/officeDocument/2006/relationships/image" Target="media/image40.png"/><Relationship Id="rId75" Type="http://schemas.openxmlformats.org/officeDocument/2006/relationships/image" Target="media/image41.png"/><Relationship Id="rId76" Type="http://schemas.openxmlformats.org/officeDocument/2006/relationships/image" Target="media/image42.png"/><Relationship Id="rId77" Type="http://schemas.openxmlformats.org/officeDocument/2006/relationships/image" Target="media/image43.png"/><Relationship Id="rId78" Type="http://schemas.openxmlformats.org/officeDocument/2006/relationships/image" Target="media/image44.png"/><Relationship Id="rId79" Type="http://schemas.openxmlformats.org/officeDocument/2006/relationships/image" Target="media/image45.png"/><Relationship Id="rId80" Type="http://schemas.openxmlformats.org/officeDocument/2006/relationships/image" Target="media/image46.png"/><Relationship Id="rId81" Type="http://schemas.openxmlformats.org/officeDocument/2006/relationships/image" Target="media/image47.png"/><Relationship Id="rId82" Type="http://schemas.openxmlformats.org/officeDocument/2006/relationships/image" Target="media/image48.png"/><Relationship Id="rId83" Type="http://schemas.openxmlformats.org/officeDocument/2006/relationships/image" Target="media/image49.png"/><Relationship Id="rId84" Type="http://schemas.openxmlformats.org/officeDocument/2006/relationships/image" Target="media/image50.png"/><Relationship Id="rId85" Type="http://schemas.openxmlformats.org/officeDocument/2006/relationships/image" Target="media/image51.png"/><Relationship Id="rId86" Type="http://schemas.openxmlformats.org/officeDocument/2006/relationships/image" Target="media/image52.png"/><Relationship Id="rId87" Type="http://schemas.openxmlformats.org/officeDocument/2006/relationships/image" Target="media/image53.png"/><Relationship Id="rId88" Type="http://schemas.openxmlformats.org/officeDocument/2006/relationships/image" Target="media/image54.png"/><Relationship Id="rId89" Type="http://schemas.openxmlformats.org/officeDocument/2006/relationships/image" Target="media/image55.png"/><Relationship Id="rId90" Type="http://schemas.openxmlformats.org/officeDocument/2006/relationships/image" Target="media/image56.png"/><Relationship Id="rId91" Type="http://schemas.openxmlformats.org/officeDocument/2006/relationships/image" Target="media/image57.png"/><Relationship Id="rId92" Type="http://schemas.openxmlformats.org/officeDocument/2006/relationships/image" Target="media/image58.png"/><Relationship Id="rId93" Type="http://schemas.openxmlformats.org/officeDocument/2006/relationships/image" Target="media/image59.png"/><Relationship Id="rId94" Type="http://schemas.openxmlformats.org/officeDocument/2006/relationships/image" Target="media/image60.png"/><Relationship Id="rId95" Type="http://schemas.openxmlformats.org/officeDocument/2006/relationships/image" Target="media/image61.png"/><Relationship Id="rId96" Type="http://schemas.openxmlformats.org/officeDocument/2006/relationships/image" Target="media/image62.png"/><Relationship Id="rId97" Type="http://schemas.openxmlformats.org/officeDocument/2006/relationships/image" Target="media/image63.png"/><Relationship Id="rId98" Type="http://schemas.openxmlformats.org/officeDocument/2006/relationships/image" Target="media/image64.png"/><Relationship Id="rId99" Type="http://schemas.openxmlformats.org/officeDocument/2006/relationships/image" Target="media/image65.png"/><Relationship Id="rId100" Type="http://schemas.openxmlformats.org/officeDocument/2006/relationships/image" Target="media/image66.png"/><Relationship Id="rId101" Type="http://schemas.openxmlformats.org/officeDocument/2006/relationships/image" Target="media/image67.png"/><Relationship Id="rId102" Type="http://schemas.openxmlformats.org/officeDocument/2006/relationships/image" Target="media/image68.png"/><Relationship Id="rId103" Type="http://schemas.openxmlformats.org/officeDocument/2006/relationships/image" Target="media/image69.png"/><Relationship Id="rId104" Type="http://schemas.openxmlformats.org/officeDocument/2006/relationships/image" Target="media/image70.png"/><Relationship Id="rId105" Type="http://schemas.openxmlformats.org/officeDocument/2006/relationships/image" Target="media/image71.png"/><Relationship Id="rId106" Type="http://schemas.openxmlformats.org/officeDocument/2006/relationships/image" Target="media/image72.png"/><Relationship Id="rId107" Type="http://schemas.openxmlformats.org/officeDocument/2006/relationships/image" Target="media/image73.png"/><Relationship Id="rId108" Type="http://schemas.openxmlformats.org/officeDocument/2006/relationships/image" Target="media/image74.png"/><Relationship Id="rId109" Type="http://schemas.openxmlformats.org/officeDocument/2006/relationships/image" Target="media/image75.png"/><Relationship Id="rId110" Type="http://schemas.openxmlformats.org/officeDocument/2006/relationships/image" Target="media/image76.png"/><Relationship Id="rId111" Type="http://schemas.openxmlformats.org/officeDocument/2006/relationships/image" Target="media/image77.png"/><Relationship Id="rId112" Type="http://schemas.openxmlformats.org/officeDocument/2006/relationships/image" Target="media/image78.png"/><Relationship Id="rId113" Type="http://schemas.openxmlformats.org/officeDocument/2006/relationships/image" Target="media/image79.png"/><Relationship Id="rId114" Type="http://schemas.openxmlformats.org/officeDocument/2006/relationships/image" Target="media/image80.png"/><Relationship Id="rId115" Type="http://schemas.openxmlformats.org/officeDocument/2006/relationships/image" Target="media/image81.png"/><Relationship Id="rId116" Type="http://schemas.openxmlformats.org/officeDocument/2006/relationships/image" Target="media/image82.png"/><Relationship Id="rId117" Type="http://schemas.openxmlformats.org/officeDocument/2006/relationships/image" Target="media/image83.png"/><Relationship Id="rId118" Type="http://schemas.openxmlformats.org/officeDocument/2006/relationships/image" Target="media/image84.png"/><Relationship Id="rId119" Type="http://schemas.openxmlformats.org/officeDocument/2006/relationships/image" Target="media/image85.png"/><Relationship Id="rId120" Type="http://schemas.openxmlformats.org/officeDocument/2006/relationships/image" Target="media/image86.png"/><Relationship Id="rId121" Type="http://schemas.openxmlformats.org/officeDocument/2006/relationships/image" Target="media/image87.png"/><Relationship Id="rId122" Type="http://schemas.openxmlformats.org/officeDocument/2006/relationships/image" Target="media/image88.png"/><Relationship Id="rId123" Type="http://schemas.openxmlformats.org/officeDocument/2006/relationships/header" Target="header15.xml"/><Relationship Id="rId124" Type="http://schemas.openxmlformats.org/officeDocument/2006/relationships/footer" Target="footer13.xml"/><Relationship Id="rId125" Type="http://schemas.openxmlformats.org/officeDocument/2006/relationships/image" Target="media/image89.png"/><Relationship Id="rId126" Type="http://schemas.openxmlformats.org/officeDocument/2006/relationships/header" Target="header16.xml"/><Relationship Id="rId127" Type="http://schemas.openxmlformats.org/officeDocument/2006/relationships/footer" Target="footer14.xml"/><Relationship Id="rId128" Type="http://schemas.openxmlformats.org/officeDocument/2006/relationships/header" Target="header17.xml"/><Relationship Id="rId129" Type="http://schemas.openxmlformats.org/officeDocument/2006/relationships/footer" Target="footer15.xml"/><Relationship Id="rId130" Type="http://schemas.openxmlformats.org/officeDocument/2006/relationships/footer" Target="footer16.xml"/><Relationship Id="rId131" Type="http://schemas.openxmlformats.org/officeDocument/2006/relationships/header" Target="header18.xml"/><Relationship Id="rId132" Type="http://schemas.openxmlformats.org/officeDocument/2006/relationships/header" Target="header19.xml"/><Relationship Id="rId133" Type="http://schemas.openxmlformats.org/officeDocument/2006/relationships/header" Target="header20.xml"/><Relationship Id="rId134" Type="http://schemas.openxmlformats.org/officeDocument/2006/relationships/footer" Target="footer17.xml"/><Relationship Id="rId135" Type="http://schemas.openxmlformats.org/officeDocument/2006/relationships/header" Target="header21.xml"/><Relationship Id="rId136" Type="http://schemas.openxmlformats.org/officeDocument/2006/relationships/footer" Target="footer18.xml"/><Relationship Id="rId137" Type="http://schemas.openxmlformats.org/officeDocument/2006/relationships/image" Target="media/image90.png"/><Relationship Id="rId138" Type="http://schemas.openxmlformats.org/officeDocument/2006/relationships/header" Target="header22.xml"/><Relationship Id="rId139" Type="http://schemas.openxmlformats.org/officeDocument/2006/relationships/footer" Target="footer19.xml"/><Relationship Id="rId140" Type="http://schemas.openxmlformats.org/officeDocument/2006/relationships/header" Target="header23.xml"/><Relationship Id="rId141" Type="http://schemas.openxmlformats.org/officeDocument/2006/relationships/footer" Target="footer20.xml"/><Relationship Id="rId142" Type="http://schemas.openxmlformats.org/officeDocument/2006/relationships/footer" Target="footer21.xml"/><Relationship Id="rId143" Type="http://schemas.openxmlformats.org/officeDocument/2006/relationships/header" Target="header24.xml"/><Relationship Id="rId144" Type="http://schemas.openxmlformats.org/officeDocument/2006/relationships/header" Target="header25.xml"/><Relationship Id="rId145" Type="http://schemas.openxmlformats.org/officeDocument/2006/relationships/hyperlink" Target="http://www.shcp.gob.mx/" TargetMode="External"/><Relationship Id="rId146" Type="http://schemas.openxmlformats.org/officeDocument/2006/relationships/hyperlink" Target="http://www/" TargetMode="External"/><Relationship Id="rId147" Type="http://schemas.openxmlformats.org/officeDocument/2006/relationships/header" Target="header26.xml"/><Relationship Id="rId148" Type="http://schemas.openxmlformats.org/officeDocument/2006/relationships/footer" Target="footer22.xml"/><Relationship Id="rId149" Type="http://schemas.openxmlformats.org/officeDocument/2006/relationships/header" Target="header27.xml"/><Relationship Id="rId150" Type="http://schemas.openxmlformats.org/officeDocument/2006/relationships/footer" Target="footer23.xml"/><Relationship Id="rId151" Type="http://schemas.openxmlformats.org/officeDocument/2006/relationships/header" Target="header28.xml"/><Relationship Id="rId152" Type="http://schemas.openxmlformats.org/officeDocument/2006/relationships/footer" Target="footer24.xml"/><Relationship Id="rId153" Type="http://schemas.openxmlformats.org/officeDocument/2006/relationships/header" Target="header29.xml"/><Relationship Id="rId154" Type="http://schemas.openxmlformats.org/officeDocument/2006/relationships/footer" Target="footer25.xml"/><Relationship Id="rId155" Type="http://schemas.openxmlformats.org/officeDocument/2006/relationships/image" Target="media/image91.png"/><Relationship Id="rId156" Type="http://schemas.openxmlformats.org/officeDocument/2006/relationships/header" Target="header30.xml"/><Relationship Id="rId157" Type="http://schemas.openxmlformats.org/officeDocument/2006/relationships/footer" Target="footer26.xml"/><Relationship Id="rId158" Type="http://schemas.openxmlformats.org/officeDocument/2006/relationships/header" Target="header31.xml"/><Relationship Id="rId159" Type="http://schemas.openxmlformats.org/officeDocument/2006/relationships/footer" Target="footer27.xml"/><Relationship Id="rId160" Type="http://schemas.openxmlformats.org/officeDocument/2006/relationships/footer" Target="footer28.xml"/><Relationship Id="rId161" Type="http://schemas.openxmlformats.org/officeDocument/2006/relationships/header" Target="header32.xml"/><Relationship Id="rId162" Type="http://schemas.openxmlformats.org/officeDocument/2006/relationships/header" Target="header33.xml"/><Relationship Id="rId163" Type="http://schemas.openxmlformats.org/officeDocument/2006/relationships/footer" Target="footer29.xml"/><Relationship Id="rId164" Type="http://schemas.openxmlformats.org/officeDocument/2006/relationships/footer" Target="footer30.xml"/><Relationship Id="rId165" Type="http://schemas.openxmlformats.org/officeDocument/2006/relationships/footer" Target="footer31.xml"/><Relationship Id="rId166" Type="http://schemas.openxmlformats.org/officeDocument/2006/relationships/footer" Target="footer32.xml"/><Relationship Id="rId167" Type="http://schemas.openxmlformats.org/officeDocument/2006/relationships/hyperlink" Target="http://hidalgo.milenio.com/cdb/doc/noticias2011/" TargetMode="External"/><Relationship Id="rId168" Type="http://schemas.openxmlformats.org/officeDocument/2006/relationships/hyperlink" Target="http://www.lapoliciaca.com/nota-roja/continua-bloqueo-en-la-" TargetMode="External"/><Relationship Id="rId169" Type="http://schemas.openxmlformats.org/officeDocument/2006/relationships/hyperlink" Target="http://impreso.milenio.com/node/8672716" TargetMode="External"/><Relationship Id="rId170" Type="http://schemas.openxmlformats.org/officeDocument/2006/relationships/hyperlink" Target="http://www.eluniversal.com.mx/notas/698671.html" TargetMode="External"/><Relationship Id="rId171" Type="http://schemas.openxmlformats.org/officeDocument/2006/relationships/hyperlink" Target="http://www.oem.com.mx/elsoldemexico/notas/n2060918.htm" TargetMode="External"/><Relationship Id="rId172" Type="http://schemas.openxmlformats.org/officeDocument/2006/relationships/hyperlink" Target="http://unhidalgo.com/2010/07/del-suburbano-de-pachuca-a-mexico/" TargetMode="External"/><Relationship Id="rId173" Type="http://schemas.openxmlformats.org/officeDocument/2006/relationships/footer" Target="footer33.xml"/><Relationship Id="rId174" Type="http://schemas.openxmlformats.org/officeDocument/2006/relationships/footer" Target="footer34.xml"/><Relationship Id="rId175" Type="http://schemas.openxmlformats.org/officeDocument/2006/relationships/hyperlink" Target="http://www.caf.es/caste/compania/index.php" TargetMode="External"/><Relationship Id="rId176" Type="http://schemas.openxmlformats.org/officeDocument/2006/relationships/footer" Target="footer35.xml"/><Relationship Id="rId177" Type="http://schemas.openxmlformats.org/officeDocument/2006/relationships/footer" Target="footer36.xml"/><Relationship Id="rId178" Type="http://schemas.openxmlformats.org/officeDocument/2006/relationships/footer" Target="footer37.xml"/><Relationship Id="rId179" Type="http://schemas.openxmlformats.org/officeDocument/2006/relationships/footer" Target="footer38.xml"/><Relationship Id="rId180" Type="http://schemas.openxmlformats.org/officeDocument/2006/relationships/image" Target="media/image92.png"/><Relationship Id="rId181" Type="http://schemas.openxmlformats.org/officeDocument/2006/relationships/image" Target="media/image93.png"/><Relationship Id="rId182" Type="http://schemas.openxmlformats.org/officeDocument/2006/relationships/image" Target="media/image94.png"/><Relationship Id="rId183" Type="http://schemas.openxmlformats.org/officeDocument/2006/relationships/image" Target="media/image95.png"/><Relationship Id="rId184" Type="http://schemas.openxmlformats.org/officeDocument/2006/relationships/image" Target="media/image96.png"/><Relationship Id="rId185" Type="http://schemas.openxmlformats.org/officeDocument/2006/relationships/image" Target="media/image97.png"/><Relationship Id="rId186" Type="http://schemas.openxmlformats.org/officeDocument/2006/relationships/image" Target="media/image98.png"/><Relationship Id="rId187" Type="http://schemas.openxmlformats.org/officeDocument/2006/relationships/image" Target="media/image99.png"/><Relationship Id="rId188" Type="http://schemas.openxmlformats.org/officeDocument/2006/relationships/header" Target="header34.xml"/><Relationship Id="rId189" Type="http://schemas.openxmlformats.org/officeDocument/2006/relationships/footer" Target="footer39.xml"/><Relationship Id="rId190" Type="http://schemas.openxmlformats.org/officeDocument/2006/relationships/header" Target="header35.xml"/><Relationship Id="rId191" Type="http://schemas.openxmlformats.org/officeDocument/2006/relationships/footer" Target="footer40.xml"/><Relationship Id="rId192" Type="http://schemas.openxmlformats.org/officeDocument/2006/relationships/image" Target="media/image100.png"/><Relationship Id="rId193" Type="http://schemas.openxmlformats.org/officeDocument/2006/relationships/header" Target="header36.xml"/><Relationship Id="rId194" Type="http://schemas.openxmlformats.org/officeDocument/2006/relationships/footer" Target="footer41.xml"/><Relationship Id="rId195" Type="http://schemas.openxmlformats.org/officeDocument/2006/relationships/header" Target="header37.xml"/><Relationship Id="rId196" Type="http://schemas.openxmlformats.org/officeDocument/2006/relationships/footer" Target="footer42.xml"/><Relationship Id="rId197" Type="http://schemas.openxmlformats.org/officeDocument/2006/relationships/footer" Target="footer43.xml"/><Relationship Id="rId198" Type="http://schemas.openxmlformats.org/officeDocument/2006/relationships/header" Target="header38.xml"/><Relationship Id="rId199" Type="http://schemas.openxmlformats.org/officeDocument/2006/relationships/header" Target="header39.xml"/><Relationship Id="rId200" Type="http://schemas.openxmlformats.org/officeDocument/2006/relationships/footer" Target="footer44.xml"/><Relationship Id="rId201" Type="http://schemas.openxmlformats.org/officeDocument/2006/relationships/footer" Target="footer45.xml"/><Relationship Id="rId202" Type="http://schemas.openxmlformats.org/officeDocument/2006/relationships/footer" Target="footer46.xml"/><Relationship Id="rId203" Type="http://schemas.openxmlformats.org/officeDocument/2006/relationships/footer" Target="footer47.xml"/><Relationship Id="rId204" Type="http://schemas.openxmlformats.org/officeDocument/2006/relationships/footer" Target="footer48.xml"/><Relationship Id="rId205" Type="http://schemas.openxmlformats.org/officeDocument/2006/relationships/footer" Target="footer49.xml"/><Relationship Id="rId206" Type="http://schemas.openxmlformats.org/officeDocument/2006/relationships/footer" Target="footer50.xml"/><Relationship Id="rId207" Type="http://schemas.openxmlformats.org/officeDocument/2006/relationships/footer" Target="footer51.xml"/><Relationship Id="rId208" Type="http://schemas.openxmlformats.org/officeDocument/2006/relationships/footer" Target="footer52.xml"/><Relationship Id="rId209" Type="http://schemas.openxmlformats.org/officeDocument/2006/relationships/footer" Target="footer53.xml"/><Relationship Id="rId210" Type="http://schemas.openxmlformats.org/officeDocument/2006/relationships/image" Target="media/image101.png"/><Relationship Id="rId211" Type="http://schemas.openxmlformats.org/officeDocument/2006/relationships/image" Target="media/image102.png"/><Relationship Id="rId212" Type="http://schemas.openxmlformats.org/officeDocument/2006/relationships/image" Target="media/image103.png"/><Relationship Id="rId213" Type="http://schemas.openxmlformats.org/officeDocument/2006/relationships/image" Target="media/image104.png"/><Relationship Id="rId214" Type="http://schemas.openxmlformats.org/officeDocument/2006/relationships/image" Target="media/image105.png"/><Relationship Id="rId215" Type="http://schemas.openxmlformats.org/officeDocument/2006/relationships/image" Target="media/image106.png"/><Relationship Id="rId216" Type="http://schemas.openxmlformats.org/officeDocument/2006/relationships/image" Target="media/image107.png"/><Relationship Id="rId217" Type="http://schemas.openxmlformats.org/officeDocument/2006/relationships/image" Target="media/image108.png"/><Relationship Id="rId218" Type="http://schemas.openxmlformats.org/officeDocument/2006/relationships/image" Target="media/image109.png"/><Relationship Id="rId219" Type="http://schemas.openxmlformats.org/officeDocument/2006/relationships/image" Target="media/image110.png"/><Relationship Id="rId220" Type="http://schemas.openxmlformats.org/officeDocument/2006/relationships/image" Target="media/image111.png"/><Relationship Id="rId221" Type="http://schemas.openxmlformats.org/officeDocument/2006/relationships/image" Target="media/image112.png"/><Relationship Id="rId222" Type="http://schemas.openxmlformats.org/officeDocument/2006/relationships/image" Target="media/image113.png"/><Relationship Id="rId223" Type="http://schemas.openxmlformats.org/officeDocument/2006/relationships/image" Target="media/image114.png"/><Relationship Id="rId224" Type="http://schemas.openxmlformats.org/officeDocument/2006/relationships/image" Target="media/image115.png"/><Relationship Id="rId225" Type="http://schemas.openxmlformats.org/officeDocument/2006/relationships/image" Target="media/image116.png"/><Relationship Id="rId226" Type="http://schemas.openxmlformats.org/officeDocument/2006/relationships/header" Target="header40.xml"/><Relationship Id="rId227" Type="http://schemas.openxmlformats.org/officeDocument/2006/relationships/footer" Target="footer54.xml"/><Relationship Id="rId228" Type="http://schemas.openxmlformats.org/officeDocument/2006/relationships/header" Target="header41.xml"/><Relationship Id="rId229" Type="http://schemas.openxmlformats.org/officeDocument/2006/relationships/footer" Target="footer55.xml"/><Relationship Id="rId230" Type="http://schemas.openxmlformats.org/officeDocument/2006/relationships/image" Target="media/image117.png"/><Relationship Id="rId231" Type="http://schemas.openxmlformats.org/officeDocument/2006/relationships/header" Target="header42.xml"/><Relationship Id="rId232" Type="http://schemas.openxmlformats.org/officeDocument/2006/relationships/footer" Target="footer56.xml"/><Relationship Id="rId233" Type="http://schemas.openxmlformats.org/officeDocument/2006/relationships/header" Target="header43.xml"/><Relationship Id="rId234" Type="http://schemas.openxmlformats.org/officeDocument/2006/relationships/footer" Target="footer57.xml"/><Relationship Id="rId235" Type="http://schemas.openxmlformats.org/officeDocument/2006/relationships/footer" Target="footer58.xml"/><Relationship Id="rId236" Type="http://schemas.openxmlformats.org/officeDocument/2006/relationships/header" Target="header44.xml"/><Relationship Id="rId237" Type="http://schemas.openxmlformats.org/officeDocument/2006/relationships/header" Target="header45.xml"/><Relationship Id="rId238" Type="http://schemas.openxmlformats.org/officeDocument/2006/relationships/image" Target="media/image118.png"/><Relationship Id="rId239" Type="http://schemas.openxmlformats.org/officeDocument/2006/relationships/image" Target="media/image119.png"/><Relationship Id="rId240" Type="http://schemas.openxmlformats.org/officeDocument/2006/relationships/header" Target="header46.xml"/><Relationship Id="rId241" Type="http://schemas.openxmlformats.org/officeDocument/2006/relationships/footer" Target="footer59.xml"/><Relationship Id="rId242" Type="http://schemas.openxmlformats.org/officeDocument/2006/relationships/header" Target="header47.xml"/><Relationship Id="rId243" Type="http://schemas.openxmlformats.org/officeDocument/2006/relationships/footer" Target="footer60.xml"/><Relationship Id="rId244" Type="http://schemas.openxmlformats.org/officeDocument/2006/relationships/header" Target="header48.xml"/><Relationship Id="rId245" Type="http://schemas.openxmlformats.org/officeDocument/2006/relationships/footer" Target="footer61.xml"/><Relationship Id="rId246" Type="http://schemas.openxmlformats.org/officeDocument/2006/relationships/image" Target="media/image120.png"/><Relationship Id="rId247" Type="http://schemas.openxmlformats.org/officeDocument/2006/relationships/header" Target="header49.xml"/><Relationship Id="rId248" Type="http://schemas.openxmlformats.org/officeDocument/2006/relationships/footer" Target="footer62.xml"/><Relationship Id="rId249" Type="http://schemas.openxmlformats.org/officeDocument/2006/relationships/header" Target="header50.xml"/><Relationship Id="rId250" Type="http://schemas.openxmlformats.org/officeDocument/2006/relationships/footer" Target="footer63.xml"/><Relationship Id="rId251" Type="http://schemas.openxmlformats.org/officeDocument/2006/relationships/footer" Target="footer64.xml"/><Relationship Id="rId252" Type="http://schemas.openxmlformats.org/officeDocument/2006/relationships/header" Target="header51.xml"/><Relationship Id="rId253" Type="http://schemas.openxmlformats.org/officeDocument/2006/relationships/header" Target="header52.xml"/><Relationship Id="rId254" Type="http://schemas.openxmlformats.org/officeDocument/2006/relationships/header" Target="header53.xml"/><Relationship Id="rId255" Type="http://schemas.openxmlformats.org/officeDocument/2006/relationships/footer" Target="footer65.xml"/><Relationship Id="rId256" Type="http://schemas.openxmlformats.org/officeDocument/2006/relationships/image" Target="media/image121.png"/><Relationship Id="rId257" Type="http://schemas.openxmlformats.org/officeDocument/2006/relationships/header" Target="header54.xml"/><Relationship Id="rId258" Type="http://schemas.openxmlformats.org/officeDocument/2006/relationships/footer" Target="footer66.xml"/><Relationship Id="rId259" Type="http://schemas.openxmlformats.org/officeDocument/2006/relationships/header" Target="header55.xml"/><Relationship Id="rId260" Type="http://schemas.openxmlformats.org/officeDocument/2006/relationships/footer" Target="footer67.xml"/><Relationship Id="rId261" Type="http://schemas.openxmlformats.org/officeDocument/2006/relationships/footer" Target="footer68.xml"/><Relationship Id="rId262" Type="http://schemas.openxmlformats.org/officeDocument/2006/relationships/header" Target="header56.xml"/><Relationship Id="rId263" Type="http://schemas.openxmlformats.org/officeDocument/2006/relationships/header" Target="header57.xml"/><Relationship Id="rId264" Type="http://schemas.openxmlformats.org/officeDocument/2006/relationships/header" Target="header58.xml"/><Relationship Id="rId265" Type="http://schemas.openxmlformats.org/officeDocument/2006/relationships/footer" Target="footer69.xml"/><Relationship Id="rId266" Type="http://schemas.openxmlformats.org/officeDocument/2006/relationships/header" Target="header59.xml"/><Relationship Id="rId267" Type="http://schemas.openxmlformats.org/officeDocument/2006/relationships/footer" Target="footer70.xml"/><Relationship Id="rId268" Type="http://schemas.openxmlformats.org/officeDocument/2006/relationships/header" Target="header60.xml"/><Relationship Id="rId269" Type="http://schemas.openxmlformats.org/officeDocument/2006/relationships/footer" Target="footer71.xml"/><Relationship Id="rId270" Type="http://schemas.openxmlformats.org/officeDocument/2006/relationships/image" Target="media/image122.png"/><Relationship Id="rId271" Type="http://schemas.openxmlformats.org/officeDocument/2006/relationships/header" Target="header61.xml"/><Relationship Id="rId272" Type="http://schemas.openxmlformats.org/officeDocument/2006/relationships/footer" Target="footer72.xml"/><Relationship Id="rId273" Type="http://schemas.openxmlformats.org/officeDocument/2006/relationships/header" Target="header62.xml"/><Relationship Id="rId274" Type="http://schemas.openxmlformats.org/officeDocument/2006/relationships/footer" Target="footer73.xml"/><Relationship Id="rId275" Type="http://schemas.openxmlformats.org/officeDocument/2006/relationships/footer" Target="footer74.xml"/><Relationship Id="rId276" Type="http://schemas.openxmlformats.org/officeDocument/2006/relationships/header" Target="header63.xml"/><Relationship Id="rId277" Type="http://schemas.openxmlformats.org/officeDocument/2006/relationships/header" Target="header64.xml"/><Relationship Id="rId278" Type="http://schemas.openxmlformats.org/officeDocument/2006/relationships/header" Target="header65.xml"/><Relationship Id="rId279" Type="http://schemas.openxmlformats.org/officeDocument/2006/relationships/footer" Target="footer75.xml"/><Relationship Id="rId280" Type="http://schemas.openxmlformats.org/officeDocument/2006/relationships/header" Target="header66.xml"/><Relationship Id="rId281" Type="http://schemas.openxmlformats.org/officeDocument/2006/relationships/footer" Target="footer76.xml"/><Relationship Id="rId282" Type="http://schemas.openxmlformats.org/officeDocument/2006/relationships/footer" Target="footer77.xml"/><Relationship Id="rId283" Type="http://schemas.openxmlformats.org/officeDocument/2006/relationships/hyperlink" Target="http://www.diputados.gob.mx/LeyesBiblio/pdf/270.pdf" TargetMode="External"/><Relationship Id="rId284" Type="http://schemas.openxmlformats.org/officeDocument/2006/relationships/hyperlink" Target="http://www.diputados.gob.mx/LeyesBiblio/" TargetMode="External"/><Relationship Id="rId285" Type="http://schemas.openxmlformats.org/officeDocument/2006/relationships/hyperlink" Target="http://www.diputados.gob.mx/LeyesBiblio/pdf/137.pdf" TargetMode="External"/><Relationship Id="rId286" Type="http://schemas.openxmlformats.org/officeDocument/2006/relationships/hyperlink" Target="http://www.diputados.gob.mx/LeyesBiblio/pdf/142.pdf" TargetMode="External"/><Relationship Id="rId287" Type="http://schemas.openxmlformats.org/officeDocument/2006/relationships/hyperlink" Target="http://www.diputados.gob.mx/LeyesBiblio/pdf/59.pdf" TargetMode="External"/><Relationship Id="rId288" Type="http://schemas.openxmlformats.org/officeDocument/2006/relationships/hyperlink" Target="http://hidalgo.milenio.com/cdb/doc/" TargetMode="External"/><Relationship Id="rId289" Type="http://schemas.openxmlformats.org/officeDocument/2006/relationships/hyperlink" Target="http://www.indetec.gob/" TargetMode="External"/><Relationship Id="rId290" Type="http://schemas.openxmlformats.org/officeDocument/2006/relationships/header" Target="header67.xml"/><Relationship Id="rId291" Type="http://schemas.openxmlformats.org/officeDocument/2006/relationships/hyperlink" Target="http://www.congreso-hidalgo.gob.mx/index" TargetMode="External"/><Relationship Id="rId292" Type="http://schemas.openxmlformats.org/officeDocument/2006/relationships/hyperlink" Target="http://www.congreso-hidalgo.gob.mx/index.php?Biblioteca-" TargetMode="External"/><Relationship Id="rId293" Type="http://schemas.openxmlformats.org/officeDocument/2006/relationships/hyperlink" Target="http://impreso.milenio.com/" TargetMode="External"/><Relationship Id="rId294" Type="http://schemas.openxmlformats.org/officeDocument/2006/relationships/header" Target="header68.xml"/><Relationship Id="rId295" Type="http://schemas.openxmlformats.org/officeDocument/2006/relationships/hyperlink" Target="http://unhidalgo.com/2010/07/del-suburbano-de-" TargetMode="External"/><Relationship Id="rId296" Type="http://schemas.openxmlformats.org/officeDocument/2006/relationships/hyperlink" Target="http://www.lapoliciaca.com/" TargetMode="External"/><Relationship Id="rId297" Type="http://schemas.openxmlformats.org/officeDocument/2006/relationships/hyperlink" Target="http://www.eluniversal.com.mx/" TargetMode="External"/><Relationship Id="rId298" Type="http://schemas.openxmlformats.org/officeDocument/2006/relationships/hyperlink" Target="http://www.oem.com.mx/elsoldemexico/" TargetMode="External"/><Relationship Id="rId299" Type="http://schemas.openxmlformats.org/officeDocument/2006/relationships/header" Target="header69.xml"/><Relationship Id="rId300" Type="http://schemas.openxmlformats.org/officeDocument/2006/relationships/footer" Target="footer78.xml"/><Relationship Id="rId301" Type="http://schemas.openxmlformats.org/officeDocument/2006/relationships/header" Target="header70.xml"/><Relationship Id="rId302" Type="http://schemas.openxmlformats.org/officeDocument/2006/relationships/footer" Target="footer79.xml"/><Relationship Id="rId303" Type="http://schemas.openxmlformats.org/officeDocument/2006/relationships/hyperlink" Target="mailto:geminiseditores@prodigy.net.mx" TargetMode="External"/><Relationship Id="rId304" Type="http://schemas.openxmlformats.org/officeDocument/2006/relationships/header" Target="header71.xml"/><Relationship Id="rId305" Type="http://schemas.openxmlformats.org/officeDocument/2006/relationships/footer" Target="footer80.xml"/><Relationship Id="rId306" Type="http://schemas.openxmlformats.org/officeDocument/2006/relationships/header" Target="header72.xml"/><Relationship Id="rId307" Type="http://schemas.openxmlformats.org/officeDocument/2006/relationships/footer" Target="footer81.xml"/><Relationship Id="rId308" Type="http://schemas.openxmlformats.org/officeDocument/2006/relationships/image" Target="media/image123.jpeg"/><Relationship Id="rId309" Type="http://schemas.openxmlformats.org/officeDocument/2006/relationships/image" Target="media/image124.png"/><Relationship Id="rId310" Type="http://schemas.openxmlformats.org/officeDocument/2006/relationships/image" Target="media/image125.png"/><Relationship Id="rId31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2017-05-23T20:37:46Z</dcterms:created>
  <dcterms:modified xsi:type="dcterms:W3CDTF">2017-05-23T20:37:46Z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2013-04-18T00:00:00Z</vt:filetime>
  </property>
  <property fmtid="{D5CDD505-2E9C-101B-9397-08002B2CF9AE}" pid="3" name="Creator">
    <vt:lpwstr>Adobe InDesign CS5.5 (7.5)</vt:lpwstr>
  </property>
  <property fmtid="{D5CDD505-2E9C-101B-9397-08002B2CF9AE}" pid="4" name="LastSaved">
    <vt:filetime>2017-05-23T00:00:00Z</vt:filetime>
  </property>
</Properties>
</file>