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header2.xml" ContentType="application/vnd.openxmlformats-officedocument.wordprocessingml.header+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pPr>
    </w:p>
    <w:p>
      <w:pPr>
        <w:pStyle w:val="BodyText"/>
      </w:pPr>
    </w:p>
    <w:p>
      <w:pPr>
        <w:pStyle w:val="BodyText"/>
      </w:pPr>
    </w:p>
    <w:p>
      <w:pPr>
        <w:pStyle w:val="BodyText"/>
      </w:pPr>
    </w:p>
    <w:p>
      <w:pPr>
        <w:pStyle w:val="BodyText"/>
      </w:pPr>
    </w:p>
    <w:p>
      <w:pPr>
        <w:spacing w:line="268" w:lineRule="auto" w:before="234"/>
        <w:ind w:left="813" w:right="810" w:firstLine="0"/>
        <w:jc w:val="center"/>
        <w:rPr>
          <w:b/>
          <w:sz w:val="28"/>
        </w:rPr>
      </w:pPr>
      <w:r>
        <w:rPr>
          <w:b/>
          <w:sz w:val="28"/>
        </w:rPr>
        <w:t>Classification of Mexican Paper Currency Denomination by Extracting Their Discriminative Colors</w:t>
      </w:r>
    </w:p>
    <w:p>
      <w:pPr>
        <w:pStyle w:val="BodyText"/>
        <w:spacing w:before="11"/>
        <w:rPr>
          <w:b/>
          <w:sz w:val="36"/>
        </w:rPr>
      </w:pPr>
    </w:p>
    <w:p>
      <w:pPr>
        <w:pStyle w:val="BodyText"/>
        <w:ind w:left="813" w:right="813"/>
        <w:jc w:val="center"/>
        <w:rPr>
          <w:sz w:val="13"/>
        </w:rPr>
      </w:pPr>
      <w:r>
        <w:rPr/>
        <w:t>Farid García-Lamont</w:t>
      </w:r>
      <w:r>
        <w:rPr>
          <w:position w:val="9"/>
          <w:sz w:val="13"/>
        </w:rPr>
        <w:t>1</w:t>
      </w:r>
      <w:r>
        <w:rPr/>
        <w:t>, Jair Cervantes</w:t>
      </w:r>
      <w:r>
        <w:rPr>
          <w:position w:val="9"/>
          <w:sz w:val="13"/>
        </w:rPr>
        <w:t>1</w:t>
      </w:r>
      <w:r>
        <w:rPr/>
        <w:t>, Asdrúbal López</w:t>
      </w:r>
      <w:r>
        <w:rPr>
          <w:position w:val="9"/>
          <w:sz w:val="13"/>
        </w:rPr>
        <w:t>2</w:t>
      </w:r>
      <w:r>
        <w:rPr/>
        <w:t>, and Lisbeth Rodríguez</w:t>
      </w:r>
      <w:r>
        <w:rPr>
          <w:position w:val="9"/>
          <w:sz w:val="13"/>
        </w:rPr>
        <w:t>1</w:t>
      </w:r>
    </w:p>
    <w:p>
      <w:pPr>
        <w:spacing w:line="254" w:lineRule="auto" w:before="189"/>
        <w:ind w:left="813" w:right="805" w:firstLine="0"/>
        <w:jc w:val="center"/>
        <w:rPr>
          <w:sz w:val="18"/>
        </w:rPr>
      </w:pPr>
      <w:r>
        <w:rPr>
          <w:position w:val="8"/>
          <w:sz w:val="12"/>
        </w:rPr>
        <w:t>1 </w:t>
      </w:r>
      <w:r>
        <w:rPr>
          <w:sz w:val="18"/>
        </w:rPr>
        <w:t>Universidad Autónoma del Estado de México, Av. Jardín Zumpango s/n, Fraccionamiento El Tejocote, CP 56259, Texcoco-Estado de México, México</w:t>
      </w:r>
    </w:p>
    <w:p>
      <w:pPr>
        <w:spacing w:line="209" w:lineRule="exact" w:before="0"/>
        <w:ind w:left="813" w:right="809" w:firstLine="0"/>
        <w:jc w:val="center"/>
        <w:rPr>
          <w:sz w:val="18"/>
        </w:rPr>
      </w:pPr>
      <w:r>
        <w:rPr>
          <w:position w:val="8"/>
          <w:sz w:val="12"/>
        </w:rPr>
        <w:t>2 </w:t>
      </w:r>
      <w:r>
        <w:rPr>
          <w:sz w:val="18"/>
        </w:rPr>
        <w:t>Universidad Autónoma del Estado de México, Camino viejo a Jilotzingo Continuación Calle</w:t>
      </w:r>
    </w:p>
    <w:p>
      <w:pPr>
        <w:spacing w:before="14"/>
        <w:ind w:left="813" w:right="811" w:firstLine="0"/>
        <w:jc w:val="center"/>
        <w:rPr>
          <w:sz w:val="18"/>
        </w:rPr>
      </w:pPr>
      <w:r>
        <w:rPr>
          <w:sz w:val="18"/>
        </w:rPr>
        <w:t>Rayón, CP 55600, Zumpango-Estado de México, México</w:t>
      </w:r>
    </w:p>
    <w:p>
      <w:pPr>
        <w:spacing w:before="29"/>
        <w:ind w:left="813" w:right="810" w:firstLine="0"/>
        <w:jc w:val="center"/>
        <w:rPr>
          <w:rFonts w:ascii="Courier New"/>
          <w:sz w:val="18"/>
        </w:rPr>
      </w:pPr>
      <w:r>
        <w:rPr>
          <w:rFonts w:ascii="Courier New"/>
          <w:sz w:val="18"/>
        </w:rPr>
        <w:t>{fgarcial,alchau}@uaemex.mx, {chazarra17,lisbethr08}@gmail.com</w:t>
      </w:r>
    </w:p>
    <w:p>
      <w:pPr>
        <w:pStyle w:val="BodyText"/>
        <w:rPr>
          <w:rFonts w:ascii="Courier New"/>
          <w:sz w:val="18"/>
        </w:rPr>
      </w:pPr>
    </w:p>
    <w:p>
      <w:pPr>
        <w:pStyle w:val="BodyText"/>
        <w:rPr>
          <w:rFonts w:ascii="Courier New"/>
          <w:sz w:val="18"/>
        </w:rPr>
      </w:pPr>
    </w:p>
    <w:p>
      <w:pPr>
        <w:pStyle w:val="BodyText"/>
        <w:spacing w:before="9"/>
        <w:rPr>
          <w:rFonts w:ascii="Courier New"/>
          <w:sz w:val="16"/>
        </w:rPr>
      </w:pPr>
    </w:p>
    <w:p>
      <w:pPr>
        <w:spacing w:line="254" w:lineRule="auto" w:before="0"/>
        <w:ind w:left="1379" w:right="1369" w:firstLine="0"/>
        <w:jc w:val="both"/>
        <w:rPr>
          <w:sz w:val="18"/>
        </w:rPr>
      </w:pPr>
      <w:r>
        <w:rPr>
          <w:b/>
          <w:sz w:val="18"/>
        </w:rPr>
        <w:t>Abstract. </w:t>
      </w:r>
      <w:r>
        <w:rPr>
          <w:sz w:val="18"/>
        </w:rPr>
        <w:t>In this paper we describe a machine vision approach to recognize the denomination classes of the Mexican paper currency by extracting their color features. A banknote’s color is characterized by summing all the color vectors  of the image’s pixels to obtain a resultant vector, the banknote’s denomination  is classified by knowing the orientation of the resulting vector within the RGB space. In order to obtain a more precise characterization of paper currency, the less discriminative colors of each denomination are eliminated from the images; the color selection is applied in the RGB and HSV spaces, separately. Experi- mental results with the current Mexican banknotes are</w:t>
      </w:r>
      <w:r>
        <w:rPr>
          <w:spacing w:val="-20"/>
          <w:sz w:val="18"/>
        </w:rPr>
        <w:t> </w:t>
      </w:r>
      <w:r>
        <w:rPr>
          <w:sz w:val="18"/>
        </w:rPr>
        <w:t>presented.</w:t>
      </w:r>
    </w:p>
    <w:p>
      <w:pPr>
        <w:pStyle w:val="BodyText"/>
        <w:spacing w:before="4"/>
        <w:rPr>
          <w:sz w:val="19"/>
        </w:rPr>
      </w:pPr>
    </w:p>
    <w:p>
      <w:pPr>
        <w:spacing w:before="0"/>
        <w:ind w:left="1379" w:right="0" w:firstLine="0"/>
        <w:jc w:val="both"/>
        <w:rPr>
          <w:sz w:val="18"/>
        </w:rPr>
      </w:pPr>
      <w:r>
        <w:rPr>
          <w:b/>
          <w:sz w:val="18"/>
        </w:rPr>
        <w:t>Keywords: </w:t>
      </w:r>
      <w:r>
        <w:rPr>
          <w:sz w:val="18"/>
        </w:rPr>
        <w:t>Banknotes recognition, color classification, image processing.</w:t>
      </w:r>
    </w:p>
    <w:p>
      <w:pPr>
        <w:pStyle w:val="BodyText"/>
        <w:rPr>
          <w:sz w:val="18"/>
        </w:rPr>
      </w:pPr>
    </w:p>
    <w:p>
      <w:pPr>
        <w:pStyle w:val="BodyText"/>
        <w:spacing w:before="7"/>
        <w:rPr>
          <w:sz w:val="15"/>
        </w:rPr>
      </w:pPr>
    </w:p>
    <w:p>
      <w:pPr>
        <w:pStyle w:val="Heading1"/>
        <w:numPr>
          <w:ilvl w:val="0"/>
          <w:numId w:val="1"/>
        </w:numPr>
        <w:tabs>
          <w:tab w:pos="1379" w:val="left" w:leader="none"/>
          <w:tab w:pos="1380" w:val="left" w:leader="none"/>
        </w:tabs>
        <w:spacing w:line="240" w:lineRule="auto" w:before="1" w:after="0"/>
        <w:ind w:left="1380" w:right="0" w:hanging="567"/>
        <w:jc w:val="left"/>
      </w:pPr>
      <w:r>
        <w:rPr/>
        <w:t>Introduction</w:t>
      </w:r>
    </w:p>
    <w:p>
      <w:pPr>
        <w:pStyle w:val="BodyText"/>
        <w:spacing w:before="4"/>
        <w:rPr>
          <w:b/>
          <w:sz w:val="21"/>
        </w:rPr>
      </w:pPr>
    </w:p>
    <w:p>
      <w:pPr>
        <w:pStyle w:val="BodyText"/>
        <w:spacing w:line="249" w:lineRule="auto"/>
        <w:ind w:left="813" w:right="805"/>
        <w:jc w:val="both"/>
      </w:pPr>
      <w:r>
        <w:rPr/>
        <w:t>Nowadays, more and more money transactions are performed using automated ma- chines; for example, payment of services, parking, bank operations, among others. Currently in Mexico, many money transaction processes are still in the transition to be automated, but several others have not been automated.</w:t>
      </w:r>
    </w:p>
    <w:p>
      <w:pPr>
        <w:pStyle w:val="BodyText"/>
        <w:spacing w:line="249" w:lineRule="auto" w:before="1"/>
        <w:ind w:left="813" w:right="806" w:firstLine="228"/>
        <w:jc w:val="both"/>
      </w:pPr>
      <w:r>
        <w:rPr/>
        <w:t>Automated money transactions in Mexico are necessary not only to give comfort to people, but also to speed up and increase the number of transactions, since a huge amount of monetary transactions are performed with Mexican Pesos [1]. The current technology employed is bought to foreign companies, but this technology is expen- sive and the recognition algorithms are not revealed due to patent rights [2], [3].</w:t>
      </w:r>
    </w:p>
    <w:p>
      <w:pPr>
        <w:pStyle w:val="BodyText"/>
        <w:spacing w:line="249" w:lineRule="auto" w:before="1"/>
        <w:ind w:left="813" w:right="804" w:firstLine="228"/>
        <w:jc w:val="both"/>
      </w:pPr>
      <w:r>
        <w:rPr/>
        <w:t>Related works on paper currency recognition have focused on the classification of Euros [4], [5] and US Dollars [6], [7]. Other related works address the recognition of the paper currency of specific countries [8]-[12], in these papers the banknotes of  each country are modeled by extracting their very particular features; so, the recogni- tion</w:t>
      </w:r>
      <w:r>
        <w:rPr>
          <w:spacing w:val="-3"/>
        </w:rPr>
        <w:t> </w:t>
      </w:r>
      <w:r>
        <w:rPr/>
        <w:t>methods</w:t>
      </w:r>
      <w:r>
        <w:rPr>
          <w:spacing w:val="-5"/>
        </w:rPr>
        <w:t> </w:t>
      </w:r>
      <w:r>
        <w:rPr/>
        <w:t>are</w:t>
      </w:r>
      <w:r>
        <w:rPr>
          <w:spacing w:val="-4"/>
        </w:rPr>
        <w:t> </w:t>
      </w:r>
      <w:r>
        <w:rPr/>
        <w:t>customized</w:t>
      </w:r>
      <w:r>
        <w:rPr>
          <w:spacing w:val="-4"/>
        </w:rPr>
        <w:t> </w:t>
      </w:r>
      <w:r>
        <w:rPr/>
        <w:t>depending</w:t>
      </w:r>
      <w:r>
        <w:rPr>
          <w:spacing w:val="-5"/>
        </w:rPr>
        <w:t> </w:t>
      </w:r>
      <w:r>
        <w:rPr/>
        <w:t>on</w:t>
      </w:r>
      <w:r>
        <w:rPr>
          <w:spacing w:val="-5"/>
        </w:rPr>
        <w:t> </w:t>
      </w:r>
      <w:r>
        <w:rPr/>
        <w:t>the</w:t>
      </w:r>
      <w:r>
        <w:rPr>
          <w:spacing w:val="-1"/>
        </w:rPr>
        <w:t> </w:t>
      </w:r>
      <w:r>
        <w:rPr/>
        <w:t>nationality</w:t>
      </w:r>
      <w:r>
        <w:rPr>
          <w:spacing w:val="-8"/>
        </w:rPr>
        <w:t> </w:t>
      </w:r>
      <w:r>
        <w:rPr/>
        <w:t>of</w:t>
      </w:r>
      <w:r>
        <w:rPr>
          <w:spacing w:val="-3"/>
        </w:rPr>
        <w:t> </w:t>
      </w:r>
      <w:r>
        <w:rPr/>
        <w:t>the</w:t>
      </w:r>
      <w:r>
        <w:rPr>
          <w:spacing w:val="-4"/>
        </w:rPr>
        <w:t> </w:t>
      </w:r>
      <w:r>
        <w:rPr/>
        <w:t>paper</w:t>
      </w:r>
      <w:r>
        <w:rPr>
          <w:spacing w:val="-4"/>
        </w:rPr>
        <w:t> </w:t>
      </w:r>
      <w:r>
        <w:rPr/>
        <w:t>currency.</w:t>
      </w:r>
    </w:p>
    <w:p>
      <w:pPr>
        <w:pStyle w:val="BodyText"/>
        <w:spacing w:line="249" w:lineRule="auto" w:before="1"/>
        <w:ind w:left="813" w:right="805" w:firstLine="228"/>
        <w:jc w:val="both"/>
      </w:pPr>
      <w:r>
        <w:rPr/>
        <w:t>The most employed banknotes’ features for recognition in related works are the texture [6], [9], [10] or both texture and size [4], [5], [11]. The disadvantages with these features are, in one hand, the banknotes with different denominations may  have</w:t>
      </w:r>
    </w:p>
    <w:p>
      <w:pPr>
        <w:pStyle w:val="BodyText"/>
      </w:pPr>
    </w:p>
    <w:p>
      <w:pPr>
        <w:pStyle w:val="BodyText"/>
        <w:spacing w:before="9"/>
        <w:rPr>
          <w:sz w:val="17"/>
        </w:rPr>
      </w:pPr>
    </w:p>
    <w:p>
      <w:pPr>
        <w:spacing w:before="0"/>
        <w:ind w:left="813" w:right="845" w:firstLine="0"/>
        <w:jc w:val="left"/>
        <w:rPr>
          <w:sz w:val="16"/>
        </w:rPr>
      </w:pPr>
      <w:r>
        <w:rPr>
          <w:sz w:val="16"/>
        </w:rPr>
        <w:t>F. Castro, A. Gelbukh, M.G. Mendoza (Eds.): MICAI 2013, Part II, LNAI 8266, pp. 403–412, 2013.</w:t>
      </w:r>
    </w:p>
    <w:p>
      <w:pPr>
        <w:spacing w:before="15"/>
        <w:ind w:left="813" w:right="845" w:firstLine="0"/>
        <w:jc w:val="left"/>
        <w:rPr>
          <w:sz w:val="16"/>
        </w:rPr>
      </w:pPr>
      <w:r>
        <w:rPr>
          <w:sz w:val="16"/>
        </w:rPr>
        <w:t>© Springer-Verlag Berlin Heidelberg 2013</w:t>
      </w:r>
    </w:p>
    <w:p>
      <w:pPr>
        <w:spacing w:after="0"/>
        <w:jc w:val="left"/>
        <w:rPr>
          <w:sz w:val="16"/>
        </w:rPr>
        <w:sectPr>
          <w:type w:val="continuous"/>
          <w:pgSz w:w="11900" w:h="16840"/>
          <w:pgMar w:top="1600" w:bottom="280" w:left="1680" w:right="1680"/>
        </w:sectPr>
      </w:pPr>
    </w:p>
    <w:p>
      <w:pPr>
        <w:pStyle w:val="BodyText"/>
        <w:spacing w:before="1"/>
        <w:rPr>
          <w:sz w:val="23"/>
        </w:rPr>
      </w:pPr>
    </w:p>
    <w:p>
      <w:pPr>
        <w:pStyle w:val="BodyText"/>
        <w:spacing w:line="249" w:lineRule="auto" w:before="74"/>
        <w:ind w:left="813" w:right="805"/>
        <w:jc w:val="both"/>
      </w:pPr>
      <w:r>
        <w:rPr/>
        <w:t>the same size; on the other hand, usually the banknotes are mistreated because they may have hand written notes or they may be worn and torn due to daily use, so, the texture pattern of mistreated banknotes is altered, leading to inaccurate recognition [11]. Hence, it must be selected a feature to characterize the denomination of the pa- per currency without being affected by the size or the mistreat level of the banknotes.</w:t>
      </w:r>
    </w:p>
    <w:p>
      <w:pPr>
        <w:pStyle w:val="BodyText"/>
        <w:spacing w:line="249" w:lineRule="auto" w:before="1"/>
        <w:ind w:left="813" w:right="805" w:firstLine="228"/>
        <w:jc w:val="both"/>
      </w:pPr>
      <w:r>
        <w:rPr/>
        <w:t>Like in many other countries, in Mexico there are used different colors to distin- guish the denomination classes of the banknotes easily. The advantages of using the color features are: 1) the chromaticity of the colors does not change before mistreated banknotes; 2) the colors of the banknotes are not affected by the banknotes’ size.</w:t>
      </w:r>
    </w:p>
    <w:p>
      <w:pPr>
        <w:pStyle w:val="BodyText"/>
        <w:spacing w:line="249" w:lineRule="auto" w:before="1"/>
        <w:ind w:left="813" w:right="803" w:firstLine="228"/>
        <w:jc w:val="both"/>
      </w:pPr>
      <w:r>
        <w:rPr/>
        <w:t>Hence, in this paper we extract the color features, under the RGB space, of the Mexican paper currency to classify their denominations classes. In order to obtain accurate models, there are selected the discriminative colors by applying a color se- lection approach, separately, in two different color spaces. The banknotes’ images are acquired by scanning the banknotes under the same illumination conditions.</w:t>
      </w:r>
    </w:p>
    <w:p>
      <w:pPr>
        <w:pStyle w:val="BodyText"/>
        <w:spacing w:line="249" w:lineRule="auto" w:before="1"/>
        <w:ind w:left="813" w:right="805" w:firstLine="228"/>
        <w:jc w:val="both"/>
      </w:pPr>
      <w:r>
        <w:rPr/>
        <w:t>The rest of the article is organized as follows: Section 2 presents how the color fea- tures of the banknotes are extracted. Section 3 shows the color selection approaches; Section 4 describes the tests and experimental results. Discussion in Section 5 and the paper ends with conclusions in Section 6.</w:t>
      </w:r>
    </w:p>
    <w:p>
      <w:pPr>
        <w:pStyle w:val="BodyText"/>
      </w:pPr>
    </w:p>
    <w:p>
      <w:pPr>
        <w:pStyle w:val="Heading1"/>
        <w:numPr>
          <w:ilvl w:val="0"/>
          <w:numId w:val="1"/>
        </w:numPr>
        <w:tabs>
          <w:tab w:pos="1380" w:val="left" w:leader="none"/>
        </w:tabs>
        <w:spacing w:line="240" w:lineRule="auto" w:before="149" w:after="0"/>
        <w:ind w:left="1380" w:right="0" w:hanging="567"/>
        <w:jc w:val="both"/>
      </w:pPr>
      <w:r>
        <w:rPr/>
        <w:t>Color</w:t>
      </w:r>
      <w:r>
        <w:rPr>
          <w:spacing w:val="-13"/>
        </w:rPr>
        <w:t> </w:t>
      </w:r>
      <w:r>
        <w:rPr/>
        <w:t>Extraction</w:t>
      </w:r>
    </w:p>
    <w:p>
      <w:pPr>
        <w:pStyle w:val="BodyText"/>
        <w:spacing w:before="4"/>
        <w:rPr>
          <w:b/>
          <w:sz w:val="21"/>
        </w:rPr>
      </w:pPr>
    </w:p>
    <w:p>
      <w:pPr>
        <w:pStyle w:val="BodyText"/>
        <w:spacing w:line="249" w:lineRule="auto"/>
        <w:ind w:left="813" w:right="805"/>
        <w:jc w:val="both"/>
      </w:pPr>
      <w:r>
        <w:rPr/>
        <w:t>Currently the Mexican paper currency has six denomination classes: 20, 50, 100, 200, 500 and 1000 Pesos. We focus on the recognition of the first five denomination classes because they are employed for common daily transactions, see Table</w:t>
      </w:r>
      <w:r>
        <w:rPr>
          <w:spacing w:val="-34"/>
        </w:rPr>
        <w:t> </w:t>
      </w:r>
      <w:r>
        <w:rPr/>
        <w:t>1.</w:t>
      </w:r>
    </w:p>
    <w:p>
      <w:pPr>
        <w:pStyle w:val="BodyText"/>
        <w:spacing w:line="249" w:lineRule="auto" w:before="1"/>
        <w:ind w:left="813" w:right="805" w:firstLine="228"/>
        <w:jc w:val="both"/>
      </w:pPr>
      <w:r>
        <w:rPr/>
        <w:t>The banknotes have different colors distributed throughout their surfaces; the color with more occurrences is defined as the “dominant” color, which is the main feature  to recognize the denomination. The dominant colors of the 20, 50, 100, 200 and 500 denominations</w:t>
      </w:r>
      <w:r>
        <w:rPr>
          <w:spacing w:val="-7"/>
        </w:rPr>
        <w:t> </w:t>
      </w:r>
      <w:r>
        <w:rPr/>
        <w:t>are</w:t>
      </w:r>
      <w:r>
        <w:rPr>
          <w:spacing w:val="-6"/>
        </w:rPr>
        <w:t> </w:t>
      </w:r>
      <w:r>
        <w:rPr/>
        <w:t>blue,</w:t>
      </w:r>
      <w:r>
        <w:rPr>
          <w:spacing w:val="-5"/>
        </w:rPr>
        <w:t> </w:t>
      </w:r>
      <w:r>
        <w:rPr/>
        <w:t>pink,</w:t>
      </w:r>
      <w:r>
        <w:rPr>
          <w:spacing w:val="-3"/>
        </w:rPr>
        <w:t> </w:t>
      </w:r>
      <w:r>
        <w:rPr/>
        <w:t>yellow,</w:t>
      </w:r>
      <w:r>
        <w:rPr>
          <w:spacing w:val="-5"/>
        </w:rPr>
        <w:t> </w:t>
      </w:r>
      <w:r>
        <w:rPr/>
        <w:t>green</w:t>
      </w:r>
      <w:r>
        <w:rPr>
          <w:spacing w:val="-7"/>
        </w:rPr>
        <w:t> </w:t>
      </w:r>
      <w:r>
        <w:rPr/>
        <w:t>and</w:t>
      </w:r>
      <w:r>
        <w:rPr>
          <w:spacing w:val="-5"/>
        </w:rPr>
        <w:t> </w:t>
      </w:r>
      <w:r>
        <w:rPr/>
        <w:t>brown,</w:t>
      </w:r>
      <w:r>
        <w:rPr>
          <w:spacing w:val="-5"/>
        </w:rPr>
        <w:t> </w:t>
      </w:r>
      <w:r>
        <w:rPr/>
        <w:t>respectively.</w:t>
      </w:r>
    </w:p>
    <w:p>
      <w:pPr>
        <w:pStyle w:val="BodyText"/>
        <w:spacing w:line="249" w:lineRule="auto" w:before="1"/>
        <w:ind w:left="813" w:right="803" w:firstLine="228"/>
        <w:jc w:val="right"/>
      </w:pPr>
      <w:r>
        <w:rPr/>
        <w:t>But the dominant color may not be the only one that characterizes the banknote’s</w:t>
      </w:r>
      <w:r>
        <w:rPr>
          <w:w w:val="99"/>
        </w:rPr>
        <w:t> </w:t>
      </w:r>
      <w:r>
        <w:rPr/>
        <w:t>denomination, because there may be two or more colors with a similar number of</w:t>
      </w:r>
      <w:r>
        <w:rPr>
          <w:w w:val="99"/>
        </w:rPr>
        <w:t> </w:t>
      </w:r>
      <w:r>
        <w:rPr/>
        <w:t>occurrences that contribute with significant data about the banknote. For instance, the</w:t>
      </w:r>
      <w:r>
        <w:rPr>
          <w:w w:val="99"/>
        </w:rPr>
        <w:t> </w:t>
      </w:r>
      <w:r>
        <w:rPr/>
        <w:t>dominant color of the 100 Pesos banknote is yellow; however, the color of a consider-</w:t>
      </w:r>
      <w:r>
        <w:rPr>
          <w:w w:val="99"/>
        </w:rPr>
        <w:t> </w:t>
      </w:r>
      <w:r>
        <w:rPr/>
        <w:t>able amount of the banknote’s area is red. Therefore, red is also a significant color</w:t>
      </w:r>
      <w:r>
        <w:rPr>
          <w:w w:val="99"/>
        </w:rPr>
        <w:t> </w:t>
      </w:r>
      <w:r>
        <w:rPr/>
        <w:t>feature of this denomination that must be included for the banknote’s characterization.</w:t>
      </w:r>
      <w:r>
        <w:rPr>
          <w:w w:val="99"/>
        </w:rPr>
        <w:t> </w:t>
      </w:r>
      <w:r>
        <w:rPr/>
        <w:t>To model colors we use the RGB space, which is accepted by most of the image</w:t>
      </w:r>
      <w:r>
        <w:rPr>
          <w:w w:val="99"/>
        </w:rPr>
        <w:t> </w:t>
      </w:r>
      <w:r>
        <w:rPr/>
        <w:t>processing community to represent colors [13], it is based in a Cartesian coordinate</w:t>
      </w:r>
      <w:r>
        <w:rPr>
          <w:w w:val="99"/>
        </w:rPr>
        <w:t> </w:t>
      </w:r>
      <w:r>
        <w:rPr/>
        <w:t>system where colors are points defined by vectors that extend from the origin [14],</w:t>
      </w:r>
      <w:r>
        <w:rPr>
          <w:w w:val="99"/>
        </w:rPr>
        <w:t> </w:t>
      </w:r>
      <w:r>
        <w:rPr/>
        <w:t>where black is located in the origin and white in the opposite corner to the origin, see</w:t>
      </w:r>
      <w:r>
        <w:rPr>
          <w:w w:val="99"/>
        </w:rPr>
        <w:t> </w:t>
      </w:r>
      <w:r>
        <w:rPr/>
        <w:t>Fig. 1. The color vector of a pixel  </w:t>
      </w:r>
      <w:r>
        <w:rPr>
          <w:rFonts w:ascii="Cambria Math" w:hAnsi="Cambria Math"/>
        </w:rPr>
        <w:t>p  </w:t>
      </w:r>
      <w:r>
        <w:rPr/>
        <w:t>is a linear combination of the basis vectors   red,</w:t>
      </w:r>
    </w:p>
    <w:p>
      <w:pPr>
        <w:pStyle w:val="BodyText"/>
        <w:ind w:left="813"/>
        <w:jc w:val="both"/>
      </w:pPr>
      <w:r>
        <w:rPr/>
        <w:t>green and blue, written as:</w:t>
      </w:r>
    </w:p>
    <w:p>
      <w:pPr>
        <w:tabs>
          <w:tab w:pos="7418" w:val="left" w:leader="none"/>
        </w:tabs>
        <w:spacing w:before="93"/>
        <w:ind w:left="3107" w:right="845" w:firstLine="0"/>
        <w:jc w:val="left"/>
        <w:rPr>
          <w:sz w:val="20"/>
        </w:rPr>
      </w:pPr>
      <w:r>
        <w:rPr>
          <w:rFonts w:ascii="Cambria Math" w:hAnsi="Cambria Math"/>
          <w:spacing w:val="-7"/>
          <w:w w:val="134"/>
          <w:sz w:val="20"/>
        </w:rPr>
        <w:t>$</w:t>
      </w:r>
      <w:r>
        <w:rPr>
          <w:rFonts w:ascii="Cambria Math" w:hAnsi="Cambria Math"/>
          <w:w w:val="112"/>
          <w:position w:val="-3"/>
          <w:sz w:val="14"/>
        </w:rPr>
        <w:t>p</w:t>
      </w:r>
      <w:r>
        <w:rPr>
          <w:rFonts w:ascii="Cambria Math" w:hAnsi="Cambria Math"/>
          <w:position w:val="-3"/>
          <w:sz w:val="14"/>
        </w:rPr>
        <w:t> </w:t>
      </w:r>
      <w:r>
        <w:rPr>
          <w:rFonts w:ascii="Cambria Math" w:hAnsi="Cambria Math"/>
          <w:spacing w:val="2"/>
          <w:position w:val="-3"/>
          <w:sz w:val="14"/>
        </w:rPr>
        <w:t> </w:t>
      </w:r>
      <w:r>
        <w:rPr>
          <w:rFonts w:ascii="Cambria Math" w:hAnsi="Cambria Math"/>
          <w:w w:val="99"/>
          <w:sz w:val="20"/>
        </w:rPr>
        <w:t>=</w:t>
      </w:r>
      <w:r>
        <w:rPr>
          <w:rFonts w:ascii="Cambria Math" w:hAnsi="Cambria Math"/>
          <w:spacing w:val="13"/>
          <w:sz w:val="20"/>
        </w:rPr>
        <w:t> </w:t>
      </w:r>
      <w:r>
        <w:rPr>
          <w:rFonts w:ascii="Cambria Math" w:hAnsi="Cambria Math"/>
          <w:spacing w:val="-35"/>
          <w:w w:val="114"/>
          <w:sz w:val="20"/>
        </w:rPr>
        <w:t>r</w:t>
      </w:r>
      <w:r>
        <w:rPr>
          <w:rFonts w:ascii="Cambria Math" w:hAnsi="Cambria Math"/>
          <w:spacing w:val="10"/>
          <w:w w:val="112"/>
          <w:position w:val="-3"/>
          <w:sz w:val="14"/>
        </w:rPr>
        <w:t>p</w:t>
      </w:r>
      <w:r>
        <w:rPr>
          <w:rFonts w:ascii="Cambria Math" w:hAnsi="Cambria Math"/>
          <w:spacing w:val="1"/>
          <w:w w:val="73"/>
          <w:sz w:val="20"/>
        </w:rPr>
        <w:t>s</w:t>
      </w:r>
      <w:r>
        <w:rPr>
          <w:rFonts w:ascii="Cambria Math" w:hAnsi="Cambria Math"/>
          <w:w w:val="99"/>
          <w:sz w:val="20"/>
        </w:rPr>
        <w:t>̂</w:t>
      </w:r>
      <w:r>
        <w:rPr>
          <w:rFonts w:ascii="Cambria Math" w:hAnsi="Cambria Math"/>
          <w:spacing w:val="1"/>
          <w:sz w:val="20"/>
        </w:rPr>
        <w:t> </w:t>
      </w:r>
      <w:r>
        <w:rPr>
          <w:rFonts w:ascii="Cambria Math" w:hAnsi="Cambria Math"/>
          <w:w w:val="99"/>
          <w:sz w:val="20"/>
        </w:rPr>
        <w:t>+</w:t>
      </w:r>
      <w:r>
        <w:rPr>
          <w:rFonts w:ascii="Cambria Math" w:hAnsi="Cambria Math"/>
          <w:spacing w:val="1"/>
          <w:sz w:val="20"/>
        </w:rPr>
        <w:t> </w:t>
      </w:r>
      <w:r>
        <w:rPr>
          <w:rFonts w:ascii="Cambria Math" w:hAnsi="Cambria Math"/>
          <w:spacing w:val="-7"/>
          <w:w w:val="123"/>
          <w:sz w:val="20"/>
        </w:rPr>
        <w:t>g</w:t>
      </w:r>
      <w:r>
        <w:rPr>
          <w:rFonts w:ascii="Cambria Math" w:hAnsi="Cambria Math"/>
          <w:spacing w:val="10"/>
          <w:w w:val="112"/>
          <w:position w:val="-3"/>
          <w:sz w:val="14"/>
        </w:rPr>
        <w:t>p</w:t>
      </w:r>
      <w:r>
        <w:rPr>
          <w:rFonts w:ascii="Cambria Math" w:hAnsi="Cambria Math"/>
          <w:spacing w:val="2"/>
          <w:w w:val="70"/>
          <w:sz w:val="20"/>
        </w:rPr>
        <w:t>y</w:t>
      </w:r>
      <w:r>
        <w:rPr>
          <w:rFonts w:ascii="Cambria Math" w:hAnsi="Cambria Math"/>
          <w:w w:val="99"/>
          <w:sz w:val="20"/>
        </w:rPr>
        <w:t>̂</w:t>
      </w:r>
      <w:r>
        <w:rPr>
          <w:rFonts w:ascii="Cambria Math" w:hAnsi="Cambria Math"/>
          <w:spacing w:val="-1"/>
          <w:sz w:val="20"/>
        </w:rPr>
        <w:t> </w:t>
      </w:r>
      <w:r>
        <w:rPr>
          <w:rFonts w:ascii="Cambria Math" w:hAnsi="Cambria Math"/>
          <w:w w:val="99"/>
          <w:sz w:val="20"/>
        </w:rPr>
        <w:t>+</w:t>
      </w:r>
      <w:r>
        <w:rPr>
          <w:rFonts w:ascii="Cambria Math" w:hAnsi="Cambria Math"/>
          <w:spacing w:val="1"/>
          <w:sz w:val="20"/>
        </w:rPr>
        <w:t> </w:t>
      </w:r>
      <w:r>
        <w:rPr>
          <w:rFonts w:ascii="Cambria Math" w:hAnsi="Cambria Math"/>
          <w:spacing w:val="-7"/>
          <w:w w:val="98"/>
          <w:sz w:val="20"/>
        </w:rPr>
        <w:t>b</w:t>
      </w:r>
      <w:r>
        <w:rPr>
          <w:rFonts w:ascii="Cambria Math" w:hAnsi="Cambria Math"/>
          <w:spacing w:val="10"/>
          <w:w w:val="112"/>
          <w:position w:val="-3"/>
          <w:sz w:val="14"/>
        </w:rPr>
        <w:t>p</w:t>
      </w:r>
      <w:r>
        <w:rPr>
          <w:rFonts w:ascii="Cambria Math" w:hAnsi="Cambria Math"/>
          <w:spacing w:val="-91"/>
          <w:w w:val="104"/>
          <w:sz w:val="20"/>
        </w:rPr>
        <w:t>k</w:t>
      </w:r>
      <w:r>
        <w:rPr>
          <w:rFonts w:ascii="Cambria Math" w:hAnsi="Cambria Math"/>
          <w:w w:val="142"/>
          <w:position w:val="5"/>
          <w:sz w:val="20"/>
        </w:rPr>
        <w:t>ˆ</w:t>
      </w:r>
      <w:r>
        <w:rPr>
          <w:rFonts w:ascii="Cambria Math" w:hAnsi="Cambria Math"/>
          <w:position w:val="5"/>
          <w:sz w:val="20"/>
        </w:rPr>
        <w:tab/>
      </w:r>
      <w:r>
        <w:rPr>
          <w:spacing w:val="1"/>
          <w:w w:val="99"/>
          <w:sz w:val="20"/>
        </w:rPr>
        <w:t>(1)</w:t>
      </w:r>
    </w:p>
    <w:p>
      <w:pPr>
        <w:pStyle w:val="BodyText"/>
        <w:spacing w:line="249" w:lineRule="auto" w:before="118"/>
        <w:ind w:left="813" w:right="845" w:firstLine="228"/>
      </w:pPr>
      <w:r>
        <w:rPr/>
        <w:t>Where the scalars </w:t>
      </w:r>
      <w:r>
        <w:rPr>
          <w:rFonts w:ascii="Cambria Math"/>
        </w:rPr>
        <w:t>r</w:t>
      </w:r>
      <w:r>
        <w:rPr/>
        <w:t>, </w:t>
      </w:r>
      <w:r>
        <w:rPr>
          <w:rFonts w:ascii="Cambria Math"/>
        </w:rPr>
        <w:t>g </w:t>
      </w:r>
      <w:r>
        <w:rPr/>
        <w:t>and </w:t>
      </w:r>
      <w:r>
        <w:rPr>
          <w:rFonts w:ascii="Cambria Math"/>
        </w:rPr>
        <w:t>b  </w:t>
      </w:r>
      <w:r>
        <w:rPr/>
        <w:t>are the red, green and blue, respectively, compo-  nents of the color</w:t>
      </w:r>
      <w:r>
        <w:rPr>
          <w:spacing w:val="-12"/>
        </w:rPr>
        <w:t> </w:t>
      </w:r>
      <w:r>
        <w:rPr/>
        <w:t>vector.</w:t>
      </w:r>
    </w:p>
    <w:p>
      <w:pPr>
        <w:spacing w:after="0" w:line="249" w:lineRule="auto"/>
        <w:sectPr>
          <w:headerReference w:type="even" r:id="rId5"/>
          <w:headerReference w:type="default" r:id="rId6"/>
          <w:pgSz w:w="11900" w:h="16840"/>
          <w:pgMar w:header="2414" w:footer="0" w:top="2600" w:bottom="280" w:left="1680" w:right="1680"/>
          <w:pgNumType w:start="404"/>
        </w:sectPr>
      </w:pPr>
    </w:p>
    <w:p>
      <w:pPr>
        <w:pStyle w:val="BodyText"/>
        <w:spacing w:before="6"/>
        <w:rPr>
          <w:sz w:val="23"/>
        </w:rPr>
      </w:pPr>
    </w:p>
    <w:p>
      <w:pPr>
        <w:spacing w:before="78"/>
        <w:ind w:left="863" w:right="421" w:firstLine="0"/>
        <w:jc w:val="left"/>
        <w:rPr>
          <w:sz w:val="18"/>
        </w:rPr>
      </w:pPr>
      <w:r>
        <w:rPr>
          <w:b/>
          <w:sz w:val="18"/>
        </w:rPr>
        <w:t>Table 1. </w:t>
      </w:r>
      <w:r>
        <w:rPr>
          <w:sz w:val="18"/>
        </w:rPr>
        <w:t>Images of the Mexican banknotes denominations used for common daily transactions</w:t>
      </w:r>
    </w:p>
    <w:p>
      <w:pPr>
        <w:pStyle w:val="BodyText"/>
        <w:spacing w:before="10"/>
        <w:rPr>
          <w:sz w:val="10"/>
        </w:rPr>
      </w:pPr>
      <w:r>
        <w:rPr/>
        <w:pict>
          <v:line style="position:absolute;mso-position-horizontal-relative:page;mso-position-vertical-relative:paragraph;z-index:0;mso-wrap-distance-left:0;mso-wrap-distance-right:0" from="124.679001pt,8.972566pt" to="472.19899pt,8.972566pt" stroked="true" strokeweight="1.44pt" strokecolor="#000000">
            <w10:wrap type="topAndBottom"/>
          </v:line>
        </w:pict>
      </w:r>
    </w:p>
    <w:p>
      <w:pPr>
        <w:pStyle w:val="Heading2"/>
        <w:tabs>
          <w:tab w:pos="3348" w:val="left" w:leader="none"/>
          <w:tab w:pos="6000" w:val="left" w:leader="none"/>
        </w:tabs>
        <w:spacing w:after="2"/>
        <w:ind w:left="1058" w:right="845" w:firstLine="0"/>
        <w:jc w:val="left"/>
      </w:pPr>
      <w:r>
        <w:rPr/>
        <w:t>Denomination</w:t>
        <w:tab/>
        <w:t>Front</w:t>
      </w:r>
      <w:r>
        <w:rPr>
          <w:spacing w:val="-1"/>
        </w:rPr>
        <w:t> </w:t>
      </w:r>
      <w:r>
        <w:rPr/>
        <w:t>face</w:t>
        <w:tab/>
        <w:t>Back</w:t>
      </w:r>
      <w:r>
        <w:rPr>
          <w:spacing w:val="-7"/>
        </w:rPr>
        <w:t> </w:t>
      </w:r>
      <w:r>
        <w:rPr/>
        <w:t>face</w:t>
      </w:r>
    </w:p>
    <w:p>
      <w:pPr>
        <w:pStyle w:val="BodyText"/>
        <w:ind w:left="784"/>
      </w:pPr>
      <w:r>
        <w:rPr/>
        <w:pict>
          <v:group style="width:349.7pt;height:359.2pt;mso-position-horizontal-relative:char;mso-position-vertical-relative:line" coordorigin="0,0" coordsize="6994,7184">
            <v:line style="position:absolute" from="29,15" to="6979,15" stroked="true" strokeweight="1.44pt" strokecolor="#000000"/>
            <v:shape style="position:absolute;left:2067;top:50;width:1548;height:852" type="#_x0000_t75" stroked="false">
              <v:imagedata r:id="rId7" o:title=""/>
            </v:shape>
            <v:shape style="position:absolute;left:4618;top:50;width:1548;height:852" type="#_x0000_t75" stroked="false">
              <v:imagedata r:id="rId8" o:title=""/>
            </v:shape>
            <v:shape style="position:absolute;left:2067;top:941;width:1632;height:852" type="#_x0000_t75" stroked="false">
              <v:imagedata r:id="rId9" o:title=""/>
            </v:shape>
            <v:shape style="position:absolute;left:4618;top:941;width:1634;height:852" type="#_x0000_t75" stroked="false">
              <v:imagedata r:id="rId10" o:title=""/>
            </v:shape>
            <v:shape style="position:absolute;left:2067;top:1831;width:2014;height:852" type="#_x0000_t75" stroked="false">
              <v:imagedata r:id="rId11" o:title=""/>
            </v:shape>
            <v:shape style="position:absolute;left:4618;top:1831;width:2014;height:852" type="#_x0000_t75" stroked="false">
              <v:imagedata r:id="rId12" o:title=""/>
            </v:shape>
            <v:shape style="position:absolute;left:2067;top:2722;width:1723;height:852" type="#_x0000_t75" stroked="false">
              <v:imagedata r:id="rId13" o:title=""/>
            </v:shape>
            <v:shape style="position:absolute;left:4618;top:2722;width:1723;height:852" type="#_x0000_t75" stroked="false">
              <v:imagedata r:id="rId14" o:title=""/>
            </v:shape>
            <v:shape style="position:absolute;left:2067;top:3612;width:2006;height:852" type="#_x0000_t75" stroked="false">
              <v:imagedata r:id="rId15" o:title=""/>
            </v:shape>
            <v:shape style="position:absolute;left:4618;top:3612;width:2009;height:852" type="#_x0000_t75" stroked="false">
              <v:imagedata r:id="rId16" o:title=""/>
            </v:shape>
            <v:shape style="position:absolute;left:2067;top:4502;width:1819;height:852" type="#_x0000_t75" stroked="false">
              <v:imagedata r:id="rId17" o:title=""/>
            </v:shape>
            <v:shape style="position:absolute;left:4618;top:4502;width:1822;height:852" type="#_x0000_t75" stroked="false">
              <v:imagedata r:id="rId18" o:title=""/>
            </v:shape>
            <v:shape style="position:absolute;left:2067;top:5393;width:1990;height:852" type="#_x0000_t75" stroked="false">
              <v:imagedata r:id="rId19" o:title=""/>
            </v:shape>
            <v:shape style="position:absolute;left:4618;top:5393;width:1997;height:852" type="#_x0000_t75" stroked="false">
              <v:imagedata r:id="rId20" o:title=""/>
            </v:shape>
            <v:line style="position:absolute" from="15,7169" to="1731,7169" stroked="true" strokeweight="1.44pt" strokecolor="#000000"/>
            <v:line style="position:absolute" from="1716,7169" to="4282,7169" stroked="true" strokeweight="1.44pt" strokecolor="#000000"/>
            <v:line style="position:absolute" from="4267,7169" to="6979,7169" stroked="true" strokeweight="1.44pt" strokecolor="#000000"/>
            <v:shape style="position:absolute;left:2067;top:6283;width:1915;height:852" type="#_x0000_t75" stroked="false">
              <v:imagedata r:id="rId21" o:title=""/>
            </v:shape>
            <v:shape style="position:absolute;left:4618;top:6283;width:1918;height:852" type="#_x0000_t75" stroked="false">
              <v:imagedata r:id="rId22" o:title=""/>
            </v:shape>
            <v:shape style="position:absolute;left:797;top:380;width:202;height:200" type="#_x0000_t202" filled="false" stroked="false">
              <v:textbox inset="0,0,0,0">
                <w:txbxContent>
                  <w:p>
                    <w:pPr>
                      <w:spacing w:line="199" w:lineRule="exact" w:before="0"/>
                      <w:ind w:left="0" w:right="-18" w:firstLine="0"/>
                      <w:jc w:val="left"/>
                      <w:rPr>
                        <w:sz w:val="20"/>
                      </w:rPr>
                    </w:pPr>
                    <w:r>
                      <w:rPr>
                        <w:sz w:val="20"/>
                      </w:rPr>
                      <w:t>20</w:t>
                    </w:r>
                  </w:p>
                </w:txbxContent>
              </v:textbox>
              <w10:wrap type="none"/>
            </v:shape>
            <v:shape style="position:absolute;left:780;top:1270;width:202;height:200" type="#_x0000_t202" filled="false" stroked="false">
              <v:textbox inset="0,0,0,0">
                <w:txbxContent>
                  <w:p>
                    <w:pPr>
                      <w:spacing w:line="199" w:lineRule="exact" w:before="0"/>
                      <w:ind w:left="0" w:right="-18" w:firstLine="0"/>
                      <w:jc w:val="left"/>
                      <w:rPr>
                        <w:sz w:val="20"/>
                      </w:rPr>
                    </w:pPr>
                    <w:r>
                      <w:rPr>
                        <w:sz w:val="20"/>
                      </w:rPr>
                      <w:t>50</w:t>
                    </w:r>
                  </w:p>
                </w:txbxContent>
              </v:textbox>
              <w10:wrap type="none"/>
            </v:shape>
            <v:shape style="position:absolute;left:509;top:2161;width:741;height:200" type="#_x0000_t202" filled="false" stroked="false">
              <v:textbox inset="0,0,0,0">
                <w:txbxContent>
                  <w:p>
                    <w:pPr>
                      <w:spacing w:line="199" w:lineRule="exact" w:before="0"/>
                      <w:ind w:left="0" w:right="-18" w:firstLine="0"/>
                      <w:jc w:val="left"/>
                      <w:rPr>
                        <w:sz w:val="20"/>
                      </w:rPr>
                    </w:pPr>
                    <w:r>
                      <w:rPr>
                        <w:sz w:val="20"/>
                      </w:rPr>
                      <w:t>100 (old)</w:t>
                    </w:r>
                  </w:p>
                </w:txbxContent>
              </v:textbox>
              <w10:wrap type="none"/>
            </v:shape>
            <v:shape style="position:absolute;left:470;top:3051;width:813;height:200" type="#_x0000_t202" filled="false" stroked="false">
              <v:textbox inset="0,0,0,0">
                <w:txbxContent>
                  <w:p>
                    <w:pPr>
                      <w:spacing w:line="199" w:lineRule="exact" w:before="0"/>
                      <w:ind w:left="0" w:right="-14" w:firstLine="0"/>
                      <w:jc w:val="left"/>
                      <w:rPr>
                        <w:sz w:val="20"/>
                      </w:rPr>
                    </w:pPr>
                    <w:r>
                      <w:rPr>
                        <w:sz w:val="20"/>
                      </w:rPr>
                      <w:t>100</w:t>
                    </w:r>
                    <w:r>
                      <w:rPr>
                        <w:spacing w:val="-10"/>
                        <w:sz w:val="20"/>
                      </w:rPr>
                      <w:t> </w:t>
                    </w:r>
                    <w:r>
                      <w:rPr>
                        <w:sz w:val="20"/>
                      </w:rPr>
                      <w:t>(new)</w:t>
                    </w:r>
                  </w:p>
                </w:txbxContent>
              </v:textbox>
              <w10:wrap type="none"/>
            </v:shape>
            <v:shape style="position:absolute;left:509;top:3941;width:741;height:200" type="#_x0000_t202" filled="false" stroked="false">
              <v:textbox inset="0,0,0,0">
                <w:txbxContent>
                  <w:p>
                    <w:pPr>
                      <w:spacing w:line="199" w:lineRule="exact" w:before="0"/>
                      <w:ind w:left="0" w:right="-18" w:firstLine="0"/>
                      <w:jc w:val="left"/>
                      <w:rPr>
                        <w:sz w:val="20"/>
                      </w:rPr>
                    </w:pPr>
                    <w:r>
                      <w:rPr>
                        <w:sz w:val="20"/>
                      </w:rPr>
                      <w:t>200 (old)</w:t>
                    </w:r>
                  </w:p>
                </w:txbxContent>
              </v:textbox>
              <w10:wrap type="none"/>
            </v:shape>
            <v:shape style="position:absolute;left:470;top:4832;width:813;height:200" type="#_x0000_t202" filled="false" stroked="false">
              <v:textbox inset="0,0,0,0">
                <w:txbxContent>
                  <w:p>
                    <w:pPr>
                      <w:spacing w:line="199" w:lineRule="exact" w:before="0"/>
                      <w:ind w:left="0" w:right="-14" w:firstLine="0"/>
                      <w:jc w:val="left"/>
                      <w:rPr>
                        <w:sz w:val="20"/>
                      </w:rPr>
                    </w:pPr>
                    <w:r>
                      <w:rPr>
                        <w:sz w:val="20"/>
                      </w:rPr>
                      <w:t>200</w:t>
                    </w:r>
                    <w:r>
                      <w:rPr>
                        <w:spacing w:val="-10"/>
                        <w:sz w:val="20"/>
                      </w:rPr>
                      <w:t> </w:t>
                    </w:r>
                    <w:r>
                      <w:rPr>
                        <w:sz w:val="20"/>
                      </w:rPr>
                      <w:t>(new)</w:t>
                    </w:r>
                  </w:p>
                </w:txbxContent>
              </v:textbox>
              <w10:wrap type="none"/>
            </v:shape>
            <v:shape style="position:absolute;left:509;top:5722;width:741;height:200" type="#_x0000_t202" filled="false" stroked="false">
              <v:textbox inset="0,0,0,0">
                <w:txbxContent>
                  <w:p>
                    <w:pPr>
                      <w:spacing w:line="199" w:lineRule="exact" w:before="0"/>
                      <w:ind w:left="0" w:right="-18" w:firstLine="0"/>
                      <w:jc w:val="left"/>
                      <w:rPr>
                        <w:sz w:val="20"/>
                      </w:rPr>
                    </w:pPr>
                    <w:r>
                      <w:rPr>
                        <w:sz w:val="20"/>
                      </w:rPr>
                      <w:t>500 (old)</w:t>
                    </w:r>
                  </w:p>
                </w:txbxContent>
              </v:textbox>
              <w10:wrap type="none"/>
            </v:shape>
            <v:shape style="position:absolute;left:471;top:6613;width:813;height:200" type="#_x0000_t202" filled="false" stroked="false">
              <v:textbox inset="0,0,0,0">
                <w:txbxContent>
                  <w:p>
                    <w:pPr>
                      <w:spacing w:line="199" w:lineRule="exact" w:before="0"/>
                      <w:ind w:left="0" w:right="-14" w:firstLine="0"/>
                      <w:jc w:val="left"/>
                      <w:rPr>
                        <w:sz w:val="20"/>
                      </w:rPr>
                    </w:pPr>
                    <w:r>
                      <w:rPr>
                        <w:sz w:val="20"/>
                      </w:rPr>
                      <w:t>500</w:t>
                    </w:r>
                    <w:r>
                      <w:rPr>
                        <w:spacing w:val="-10"/>
                        <w:sz w:val="20"/>
                      </w:rPr>
                      <w:t> </w:t>
                    </w:r>
                    <w:r>
                      <w:rPr>
                        <w:sz w:val="20"/>
                      </w:rPr>
                      <w:t>(new)</w:t>
                    </w:r>
                  </w:p>
                </w:txbxContent>
              </v:textbox>
              <w10:wrap type="none"/>
            </v:shape>
          </v:group>
        </w:pict>
      </w:r>
      <w:r>
        <w:rPr/>
      </w:r>
    </w:p>
    <w:p>
      <w:pPr>
        <w:pStyle w:val="BodyText"/>
        <w:rPr>
          <w:b/>
          <w:sz w:val="16"/>
        </w:rPr>
      </w:pPr>
      <w:r>
        <w:rPr/>
        <w:drawing>
          <wp:anchor distT="0" distB="0" distL="0" distR="0" allowOverlap="1" layoutInCell="1" locked="0" behindDoc="0" simplePos="0" relativeHeight="1264">
            <wp:simplePos x="0" y="0"/>
            <wp:positionH relativeFrom="page">
              <wp:posOffset>2767571</wp:posOffset>
            </wp:positionH>
            <wp:positionV relativeFrom="paragraph">
              <wp:posOffset>141795</wp:posOffset>
            </wp:positionV>
            <wp:extent cx="2046233" cy="1533906"/>
            <wp:effectExtent l="0" t="0" r="0" b="0"/>
            <wp:wrapTopAndBottom/>
            <wp:docPr id="1" name="image17.jpeg" descr=""/>
            <wp:cNvGraphicFramePr>
              <a:graphicFrameLocks noChangeAspect="1"/>
            </wp:cNvGraphicFramePr>
            <a:graphic>
              <a:graphicData uri="http://schemas.openxmlformats.org/drawingml/2006/picture">
                <pic:pic>
                  <pic:nvPicPr>
                    <pic:cNvPr id="2" name="image17.jpeg"/>
                    <pic:cNvPicPr/>
                  </pic:nvPicPr>
                  <pic:blipFill>
                    <a:blip r:embed="rId23" cstate="print"/>
                    <a:stretch>
                      <a:fillRect/>
                    </a:stretch>
                  </pic:blipFill>
                  <pic:spPr>
                    <a:xfrm>
                      <a:off x="0" y="0"/>
                      <a:ext cx="2046233" cy="1533906"/>
                    </a:xfrm>
                    <a:prstGeom prst="rect">
                      <a:avLst/>
                    </a:prstGeom>
                  </pic:spPr>
                </pic:pic>
              </a:graphicData>
            </a:graphic>
          </wp:anchor>
        </w:drawing>
      </w:r>
    </w:p>
    <w:p>
      <w:pPr>
        <w:spacing w:before="75"/>
        <w:ind w:left="813" w:right="811" w:firstLine="0"/>
        <w:jc w:val="center"/>
        <w:rPr>
          <w:sz w:val="18"/>
        </w:rPr>
      </w:pPr>
      <w:r>
        <w:rPr>
          <w:b/>
          <w:sz w:val="18"/>
        </w:rPr>
        <w:t>Fig. 1. </w:t>
      </w:r>
      <w:r>
        <w:rPr>
          <w:sz w:val="18"/>
        </w:rPr>
        <w:t>RGB color space</w:t>
      </w:r>
    </w:p>
    <w:p>
      <w:pPr>
        <w:spacing w:after="0"/>
        <w:jc w:val="center"/>
        <w:rPr>
          <w:sz w:val="18"/>
        </w:rPr>
        <w:sectPr>
          <w:pgSz w:w="11900" w:h="16840"/>
          <w:pgMar w:header="2409" w:footer="0" w:top="2600" w:bottom="280" w:left="1680" w:right="1680"/>
        </w:sectPr>
      </w:pPr>
    </w:p>
    <w:p>
      <w:pPr>
        <w:pStyle w:val="BodyText"/>
        <w:spacing w:before="1"/>
        <w:rPr>
          <w:sz w:val="23"/>
        </w:rPr>
      </w:pPr>
    </w:p>
    <w:p>
      <w:pPr>
        <w:pStyle w:val="BodyText"/>
        <w:spacing w:line="249" w:lineRule="auto" w:before="74"/>
        <w:ind w:left="813" w:right="806" w:firstLine="228"/>
        <w:jc w:val="both"/>
      </w:pPr>
      <w:r>
        <w:rPr/>
        <w:t>The orientation and magnitude of a color vector defines the chromaticity and the intensity of the color, respectively [14]. If we sum two color vectors with the same orientation, then, the result is a vector with the same orientation of the two previous and its magnitude will be larger than the previous ones, that is, the resulting color has the same chromaticity but brighter. On the other hand, if two color vectors with different chromaticity are sum the resultant will have different orientation, and also larger; that is, the resulting chromaticity is a combination of the chromaticity of the previous vectors.</w:t>
      </w:r>
    </w:p>
    <w:p>
      <w:pPr>
        <w:pStyle w:val="BodyText"/>
        <w:spacing w:line="247" w:lineRule="auto" w:before="1"/>
        <w:ind w:left="813" w:right="805" w:firstLine="228"/>
        <w:jc w:val="both"/>
      </w:pPr>
      <w:r>
        <w:rPr/>
        <w:t>The addition of the color vectors of all the pixels of the image gives the resultant vector </w:t>
      </w:r>
      <w:r>
        <w:rPr>
          <w:rFonts w:ascii="Cambria Math" w:hAnsi="Cambria Math"/>
        </w:rPr>
        <w:t>R</w:t>
      </w:r>
      <w:r>
        <w:rPr/>
        <w:t>, whose orientation may be similar to the color vector’s orientation of the dominant color, where </w:t>
      </w:r>
      <w:r>
        <w:rPr>
          <w:rFonts w:ascii="Cambria Math" w:hAnsi="Cambria Math"/>
        </w:rPr>
        <w:t>R  </w:t>
      </w:r>
      <w:r>
        <w:rPr/>
        <w:t>contains data of all the color features of the banknote. Thus, a banknote can be characterized by computing </w:t>
      </w:r>
      <w:r>
        <w:rPr>
          <w:rFonts w:ascii="Cambria Math" w:hAnsi="Cambria Math"/>
        </w:rPr>
        <w:t>R  </w:t>
      </w:r>
      <w:r>
        <w:rPr/>
        <w:t>as follows.</w:t>
      </w:r>
    </w:p>
    <w:p>
      <w:pPr>
        <w:pStyle w:val="BodyText"/>
        <w:spacing w:line="249" w:lineRule="exact"/>
        <w:ind w:left="1041" w:right="845"/>
      </w:pPr>
      <w:r>
        <w:rPr/>
        <w:t>Let  </w:t>
      </w:r>
      <w:r>
        <w:rPr>
          <w:rFonts w:ascii="Cambria Math" w:hAnsi="Cambria Math"/>
          <w:position w:val="1"/>
        </w:rPr>
        <w:t>{</w:t>
      </w:r>
      <w:r>
        <w:rPr>
          <w:rFonts w:ascii="Cambria Math" w:hAnsi="Cambria Math"/>
        </w:rPr>
        <w:t>$</w:t>
      </w:r>
      <w:r>
        <w:rPr>
          <w:rFonts w:ascii="Cambria Math" w:hAnsi="Cambria Math"/>
          <w:position w:val="-3"/>
          <w:sz w:val="14"/>
        </w:rPr>
        <w:t>1</w:t>
      </w:r>
      <w:r>
        <w:rPr>
          <w:rFonts w:ascii="Cambria Math" w:hAnsi="Cambria Math"/>
        </w:rPr>
        <w:t>,…, $</w:t>
      </w:r>
      <w:r>
        <w:rPr>
          <w:rFonts w:ascii="Cambria Math" w:hAnsi="Cambria Math"/>
          <w:position w:val="-3"/>
          <w:sz w:val="14"/>
        </w:rPr>
        <w:t>N</w:t>
      </w:r>
      <w:r>
        <w:rPr>
          <w:rFonts w:ascii="Cambria Math" w:hAnsi="Cambria Math"/>
          <w:position w:val="1"/>
        </w:rPr>
        <w:t>} </w:t>
      </w:r>
      <w:r>
        <w:rPr>
          <w:rFonts w:ascii="Cambria Math" w:hAnsi="Cambria Math"/>
        </w:rPr>
        <w:t>&lt; %</w:t>
      </w:r>
      <w:r>
        <w:rPr>
          <w:rFonts w:ascii="Cambria Math" w:hAnsi="Cambria Math"/>
          <w:position w:val="7"/>
          <w:sz w:val="14"/>
        </w:rPr>
        <w:t>3   </w:t>
      </w:r>
      <w:r>
        <w:rPr/>
        <w:t>the set of the pixels’ color vectors of a given image,   where</w:t>
      </w:r>
    </w:p>
    <w:p>
      <w:pPr>
        <w:pStyle w:val="BodyText"/>
        <w:spacing w:line="224" w:lineRule="exact"/>
        <w:ind w:left="425" w:right="858"/>
        <w:jc w:val="center"/>
      </w:pPr>
      <w:r>
        <w:rPr>
          <w:rFonts w:ascii="Cambria Math"/>
        </w:rPr>
        <w:t>N  </w:t>
      </w:r>
      <w:r>
        <w:rPr/>
        <w:t>is the number of pixels of the image; the resultant vector </w:t>
      </w:r>
      <w:r>
        <w:rPr>
          <w:rFonts w:ascii="Cambria Math"/>
        </w:rPr>
        <w:t>R  </w:t>
      </w:r>
      <w:r>
        <w:rPr/>
        <w:t>is computed with:</w:t>
      </w:r>
    </w:p>
    <w:p>
      <w:pPr>
        <w:spacing w:before="84"/>
        <w:ind w:left="0" w:right="402" w:firstLine="0"/>
        <w:jc w:val="center"/>
        <w:rPr>
          <w:rFonts w:ascii="Cambria Math"/>
          <w:sz w:val="14"/>
        </w:rPr>
      </w:pPr>
      <w:r>
        <w:rPr>
          <w:rFonts w:ascii="Cambria Math"/>
          <w:w w:val="110"/>
          <w:sz w:val="14"/>
        </w:rPr>
        <w:t>N</w:t>
      </w:r>
    </w:p>
    <w:p>
      <w:pPr>
        <w:spacing w:after="0"/>
        <w:jc w:val="center"/>
        <w:rPr>
          <w:rFonts w:ascii="Cambria Math"/>
          <w:sz w:val="14"/>
        </w:rPr>
        <w:sectPr>
          <w:pgSz w:w="11900" w:h="16840"/>
          <w:pgMar w:header="2414" w:footer="0" w:top="2600" w:bottom="280" w:left="1680" w:right="1680"/>
        </w:sectPr>
      </w:pPr>
    </w:p>
    <w:p>
      <w:pPr>
        <w:pStyle w:val="BodyText"/>
        <w:spacing w:before="76"/>
        <w:jc w:val="right"/>
        <w:rPr>
          <w:rFonts w:ascii="Cambria Math"/>
          <w:sz w:val="14"/>
        </w:rPr>
      </w:pPr>
      <w:r>
        <w:rPr>
          <w:rFonts w:ascii="Cambria Math"/>
          <w:spacing w:val="18"/>
          <w:w w:val="120"/>
        </w:rPr>
        <w:t>R </w:t>
      </w:r>
      <w:r>
        <w:rPr>
          <w:rFonts w:ascii="Cambria Math"/>
          <w:w w:val="120"/>
        </w:rPr>
        <w:t>= </w:t>
      </w:r>
      <w:r>
        <w:rPr>
          <w:rFonts w:ascii="Cambria Math"/>
          <w:w w:val="300"/>
        </w:rPr>
        <w:t>)</w:t>
      </w:r>
      <w:r>
        <w:rPr>
          <w:rFonts w:ascii="Cambria Math"/>
          <w:spacing w:val="-105"/>
          <w:w w:val="300"/>
        </w:rPr>
        <w:t> </w:t>
      </w:r>
      <w:r>
        <w:rPr>
          <w:rFonts w:ascii="Cambria Math"/>
          <w:spacing w:val="-4"/>
          <w:w w:val="120"/>
        </w:rPr>
        <w:t>$</w:t>
      </w:r>
      <w:r>
        <w:rPr>
          <w:rFonts w:ascii="Cambria Math"/>
          <w:spacing w:val="-4"/>
          <w:w w:val="120"/>
          <w:position w:val="-3"/>
          <w:sz w:val="14"/>
        </w:rPr>
        <w:t>p</w:t>
      </w:r>
    </w:p>
    <w:p>
      <w:pPr>
        <w:spacing w:before="52"/>
        <w:ind w:left="0" w:right="247" w:firstLine="0"/>
        <w:jc w:val="right"/>
        <w:rPr>
          <w:rFonts w:ascii="Cambria Math"/>
          <w:sz w:val="14"/>
        </w:rPr>
      </w:pPr>
      <w:r>
        <w:rPr>
          <w:rFonts w:ascii="Cambria Math"/>
          <w:sz w:val="14"/>
        </w:rPr>
        <w:t>p=1</w:t>
      </w:r>
    </w:p>
    <w:p>
      <w:pPr>
        <w:spacing w:before="89"/>
        <w:ind w:left="0" w:right="879" w:firstLine="0"/>
        <w:jc w:val="right"/>
        <w:rPr>
          <w:sz w:val="20"/>
        </w:rPr>
      </w:pPr>
      <w:r>
        <w:rPr/>
        <w:br w:type="column"/>
      </w:r>
      <w:r>
        <w:rPr>
          <w:sz w:val="20"/>
        </w:rPr>
        <w:t>(2)</w:t>
      </w:r>
    </w:p>
    <w:p>
      <w:pPr>
        <w:spacing w:after="0"/>
        <w:jc w:val="right"/>
        <w:rPr>
          <w:sz w:val="20"/>
        </w:rPr>
        <w:sectPr>
          <w:type w:val="continuous"/>
          <w:pgSz w:w="11900" w:h="16840"/>
          <w:pgMar w:top="1600" w:bottom="280" w:left="1680" w:right="1680"/>
          <w:cols w:num="2" w:equalWidth="0">
            <w:col w:w="4456" w:space="40"/>
            <w:col w:w="4044"/>
          </w:cols>
        </w:sectPr>
      </w:pPr>
    </w:p>
    <w:p>
      <w:pPr>
        <w:pStyle w:val="BodyText"/>
        <w:spacing w:line="249" w:lineRule="auto" w:before="103"/>
        <w:ind w:left="813" w:right="845" w:firstLine="228"/>
      </w:pPr>
      <w:r>
        <w:rPr/>
        <w:t>Due to what it is relevant is the orientation of the vector, not its magnitude, the re- sultant vector is normalized:</w:t>
      </w:r>
    </w:p>
    <w:p>
      <w:pPr>
        <w:pStyle w:val="BodyText"/>
        <w:spacing w:line="174" w:lineRule="exact" w:before="62"/>
        <w:ind w:right="1633"/>
        <w:jc w:val="center"/>
        <w:rPr>
          <w:rFonts w:ascii="Cambria Math"/>
        </w:rPr>
      </w:pPr>
      <w:r>
        <w:rPr>
          <w:rFonts w:ascii="Cambria Math"/>
          <w:w w:val="102"/>
        </w:rPr>
        <w:t>R</w:t>
      </w:r>
    </w:p>
    <w:p>
      <w:pPr>
        <w:pStyle w:val="BodyText"/>
        <w:tabs>
          <w:tab w:pos="7423" w:val="left" w:leader="none"/>
        </w:tabs>
        <w:spacing w:line="344" w:lineRule="exact"/>
        <w:ind w:left="2803" w:right="421"/>
      </w:pPr>
      <w:r>
        <w:rPr/>
        <w:pict>
          <v:line style="position:absolute;mso-position-horizontal-relative:page;mso-position-vertical-relative:paragraph;z-index:-15256" from="248.158997pt,5.659971pt" to="265.438997pt,5.659971pt" stroked="true" strokeweight=".600010pt" strokecolor="#000000">
            <w10:wrap type="none"/>
          </v:line>
        </w:pict>
      </w:r>
      <w:r>
        <w:rPr>
          <w:rFonts w:ascii="Cambria Math" w:hAnsi="Cambria Math"/>
          <w:w w:val="103"/>
        </w:rPr>
        <w:t>u</w:t>
      </w:r>
      <w:r>
        <w:rPr>
          <w:rFonts w:ascii="Cambria Math" w:hAnsi="Cambria Math"/>
          <w:w w:val="105"/>
          <w:position w:val="-3"/>
          <w:sz w:val="14"/>
        </w:rPr>
        <w:t>R</w:t>
      </w:r>
      <w:r>
        <w:rPr>
          <w:rFonts w:ascii="Cambria Math" w:hAnsi="Cambria Math"/>
          <w:position w:val="-3"/>
          <w:sz w:val="14"/>
        </w:rPr>
        <w:t> </w:t>
      </w:r>
      <w:r>
        <w:rPr>
          <w:rFonts w:ascii="Cambria Math" w:hAnsi="Cambria Math"/>
          <w:spacing w:val="5"/>
          <w:position w:val="-3"/>
          <w:sz w:val="14"/>
        </w:rPr>
        <w:t> </w:t>
      </w:r>
      <w:r>
        <w:rPr>
          <w:rFonts w:ascii="Cambria Math" w:hAnsi="Cambria Math"/>
          <w:w w:val="99"/>
        </w:rPr>
        <w:t>=</w:t>
      </w:r>
      <w:r>
        <w:rPr>
          <w:rFonts w:ascii="Cambria Math" w:hAnsi="Cambria Math"/>
          <w:spacing w:val="13"/>
        </w:rPr>
        <w:t> </w:t>
      </w:r>
      <w:r>
        <w:rPr>
          <w:rFonts w:ascii="Cambria Math" w:hAnsi="Cambria Math"/>
          <w:w w:val="134"/>
          <w:position w:val="-12"/>
        </w:rPr>
        <w:t>"</w:t>
      </w:r>
      <w:r>
        <w:rPr>
          <w:rFonts w:ascii="Cambria Math" w:hAnsi="Cambria Math"/>
          <w:spacing w:val="5"/>
          <w:w w:val="102"/>
          <w:position w:val="-12"/>
        </w:rPr>
        <w:t>R</w:t>
      </w:r>
      <w:r>
        <w:rPr>
          <w:rFonts w:ascii="Cambria Math" w:hAnsi="Cambria Math"/>
          <w:w w:val="134"/>
          <w:position w:val="-12"/>
        </w:rPr>
        <w:t>"</w:t>
      </w:r>
      <w:r>
        <w:rPr>
          <w:rFonts w:ascii="Cambria Math" w:hAnsi="Cambria Math"/>
          <w:spacing w:val="13"/>
          <w:position w:val="-12"/>
        </w:rPr>
        <w:t> </w:t>
      </w:r>
      <w:r>
        <w:rPr>
          <w:rFonts w:ascii="Cambria Math" w:hAnsi="Cambria Math"/>
          <w:w w:val="99"/>
        </w:rPr>
        <w:t>=</w:t>
      </w:r>
      <w:r>
        <w:rPr>
          <w:rFonts w:ascii="Cambria Math" w:hAnsi="Cambria Math"/>
          <w:spacing w:val="11"/>
        </w:rPr>
        <w:t> </w:t>
      </w:r>
      <w:r>
        <w:rPr>
          <w:rFonts w:ascii="Cambria Math" w:hAnsi="Cambria Math"/>
          <w:spacing w:val="-35"/>
          <w:w w:val="114"/>
        </w:rPr>
        <w:t>r</w:t>
      </w:r>
      <w:r>
        <w:rPr>
          <w:rFonts w:ascii="Cambria Math" w:hAnsi="Cambria Math"/>
          <w:spacing w:val="12"/>
          <w:w w:val="116"/>
          <w:position w:val="-3"/>
          <w:sz w:val="14"/>
        </w:rPr>
        <w:t>u</w:t>
      </w:r>
      <w:r>
        <w:rPr>
          <w:rFonts w:ascii="Cambria Math" w:hAnsi="Cambria Math"/>
          <w:spacing w:val="1"/>
          <w:w w:val="73"/>
        </w:rPr>
        <w:t>s</w:t>
      </w:r>
      <w:r>
        <w:rPr>
          <w:rFonts w:ascii="Cambria Math" w:hAnsi="Cambria Math"/>
          <w:w w:val="99"/>
        </w:rPr>
        <w:t>̂</w:t>
      </w:r>
      <w:r>
        <w:rPr>
          <w:rFonts w:ascii="Cambria Math" w:hAnsi="Cambria Math"/>
          <w:spacing w:val="1"/>
        </w:rPr>
        <w:t> </w:t>
      </w:r>
      <w:r>
        <w:rPr>
          <w:rFonts w:ascii="Cambria Math" w:hAnsi="Cambria Math"/>
          <w:w w:val="99"/>
        </w:rPr>
        <w:t>+</w:t>
      </w:r>
      <w:r>
        <w:rPr>
          <w:rFonts w:ascii="Cambria Math" w:hAnsi="Cambria Math"/>
          <w:spacing w:val="-1"/>
        </w:rPr>
        <w:t> </w:t>
      </w:r>
      <w:r>
        <w:rPr>
          <w:rFonts w:ascii="Cambria Math" w:hAnsi="Cambria Math"/>
          <w:spacing w:val="-7"/>
          <w:w w:val="123"/>
        </w:rPr>
        <w:t>g</w:t>
      </w:r>
      <w:r>
        <w:rPr>
          <w:rFonts w:ascii="Cambria Math" w:hAnsi="Cambria Math"/>
          <w:spacing w:val="12"/>
          <w:w w:val="116"/>
          <w:position w:val="-3"/>
          <w:sz w:val="14"/>
        </w:rPr>
        <w:t>u</w:t>
      </w:r>
      <w:r>
        <w:rPr>
          <w:rFonts w:ascii="Cambria Math" w:hAnsi="Cambria Math"/>
          <w:spacing w:val="2"/>
          <w:w w:val="70"/>
        </w:rPr>
        <w:t>y</w:t>
      </w:r>
      <w:r>
        <w:rPr>
          <w:rFonts w:ascii="Cambria Math" w:hAnsi="Cambria Math"/>
          <w:w w:val="99"/>
        </w:rPr>
        <w:t>̂</w:t>
      </w:r>
      <w:r>
        <w:rPr>
          <w:rFonts w:ascii="Cambria Math" w:hAnsi="Cambria Math"/>
          <w:spacing w:val="-1"/>
        </w:rPr>
        <w:t> </w:t>
      </w:r>
      <w:r>
        <w:rPr>
          <w:rFonts w:ascii="Cambria Math" w:hAnsi="Cambria Math"/>
          <w:w w:val="99"/>
        </w:rPr>
        <w:t>+</w:t>
      </w:r>
      <w:r>
        <w:rPr>
          <w:rFonts w:ascii="Cambria Math" w:hAnsi="Cambria Math"/>
          <w:spacing w:val="1"/>
        </w:rPr>
        <w:t> </w:t>
      </w:r>
      <w:r>
        <w:rPr>
          <w:rFonts w:ascii="Cambria Math" w:hAnsi="Cambria Math"/>
          <w:spacing w:val="-7"/>
          <w:w w:val="98"/>
        </w:rPr>
        <w:t>b</w:t>
      </w:r>
      <w:r>
        <w:rPr>
          <w:rFonts w:ascii="Cambria Math" w:hAnsi="Cambria Math"/>
          <w:spacing w:val="12"/>
          <w:w w:val="116"/>
          <w:position w:val="-3"/>
          <w:sz w:val="14"/>
        </w:rPr>
        <w:t>u</w:t>
      </w:r>
      <w:r>
        <w:rPr>
          <w:rFonts w:ascii="Cambria Math" w:hAnsi="Cambria Math"/>
          <w:spacing w:val="-91"/>
          <w:w w:val="104"/>
        </w:rPr>
        <w:t>k</w:t>
      </w:r>
      <w:r>
        <w:rPr>
          <w:rFonts w:ascii="Cambria Math" w:hAnsi="Cambria Math"/>
          <w:w w:val="142"/>
          <w:position w:val="4"/>
        </w:rPr>
        <w:t>ˆ</w:t>
      </w:r>
      <w:r>
        <w:rPr>
          <w:rFonts w:ascii="Cambria Math" w:hAnsi="Cambria Math"/>
          <w:position w:val="4"/>
        </w:rPr>
        <w:tab/>
      </w:r>
      <w:r>
        <w:rPr>
          <w:spacing w:val="1"/>
          <w:w w:val="99"/>
        </w:rPr>
        <w:t>(3)</w:t>
      </w:r>
    </w:p>
    <w:p>
      <w:pPr>
        <w:pStyle w:val="BodyText"/>
        <w:spacing w:line="240" w:lineRule="exact" w:before="96"/>
        <w:ind w:left="813" w:right="806" w:firstLine="228"/>
        <w:jc w:val="both"/>
      </w:pPr>
      <w:r>
        <w:rPr/>
        <w:t>The vector </w:t>
      </w:r>
      <w:r>
        <w:rPr>
          <w:rFonts w:ascii="Cambria Math" w:hAnsi="Cambria Math"/>
        </w:rPr>
        <w:t>u</w:t>
      </w:r>
      <w:r>
        <w:rPr>
          <w:rFonts w:ascii="Cambria Math" w:hAnsi="Cambria Math"/>
          <w:position w:val="-3"/>
          <w:sz w:val="14"/>
        </w:rPr>
        <w:t>R </w:t>
      </w:r>
      <w:r>
        <w:rPr/>
        <w:t>characterizes the color feature; later this vector is fed to a classifier for banknote recognition. Observe that the direction cosines of </w:t>
      </w:r>
      <w:r>
        <w:rPr>
          <w:rFonts w:ascii="Cambria Math" w:hAnsi="Cambria Math"/>
        </w:rPr>
        <w:t>u</w:t>
      </w:r>
      <w:r>
        <w:rPr>
          <w:rFonts w:ascii="Cambria Math" w:hAnsi="Cambria Math"/>
          <w:position w:val="-3"/>
          <w:sz w:val="14"/>
        </w:rPr>
        <w:t>R </w:t>
      </w:r>
      <w:r>
        <w:rPr/>
        <w:t>are  </w:t>
      </w:r>
      <w:r>
        <w:rPr>
          <w:rFonts w:ascii="Cambria Math" w:hAnsi="Cambria Math"/>
        </w:rPr>
        <w:t>cos α</w:t>
      </w:r>
      <w:r>
        <w:rPr>
          <w:rFonts w:ascii="Cambria Math" w:hAnsi="Cambria Math"/>
          <w:position w:val="-3"/>
          <w:sz w:val="14"/>
        </w:rPr>
        <w:t>R  </w:t>
      </w:r>
      <w:r>
        <w:rPr>
          <w:rFonts w:ascii="Cambria Math" w:hAnsi="Cambria Math"/>
        </w:rPr>
        <w:t>= r</w:t>
      </w:r>
      <w:r>
        <w:rPr>
          <w:rFonts w:ascii="Cambria Math" w:hAnsi="Cambria Math"/>
          <w:position w:val="-3"/>
          <w:sz w:val="14"/>
        </w:rPr>
        <w:t>u</w:t>
      </w:r>
      <w:r>
        <w:rPr>
          <w:rFonts w:ascii="Cambria Math" w:hAnsi="Cambria Math"/>
        </w:rPr>
        <w:t>/</w:t>
      </w:r>
      <w:r>
        <w:rPr>
          <w:rFonts w:ascii="Cambria Math" w:hAnsi="Cambria Math"/>
          <w:position w:val="1"/>
        </w:rPr>
        <w:t>"</w:t>
      </w:r>
      <w:r>
        <w:rPr>
          <w:rFonts w:ascii="Cambria Math" w:hAnsi="Cambria Math"/>
        </w:rPr>
        <w:t>u</w:t>
      </w:r>
      <w:r>
        <w:rPr>
          <w:rFonts w:ascii="Cambria Math" w:hAnsi="Cambria Math"/>
          <w:position w:val="-3"/>
          <w:sz w:val="14"/>
        </w:rPr>
        <w:t>R</w:t>
      </w:r>
      <w:r>
        <w:rPr>
          <w:rFonts w:ascii="Cambria Math" w:hAnsi="Cambria Math"/>
          <w:position w:val="1"/>
        </w:rPr>
        <w:t>" </w:t>
      </w:r>
      <w:r>
        <w:rPr/>
        <w:t>, </w:t>
      </w:r>
      <w:r>
        <w:rPr>
          <w:rFonts w:ascii="Cambria Math" w:hAnsi="Cambria Math"/>
        </w:rPr>
        <w:t>cos </w:t>
      </w:r>
      <w:r>
        <w:rPr>
          <w:rFonts w:ascii="Cambria Math" w:hAnsi="Cambria Math"/>
          <w:spacing w:val="-7"/>
        </w:rPr>
        <w:t>þ</w:t>
      </w:r>
      <w:r>
        <w:rPr>
          <w:rFonts w:ascii="Cambria Math" w:hAnsi="Cambria Math"/>
          <w:spacing w:val="-7"/>
          <w:position w:val="-3"/>
          <w:sz w:val="14"/>
        </w:rPr>
        <w:t>R  </w:t>
      </w:r>
      <w:r>
        <w:rPr>
          <w:rFonts w:ascii="Cambria Math" w:hAnsi="Cambria Math"/>
        </w:rPr>
        <w:t>= g</w:t>
      </w:r>
      <w:r>
        <w:rPr>
          <w:rFonts w:ascii="Cambria Math" w:hAnsi="Cambria Math"/>
          <w:position w:val="-3"/>
          <w:sz w:val="14"/>
        </w:rPr>
        <w:t>u</w:t>
      </w:r>
      <w:r>
        <w:rPr>
          <w:rFonts w:ascii="Cambria Math" w:hAnsi="Cambria Math"/>
        </w:rPr>
        <w:t>/</w:t>
      </w:r>
      <w:r>
        <w:rPr>
          <w:rFonts w:ascii="Cambria Math" w:hAnsi="Cambria Math"/>
          <w:position w:val="1"/>
        </w:rPr>
        <w:t>"</w:t>
      </w:r>
      <w:r>
        <w:rPr>
          <w:rFonts w:ascii="Cambria Math" w:hAnsi="Cambria Math"/>
        </w:rPr>
        <w:t>u</w:t>
      </w:r>
      <w:r>
        <w:rPr>
          <w:rFonts w:ascii="Cambria Math" w:hAnsi="Cambria Math"/>
          <w:position w:val="-3"/>
          <w:sz w:val="14"/>
        </w:rPr>
        <w:t>R</w:t>
      </w:r>
      <w:r>
        <w:rPr>
          <w:rFonts w:ascii="Cambria Math" w:hAnsi="Cambria Math"/>
          <w:position w:val="1"/>
        </w:rPr>
        <w:t>"  </w:t>
      </w:r>
      <w:r>
        <w:rPr/>
        <w:t>and  </w:t>
      </w:r>
      <w:r>
        <w:rPr>
          <w:rFonts w:ascii="Cambria Math" w:hAnsi="Cambria Math"/>
        </w:rPr>
        <w:t>cos </w:t>
      </w:r>
      <w:r>
        <w:rPr>
          <w:rFonts w:ascii="Cambria Math" w:hAnsi="Cambria Math"/>
          <w:spacing w:val="-4"/>
        </w:rPr>
        <w:t>8</w:t>
      </w:r>
      <w:r>
        <w:rPr>
          <w:rFonts w:ascii="Cambria Math" w:hAnsi="Cambria Math"/>
          <w:spacing w:val="-4"/>
          <w:position w:val="-3"/>
          <w:sz w:val="14"/>
        </w:rPr>
        <w:t>R  </w:t>
      </w:r>
      <w:r>
        <w:rPr>
          <w:rFonts w:ascii="Cambria Math" w:hAnsi="Cambria Math"/>
        </w:rPr>
        <w:t>= </w:t>
      </w:r>
      <w:r>
        <w:rPr>
          <w:rFonts w:ascii="Cambria Math" w:hAnsi="Cambria Math"/>
          <w:spacing w:val="2"/>
        </w:rPr>
        <w:t>b</w:t>
      </w:r>
      <w:r>
        <w:rPr>
          <w:rFonts w:ascii="Cambria Math" w:hAnsi="Cambria Math"/>
          <w:spacing w:val="2"/>
          <w:position w:val="-3"/>
          <w:sz w:val="14"/>
        </w:rPr>
        <w:t>u</w:t>
      </w:r>
      <w:r>
        <w:rPr>
          <w:rFonts w:ascii="Cambria Math" w:hAnsi="Cambria Math"/>
          <w:spacing w:val="2"/>
        </w:rPr>
        <w:t>/</w:t>
      </w:r>
      <w:r>
        <w:rPr>
          <w:rFonts w:ascii="Cambria Math" w:hAnsi="Cambria Math"/>
          <w:spacing w:val="2"/>
          <w:position w:val="1"/>
        </w:rPr>
        <w:t>"</w:t>
      </w:r>
      <w:r>
        <w:rPr>
          <w:rFonts w:ascii="Cambria Math" w:hAnsi="Cambria Math"/>
          <w:spacing w:val="2"/>
        </w:rPr>
        <w:t>u</w:t>
      </w:r>
      <w:r>
        <w:rPr>
          <w:rFonts w:ascii="Cambria Math" w:hAnsi="Cambria Math"/>
          <w:spacing w:val="2"/>
          <w:position w:val="-3"/>
          <w:sz w:val="14"/>
        </w:rPr>
        <w:t>R</w:t>
      </w:r>
      <w:r>
        <w:rPr>
          <w:rFonts w:ascii="Cambria Math" w:hAnsi="Cambria Math"/>
          <w:spacing w:val="2"/>
          <w:position w:val="1"/>
        </w:rPr>
        <w:t>" </w:t>
      </w:r>
      <w:r>
        <w:rPr/>
        <w:t>.  Moreover  </w:t>
      </w:r>
      <w:r>
        <w:rPr>
          <w:rFonts w:ascii="Cambria Math" w:hAnsi="Cambria Math"/>
          <w:spacing w:val="2"/>
          <w:position w:val="1"/>
        </w:rPr>
        <w:t>"</w:t>
      </w:r>
      <w:r>
        <w:rPr>
          <w:rFonts w:ascii="Cambria Math" w:hAnsi="Cambria Math"/>
          <w:spacing w:val="2"/>
        </w:rPr>
        <w:t>u</w:t>
      </w:r>
      <w:r>
        <w:rPr>
          <w:rFonts w:ascii="Cambria Math" w:hAnsi="Cambria Math"/>
          <w:spacing w:val="2"/>
          <w:position w:val="-3"/>
          <w:sz w:val="14"/>
        </w:rPr>
        <w:t>R</w:t>
      </w:r>
      <w:r>
        <w:rPr>
          <w:rFonts w:ascii="Cambria Math" w:hAnsi="Cambria Math"/>
          <w:spacing w:val="2"/>
          <w:position w:val="1"/>
        </w:rPr>
        <w:t>" </w:t>
      </w:r>
      <w:r>
        <w:rPr>
          <w:rFonts w:ascii="Cambria Math" w:hAnsi="Cambria Math"/>
        </w:rPr>
        <w:t>= 1 </w:t>
      </w:r>
      <w:r>
        <w:rPr/>
        <w:t>,  there-  fore, the components of the vector </w:t>
      </w:r>
      <w:r>
        <w:rPr>
          <w:rFonts w:ascii="Cambria Math" w:hAnsi="Cambria Math"/>
        </w:rPr>
        <w:t>u</w:t>
      </w:r>
      <w:r>
        <w:rPr>
          <w:rFonts w:ascii="Cambria Math" w:hAnsi="Cambria Math"/>
          <w:position w:val="-3"/>
          <w:sz w:val="14"/>
        </w:rPr>
        <w:t>R </w:t>
      </w:r>
      <w:r>
        <w:rPr/>
        <w:t>are the cosines of the angles between the vec- tor and the basis vectors. So, the orientation of  </w:t>
      </w:r>
      <w:r>
        <w:rPr>
          <w:rFonts w:ascii="Cambria Math" w:hAnsi="Cambria Math"/>
        </w:rPr>
        <w:t>R  </w:t>
      </w:r>
      <w:r>
        <w:rPr/>
        <w:t>is implicit in</w:t>
      </w:r>
      <w:r>
        <w:rPr>
          <w:spacing w:val="1"/>
        </w:rPr>
        <w:t> </w:t>
      </w:r>
      <w:r>
        <w:rPr>
          <w:rFonts w:ascii="Cambria Math" w:hAnsi="Cambria Math"/>
          <w:spacing w:val="3"/>
        </w:rPr>
        <w:t>u</w:t>
      </w:r>
      <w:r>
        <w:rPr>
          <w:rFonts w:ascii="Cambria Math" w:hAnsi="Cambria Math"/>
          <w:spacing w:val="3"/>
          <w:position w:val="-3"/>
          <w:sz w:val="14"/>
        </w:rPr>
        <w:t>R</w:t>
      </w:r>
      <w:r>
        <w:rPr>
          <w:spacing w:val="3"/>
        </w:rPr>
        <w:t>.</w:t>
      </w:r>
    </w:p>
    <w:p>
      <w:pPr>
        <w:pStyle w:val="BodyText"/>
        <w:rPr>
          <w:sz w:val="22"/>
        </w:rPr>
      </w:pPr>
    </w:p>
    <w:p>
      <w:pPr>
        <w:pStyle w:val="Heading1"/>
        <w:numPr>
          <w:ilvl w:val="0"/>
          <w:numId w:val="1"/>
        </w:numPr>
        <w:tabs>
          <w:tab w:pos="1380" w:val="left" w:leader="none"/>
        </w:tabs>
        <w:spacing w:line="240" w:lineRule="auto" w:before="130" w:after="0"/>
        <w:ind w:left="1380" w:right="0" w:hanging="567"/>
        <w:jc w:val="both"/>
      </w:pPr>
      <w:r>
        <w:rPr/>
        <w:t>Selection of Discriminative</w:t>
      </w:r>
      <w:r>
        <w:rPr>
          <w:spacing w:val="-17"/>
        </w:rPr>
        <w:t> </w:t>
      </w:r>
      <w:r>
        <w:rPr/>
        <w:t>Colors</w:t>
      </w:r>
    </w:p>
    <w:p>
      <w:pPr>
        <w:pStyle w:val="BodyText"/>
        <w:spacing w:before="4"/>
        <w:rPr>
          <w:b/>
          <w:sz w:val="21"/>
        </w:rPr>
      </w:pPr>
    </w:p>
    <w:p>
      <w:pPr>
        <w:pStyle w:val="BodyText"/>
        <w:spacing w:line="249" w:lineRule="auto"/>
        <w:ind w:left="813" w:right="807"/>
        <w:jc w:val="both"/>
      </w:pPr>
      <w:r>
        <w:rPr/>
        <w:t>The resulting vector includes colors that may not provide relevant data of the bank- note that may alter the accuracy of the characterization; hence, there are eliminated these colors of the paper currency’s image. Thus, the colors with high variance are eliminated because they are considered as not important data.</w:t>
      </w:r>
    </w:p>
    <w:p>
      <w:pPr>
        <w:pStyle w:val="BodyText"/>
        <w:spacing w:line="249" w:lineRule="auto" w:before="1"/>
        <w:ind w:left="813" w:right="805" w:firstLine="228"/>
        <w:jc w:val="both"/>
      </w:pPr>
      <w:r>
        <w:rPr/>
        <w:t>Despite we assume the illumination conditions do not vary during the image acqui- sition, the colors printed on the paper currency may lose their intensities because the banknotes may be worn-out or they may have dirt. Due to the RGB space is sensible to color intensity, several color preprocessing applications are performed in the Hue, Saturation and Value (HSV) color space [13], [15] because the Value component, also known as intensity, is decoupled from the chromaticity of the color. So, we apply, separately, the color selection in the RGB space and in the HSV space. This lets us compare which space is convenient to perform the color</w:t>
      </w:r>
      <w:r>
        <w:rPr>
          <w:spacing w:val="-29"/>
        </w:rPr>
        <w:t> </w:t>
      </w:r>
      <w:r>
        <w:rPr/>
        <w:t>selection.</w:t>
      </w:r>
    </w:p>
    <w:p>
      <w:pPr>
        <w:spacing w:after="0" w:line="249" w:lineRule="auto"/>
        <w:jc w:val="both"/>
        <w:sectPr>
          <w:type w:val="continuous"/>
          <w:pgSz w:w="11900" w:h="16840"/>
          <w:pgMar w:top="1600" w:bottom="280" w:left="1680" w:right="1680"/>
        </w:sectPr>
      </w:pPr>
    </w:p>
    <w:p>
      <w:pPr>
        <w:pStyle w:val="BodyText"/>
        <w:spacing w:before="7"/>
        <w:rPr>
          <w:sz w:val="23"/>
        </w:rPr>
      </w:pPr>
    </w:p>
    <w:p>
      <w:pPr>
        <w:pStyle w:val="Heading2"/>
        <w:numPr>
          <w:ilvl w:val="1"/>
          <w:numId w:val="1"/>
        </w:numPr>
        <w:tabs>
          <w:tab w:pos="1380" w:val="left" w:leader="none"/>
        </w:tabs>
        <w:spacing w:line="240" w:lineRule="auto" w:before="75" w:after="0"/>
        <w:ind w:left="1380" w:right="0" w:hanging="567"/>
        <w:jc w:val="both"/>
      </w:pPr>
      <w:r>
        <w:rPr/>
        <w:t>Preliminaries</w:t>
      </w:r>
    </w:p>
    <w:p>
      <w:pPr>
        <w:pStyle w:val="BodyText"/>
        <w:spacing w:line="240" w:lineRule="exact" w:before="163"/>
        <w:ind w:left="813" w:right="807"/>
        <w:jc w:val="both"/>
      </w:pPr>
      <w:r>
        <w:rPr/>
        <w:t>Computing the mean and variance of vectors involves the following mathematical operations. Let </w:t>
      </w:r>
      <w:r>
        <w:rPr>
          <w:rFonts w:ascii="Cambria Math" w:hAnsi="Cambria Math"/>
          <w:position w:val="1"/>
        </w:rPr>
        <w:t>{</w:t>
      </w:r>
      <w:r>
        <w:rPr>
          <w:rFonts w:ascii="Cambria Math" w:hAnsi="Cambria Math"/>
        </w:rPr>
        <w:t>$</w:t>
      </w:r>
      <w:r>
        <w:rPr>
          <w:rFonts w:ascii="Cambria Math" w:hAnsi="Cambria Math"/>
          <w:position w:val="-3"/>
          <w:sz w:val="14"/>
        </w:rPr>
        <w:t>1</w:t>
      </w:r>
      <w:r>
        <w:rPr>
          <w:rFonts w:ascii="Cambria Math" w:hAnsi="Cambria Math"/>
        </w:rPr>
        <w:t>,…, $</w:t>
      </w:r>
      <w:r>
        <w:rPr>
          <w:rFonts w:ascii="Cambria Math" w:hAnsi="Cambria Math"/>
          <w:position w:val="-3"/>
          <w:sz w:val="14"/>
        </w:rPr>
        <w:t>m</w:t>
      </w:r>
      <w:r>
        <w:rPr>
          <w:rFonts w:ascii="Cambria Math" w:hAnsi="Cambria Math"/>
          <w:position w:val="1"/>
        </w:rPr>
        <w:t>} </w:t>
      </w:r>
      <w:r>
        <w:rPr>
          <w:rFonts w:ascii="Cambria Math" w:hAnsi="Cambria Math"/>
        </w:rPr>
        <w:t>&lt; %</w:t>
      </w:r>
      <w:r>
        <w:rPr>
          <w:rFonts w:ascii="Cambria Math" w:hAnsi="Cambria Math"/>
          <w:position w:val="7"/>
          <w:sz w:val="14"/>
        </w:rPr>
        <w:t>n </w:t>
      </w:r>
      <w:r>
        <w:rPr/>
        <w:t>a set of vectors, the mean of the vectors is com- puted with:</w:t>
      </w:r>
    </w:p>
    <w:p>
      <w:pPr>
        <w:spacing w:line="109" w:lineRule="exact" w:before="0"/>
        <w:ind w:left="0" w:right="103" w:firstLine="0"/>
        <w:jc w:val="center"/>
        <w:rPr>
          <w:rFonts w:ascii="Cambria Math"/>
          <w:sz w:val="14"/>
        </w:rPr>
      </w:pPr>
      <w:r>
        <w:rPr>
          <w:rFonts w:ascii="Cambria Math"/>
          <w:w w:val="111"/>
          <w:sz w:val="14"/>
        </w:rPr>
        <w:t>m</w:t>
      </w:r>
    </w:p>
    <w:p>
      <w:pPr>
        <w:pStyle w:val="BodyText"/>
        <w:spacing w:line="145" w:lineRule="exact"/>
        <w:ind w:right="613"/>
        <w:jc w:val="center"/>
        <w:rPr>
          <w:rFonts w:ascii="Cambria Math"/>
        </w:rPr>
      </w:pPr>
      <w:r>
        <w:rPr>
          <w:rFonts w:ascii="Cambria Math"/>
          <w:w w:val="99"/>
        </w:rPr>
        <w:t>1</w:t>
      </w:r>
    </w:p>
    <w:p>
      <w:pPr>
        <w:spacing w:after="0" w:line="145" w:lineRule="exact"/>
        <w:jc w:val="center"/>
        <w:rPr>
          <w:rFonts w:ascii="Cambria Math"/>
        </w:rPr>
        <w:sectPr>
          <w:pgSz w:w="11900" w:h="16840"/>
          <w:pgMar w:header="2409" w:footer="0" w:top="2600" w:bottom="280" w:left="1680" w:right="1680"/>
        </w:sectPr>
      </w:pPr>
    </w:p>
    <w:p>
      <w:pPr>
        <w:spacing w:line="311" w:lineRule="exact" w:before="0"/>
        <w:ind w:left="0" w:right="0" w:firstLine="0"/>
        <w:jc w:val="right"/>
        <w:rPr>
          <w:rFonts w:ascii="Cambria Math" w:hAnsi="Cambria Math"/>
          <w:sz w:val="14"/>
        </w:rPr>
      </w:pPr>
      <w:r>
        <w:rPr/>
        <w:pict>
          <v:line style="position:absolute;mso-position-horizontal-relative:page;mso-position-vertical-relative:paragraph;z-index:-15232" from="277.919006pt,5.252308pt" to="286.439007pt,5.252308pt" stroked="true" strokeweight=".60004pt" strokecolor="#000000">
            <w10:wrap type="none"/>
          </v:line>
        </w:pict>
      </w:r>
      <w:r>
        <w:rPr>
          <w:rFonts w:ascii="Cambria Math" w:hAnsi="Cambria Math"/>
          <w:w w:val="120"/>
          <w:sz w:val="20"/>
        </w:rPr>
        <w:t>µ</w:t>
      </w:r>
      <w:r>
        <w:rPr>
          <w:rFonts w:ascii="Cambria Math" w:hAnsi="Cambria Math"/>
          <w:w w:val="120"/>
          <w:position w:val="-3"/>
          <w:sz w:val="14"/>
        </w:rPr>
        <w:t>$ </w:t>
      </w:r>
      <w:r>
        <w:rPr>
          <w:rFonts w:ascii="Cambria Math" w:hAnsi="Cambria Math"/>
          <w:w w:val="120"/>
          <w:sz w:val="20"/>
        </w:rPr>
        <w:t>= </w:t>
      </w:r>
      <w:r>
        <w:rPr>
          <w:rFonts w:ascii="Cambria Math" w:hAnsi="Cambria Math"/>
          <w:w w:val="120"/>
          <w:position w:val="-12"/>
          <w:sz w:val="20"/>
        </w:rPr>
        <w:t>m </w:t>
      </w:r>
      <w:r>
        <w:rPr>
          <w:rFonts w:ascii="Cambria Math" w:hAnsi="Cambria Math"/>
          <w:w w:val="300"/>
          <w:sz w:val="20"/>
        </w:rPr>
        <w:t>)</w:t>
      </w:r>
      <w:r>
        <w:rPr>
          <w:rFonts w:ascii="Cambria Math" w:hAnsi="Cambria Math"/>
          <w:spacing w:val="-113"/>
          <w:w w:val="300"/>
          <w:sz w:val="20"/>
        </w:rPr>
        <w:t> </w:t>
      </w:r>
      <w:r>
        <w:rPr>
          <w:rFonts w:ascii="Cambria Math" w:hAnsi="Cambria Math"/>
          <w:spacing w:val="-4"/>
          <w:w w:val="120"/>
          <w:sz w:val="20"/>
        </w:rPr>
        <w:t>$</w:t>
      </w:r>
      <w:r>
        <w:rPr>
          <w:rFonts w:ascii="Cambria Math" w:hAnsi="Cambria Math"/>
          <w:spacing w:val="-4"/>
          <w:w w:val="120"/>
          <w:position w:val="-3"/>
          <w:sz w:val="14"/>
        </w:rPr>
        <w:t>p</w:t>
      </w:r>
    </w:p>
    <w:p>
      <w:pPr>
        <w:spacing w:line="139" w:lineRule="exact" w:before="0"/>
        <w:ind w:left="0" w:right="249" w:firstLine="0"/>
        <w:jc w:val="right"/>
        <w:rPr>
          <w:rFonts w:ascii="Cambria Math"/>
          <w:sz w:val="14"/>
        </w:rPr>
      </w:pPr>
      <w:r>
        <w:rPr>
          <w:rFonts w:ascii="Cambria Math"/>
          <w:sz w:val="14"/>
        </w:rPr>
        <w:t>p=1</w:t>
      </w:r>
    </w:p>
    <w:p>
      <w:pPr>
        <w:spacing w:line="219" w:lineRule="exact" w:before="0"/>
        <w:ind w:left="0" w:right="941" w:firstLine="0"/>
        <w:jc w:val="right"/>
        <w:rPr>
          <w:sz w:val="20"/>
        </w:rPr>
      </w:pPr>
      <w:r>
        <w:rPr/>
        <w:br w:type="column"/>
      </w:r>
      <w:r>
        <w:rPr>
          <w:sz w:val="20"/>
        </w:rPr>
        <w:t>(4)</w:t>
      </w:r>
    </w:p>
    <w:p>
      <w:pPr>
        <w:spacing w:after="0" w:line="219" w:lineRule="exact"/>
        <w:jc w:val="right"/>
        <w:rPr>
          <w:sz w:val="20"/>
        </w:rPr>
        <w:sectPr>
          <w:type w:val="continuous"/>
          <w:pgSz w:w="11900" w:h="16840"/>
          <w:pgMar w:top="1600" w:bottom="280" w:left="1680" w:right="1680"/>
          <w:cols w:num="2" w:equalWidth="0">
            <w:col w:w="4607" w:space="40"/>
            <w:col w:w="3893"/>
          </w:cols>
        </w:sectPr>
      </w:pPr>
    </w:p>
    <w:p>
      <w:pPr>
        <w:pStyle w:val="BodyText"/>
        <w:spacing w:before="16"/>
        <w:ind w:left="1041" w:right="845"/>
      </w:pPr>
      <w:r>
        <w:rPr>
          <w:w w:val="105"/>
        </w:rPr>
        <w:t>The covariance matrix </w:t>
      </w:r>
      <w:r>
        <w:rPr>
          <w:rFonts w:ascii="Cambria Math"/>
          <w:w w:val="105"/>
        </w:rPr>
        <w:t>fi </w:t>
      </w:r>
      <w:r>
        <w:rPr>
          <w:w w:val="105"/>
        </w:rPr>
        <w:t>is built:</w:t>
      </w:r>
    </w:p>
    <w:p>
      <w:pPr>
        <w:pStyle w:val="BodyText"/>
        <w:spacing w:before="7"/>
        <w:rPr>
          <w:sz w:val="13"/>
        </w:rPr>
      </w:pPr>
    </w:p>
    <w:p>
      <w:pPr>
        <w:spacing w:after="0"/>
        <w:rPr>
          <w:sz w:val="13"/>
        </w:rPr>
        <w:sectPr>
          <w:type w:val="continuous"/>
          <w:pgSz w:w="11900" w:h="16840"/>
          <w:pgMar w:top="1600" w:bottom="280" w:left="1680" w:right="1680"/>
        </w:sectPr>
      </w:pPr>
    </w:p>
    <w:p>
      <w:pPr>
        <w:pStyle w:val="BodyText"/>
        <w:spacing w:line="194" w:lineRule="exact" w:before="72"/>
        <w:ind w:right="25"/>
        <w:jc w:val="right"/>
        <w:rPr>
          <w:rFonts w:ascii="Cambria Math"/>
        </w:rPr>
      </w:pPr>
      <w:r>
        <w:rPr>
          <w:rFonts w:ascii="Cambria Math"/>
          <w:w w:val="99"/>
        </w:rPr>
        <w:t>1</w:t>
      </w:r>
    </w:p>
    <w:p>
      <w:pPr>
        <w:pStyle w:val="BodyText"/>
        <w:spacing w:line="144" w:lineRule="exact"/>
        <w:ind w:right="167"/>
        <w:jc w:val="right"/>
        <w:rPr>
          <w:rFonts w:ascii="Cambria Math"/>
        </w:rPr>
      </w:pPr>
      <w:r>
        <w:rPr/>
        <w:pict>
          <v:line style="position:absolute;mso-position-horizontal-relative:page;mso-position-vertical-relative:paragraph;z-index:1360" from="277.438995pt,4.660978pt" to="285.958996pt,4.660978pt" stroked="true" strokeweight=".599980pt" strokecolor="#000000">
            <w10:wrap type="none"/>
          </v:line>
        </w:pict>
      </w:r>
      <w:r>
        <w:rPr>
          <w:rFonts w:ascii="Cambria Math"/>
          <w:w w:val="115"/>
        </w:rPr>
        <w:t>fi=</w:t>
      </w:r>
      <w:r>
        <w:rPr>
          <w:rFonts w:ascii="Cambria Math"/>
        </w:rPr>
        <w:t> </w:t>
      </w:r>
    </w:p>
    <w:p>
      <w:pPr>
        <w:pStyle w:val="BodyText"/>
        <w:spacing w:line="184" w:lineRule="exact"/>
        <w:jc w:val="right"/>
        <w:rPr>
          <w:rFonts w:ascii="Cambria Math"/>
        </w:rPr>
      </w:pPr>
      <w:r>
        <w:rPr>
          <w:rFonts w:ascii="Cambria Math"/>
          <w:w w:val="100"/>
        </w:rPr>
        <w:t>m</w:t>
      </w:r>
    </w:p>
    <w:p>
      <w:pPr>
        <w:pStyle w:val="BodyText"/>
        <w:spacing w:before="9"/>
        <w:rPr>
          <w:rFonts w:ascii="Cambria Math"/>
          <w:sz w:val="17"/>
        </w:rPr>
      </w:pPr>
      <w:r>
        <w:rPr/>
        <w:br w:type="column"/>
      </w:r>
      <w:r>
        <w:rPr>
          <w:rFonts w:ascii="Cambria Math"/>
          <w:sz w:val="17"/>
        </w:rPr>
      </w:r>
    </w:p>
    <w:p>
      <w:pPr>
        <w:tabs>
          <w:tab w:pos="3268" w:val="left" w:leader="none"/>
        </w:tabs>
        <w:spacing w:before="1"/>
        <w:ind w:left="-3" w:right="0" w:firstLine="0"/>
        <w:jc w:val="left"/>
        <w:rPr>
          <w:sz w:val="20"/>
        </w:rPr>
      </w:pPr>
      <w:r>
        <w:rPr>
          <w:rFonts w:ascii="Cambria Math"/>
          <w:spacing w:val="2"/>
          <w:w w:val="120"/>
          <w:sz w:val="20"/>
        </w:rPr>
        <w:t>00</w:t>
      </w:r>
      <w:r>
        <w:rPr>
          <w:rFonts w:ascii="Cambria Math"/>
          <w:spacing w:val="2"/>
          <w:w w:val="120"/>
          <w:position w:val="7"/>
          <w:sz w:val="14"/>
        </w:rPr>
        <w:t>T</w:t>
        <w:tab/>
      </w:r>
      <w:r>
        <w:rPr>
          <w:w w:val="120"/>
          <w:position w:val="2"/>
          <w:sz w:val="20"/>
        </w:rPr>
        <w:t>(5)</w:t>
      </w:r>
    </w:p>
    <w:p>
      <w:pPr>
        <w:spacing w:after="0"/>
        <w:jc w:val="left"/>
        <w:rPr>
          <w:sz w:val="20"/>
        </w:rPr>
        <w:sectPr>
          <w:type w:val="continuous"/>
          <w:pgSz w:w="11900" w:h="16840"/>
          <w:pgMar w:top="1600" w:bottom="280" w:left="1680" w:right="1680"/>
          <w:cols w:num="2" w:equalWidth="0">
            <w:col w:w="4036" w:space="40"/>
            <w:col w:w="4464"/>
          </w:cols>
        </w:sectPr>
      </w:pPr>
    </w:p>
    <w:p>
      <w:pPr>
        <w:pStyle w:val="BodyText"/>
        <w:spacing w:line="255" w:lineRule="exact" w:before="56"/>
        <w:ind w:left="1041" w:right="421"/>
      </w:pPr>
      <w:r>
        <w:rPr>
          <w:w w:val="105"/>
        </w:rPr>
        <w:t>Where </w:t>
      </w:r>
      <w:r>
        <w:rPr>
          <w:rFonts w:ascii="Cambria Math" w:hAnsi="Cambria Math"/>
          <w:w w:val="105"/>
        </w:rPr>
        <w:t>0 = [$</w:t>
      </w:r>
      <w:r>
        <w:rPr>
          <w:rFonts w:ascii="Cambria Math" w:hAnsi="Cambria Math"/>
          <w:w w:val="105"/>
          <w:position w:val="-3"/>
          <w:sz w:val="14"/>
        </w:rPr>
        <w:t>1 </w:t>
      </w:r>
      <w:r>
        <w:rPr>
          <w:rFonts w:ascii="Cambria Math" w:hAnsi="Cambria Math"/>
          <w:w w:val="105"/>
        </w:rPr>
        <w:t>— µ</w:t>
      </w:r>
      <w:r>
        <w:rPr>
          <w:rFonts w:ascii="Cambria Math" w:hAnsi="Cambria Math"/>
          <w:w w:val="105"/>
          <w:position w:val="-3"/>
          <w:sz w:val="14"/>
        </w:rPr>
        <w:t>$</w:t>
      </w:r>
      <w:r>
        <w:rPr>
          <w:rFonts w:ascii="Cambria Math" w:hAnsi="Cambria Math"/>
          <w:w w:val="105"/>
        </w:rPr>
        <w:t>,… , $</w:t>
      </w:r>
      <w:r>
        <w:rPr>
          <w:rFonts w:ascii="Cambria Math" w:hAnsi="Cambria Math"/>
          <w:w w:val="105"/>
          <w:position w:val="-3"/>
          <w:sz w:val="14"/>
        </w:rPr>
        <w:t>m </w:t>
      </w:r>
      <w:r>
        <w:rPr>
          <w:rFonts w:ascii="Cambria Math" w:hAnsi="Cambria Math"/>
          <w:w w:val="105"/>
        </w:rPr>
        <w:t>— µ</w:t>
      </w:r>
      <w:r>
        <w:rPr>
          <w:rFonts w:ascii="Cambria Math" w:hAnsi="Cambria Math"/>
          <w:w w:val="105"/>
          <w:position w:val="-3"/>
          <w:sz w:val="14"/>
        </w:rPr>
        <w:t>$</w:t>
      </w:r>
      <w:r>
        <w:rPr>
          <w:rFonts w:ascii="Cambria Math" w:hAnsi="Cambria Math"/>
          <w:w w:val="105"/>
        </w:rPr>
        <w:t>]</w:t>
      </w:r>
      <w:r>
        <w:rPr>
          <w:w w:val="105"/>
        </w:rPr>
        <w:t>; the variance value is obtained by computing</w:t>
      </w:r>
    </w:p>
    <w:p>
      <w:pPr>
        <w:pStyle w:val="BodyText"/>
        <w:spacing w:line="278" w:lineRule="auto"/>
        <w:ind w:left="813" w:right="845"/>
      </w:pPr>
      <w:r>
        <w:rPr/>
        <w:pict>
          <v:line style="position:absolute;mso-position-horizontal-relative:page;mso-position-vertical-relative:paragraph;z-index:-15208" from="286.678986pt,34.831402pt" to="319.918987pt,34.831402pt" stroked="true" strokeweight=".600010pt" strokecolor="#000000">
            <w10:wrap type="none"/>
          </v:line>
        </w:pict>
      </w:r>
      <w:r>
        <w:rPr/>
        <w:pict>
          <v:shape style="position:absolute;margin-left:300.959015pt;margin-top:7.410769pt;width:5.35pt;height:7pt;mso-position-horizontal-relative:page;mso-position-vertical-relative:paragraph;z-index:-15160" type="#_x0000_t202" filled="false" stroked="false">
            <v:textbox inset="0,0,0,0">
              <w:txbxContent>
                <w:p>
                  <w:pPr>
                    <w:spacing w:line="139" w:lineRule="exact" w:before="0"/>
                    <w:ind w:left="0" w:right="0" w:firstLine="0"/>
                    <w:jc w:val="left"/>
                    <w:rPr>
                      <w:rFonts w:ascii="Cambria Math"/>
                      <w:sz w:val="14"/>
                    </w:rPr>
                  </w:pPr>
                  <w:r>
                    <w:rPr>
                      <w:rFonts w:ascii="Cambria Math"/>
                      <w:w w:val="150"/>
                      <w:sz w:val="14"/>
                    </w:rPr>
                    <w:t>$</w:t>
                  </w:r>
                </w:p>
              </w:txbxContent>
            </v:textbox>
            <w10:wrap type="none"/>
          </v:shape>
        </w:pict>
      </w:r>
      <w:r>
        <w:rPr/>
        <w:t>the norm of the covariance matrix, that is </w:t>
      </w:r>
      <w:r>
        <w:rPr>
          <w:rFonts w:ascii="Cambria Math"/>
        </w:rPr>
        <w:t>o</w:t>
      </w:r>
      <w:r>
        <w:rPr>
          <w:rFonts w:ascii="Cambria Math"/>
          <w:position w:val="8"/>
          <w:sz w:val="14"/>
        </w:rPr>
        <w:t>2 </w:t>
      </w:r>
      <w:r>
        <w:rPr>
          <w:rFonts w:ascii="Cambria Math"/>
        </w:rPr>
        <w:t>= </w:t>
      </w:r>
      <w:r>
        <w:rPr>
          <w:rFonts w:ascii="Cambria Math"/>
          <w:position w:val="1"/>
        </w:rPr>
        <w:t>"</w:t>
      </w:r>
      <w:r>
        <w:rPr>
          <w:rFonts w:ascii="Cambria Math"/>
        </w:rPr>
        <w:t>fi</w:t>
      </w:r>
      <w:r>
        <w:rPr>
          <w:rFonts w:ascii="Cambria Math"/>
          <w:position w:val="1"/>
        </w:rPr>
        <w:t>"</w:t>
      </w:r>
      <w:r>
        <w:rPr/>
        <w:t>. The norm of the matrix is com- puted with [16]:</w:t>
      </w:r>
    </w:p>
    <w:p>
      <w:pPr>
        <w:pStyle w:val="BodyText"/>
        <w:tabs>
          <w:tab w:pos="7360" w:val="left" w:leader="none"/>
        </w:tabs>
        <w:spacing w:before="117"/>
        <w:ind w:left="3285" w:right="845"/>
      </w:pPr>
      <w:r>
        <w:rPr>
          <w:rFonts w:ascii="Cambria Math" w:hAnsi="Cambria Math"/>
          <w:w w:val="134"/>
          <w:position w:val="1"/>
        </w:rPr>
        <w:t>"</w:t>
      </w:r>
      <w:r>
        <w:rPr>
          <w:rFonts w:ascii="Cambria Math" w:hAnsi="Cambria Math"/>
          <w:w w:val="126"/>
        </w:rPr>
        <w:t>f</w:t>
      </w:r>
      <w:r>
        <w:rPr>
          <w:rFonts w:ascii="Cambria Math" w:hAnsi="Cambria Math"/>
          <w:spacing w:val="-1"/>
          <w:w w:val="126"/>
        </w:rPr>
        <w:t>i</w:t>
      </w:r>
      <w:r>
        <w:rPr>
          <w:rFonts w:ascii="Cambria Math" w:hAnsi="Cambria Math"/>
          <w:w w:val="134"/>
          <w:position w:val="1"/>
        </w:rPr>
        <w:t>"</w:t>
      </w:r>
      <w:r>
        <w:rPr>
          <w:rFonts w:ascii="Cambria Math" w:hAnsi="Cambria Math"/>
          <w:spacing w:val="13"/>
          <w:position w:val="1"/>
        </w:rPr>
        <w:t> </w:t>
      </w:r>
      <w:r>
        <w:rPr>
          <w:rFonts w:ascii="Cambria Math" w:hAnsi="Cambria Math"/>
          <w:w w:val="99"/>
        </w:rPr>
        <w:t>=</w:t>
      </w:r>
      <w:r>
        <w:rPr>
          <w:rFonts w:ascii="Cambria Math" w:hAnsi="Cambria Math"/>
          <w:spacing w:val="11"/>
        </w:rPr>
        <w:t> </w:t>
      </w:r>
      <w:r>
        <w:rPr>
          <w:rFonts w:ascii="Cambria Math" w:hAnsi="Cambria Math"/>
          <w:w w:val="244"/>
        </w:rPr>
        <w:t>ƒ</w:t>
      </w:r>
      <w:r>
        <w:rPr>
          <w:rFonts w:ascii="Cambria Math" w:hAnsi="Cambria Math"/>
          <w:spacing w:val="4"/>
          <w:w w:val="91"/>
        </w:rPr>
        <w:t>ß</w:t>
      </w:r>
      <w:r>
        <w:rPr>
          <w:rFonts w:ascii="Cambria Math" w:hAnsi="Cambria Math"/>
          <w:spacing w:val="-2"/>
          <w:w w:val="91"/>
        </w:rPr>
        <w:t>(</w:t>
      </w:r>
      <w:r>
        <w:rPr>
          <w:rFonts w:ascii="Cambria Math" w:hAnsi="Cambria Math"/>
          <w:w w:val="126"/>
        </w:rPr>
        <w:t>f</w:t>
      </w:r>
      <w:r>
        <w:rPr>
          <w:rFonts w:ascii="Cambria Math" w:hAnsi="Cambria Math"/>
          <w:spacing w:val="-1"/>
          <w:w w:val="126"/>
        </w:rPr>
        <w:t>i</w:t>
      </w:r>
      <w:r>
        <w:rPr>
          <w:rFonts w:ascii="Cambria Math" w:hAnsi="Cambria Math"/>
          <w:w w:val="102"/>
          <w:position w:val="6"/>
          <w:sz w:val="14"/>
        </w:rPr>
        <w:t>T</w:t>
      </w:r>
      <w:r>
        <w:rPr>
          <w:rFonts w:ascii="Cambria Math" w:hAnsi="Cambria Math"/>
          <w:spacing w:val="-16"/>
          <w:position w:val="6"/>
          <w:sz w:val="14"/>
        </w:rPr>
        <w:t> </w:t>
      </w:r>
      <w:r>
        <w:rPr>
          <w:rFonts w:ascii="Cambria Math" w:hAnsi="Cambria Math"/>
          <w:spacing w:val="-1"/>
          <w:w w:val="115"/>
        </w:rPr>
        <w:t>fi</w:t>
      </w:r>
      <w:r>
        <w:rPr>
          <w:rFonts w:ascii="Cambria Math" w:hAnsi="Cambria Math"/>
          <w:w w:val="115"/>
        </w:rPr>
        <w:t>)</w:t>
      </w:r>
      <w:r>
        <w:rPr>
          <w:rFonts w:ascii="Cambria Math" w:hAnsi="Cambria Math"/>
        </w:rPr>
        <w:tab/>
      </w:r>
      <w:r>
        <w:rPr>
          <w:spacing w:val="1"/>
          <w:w w:val="99"/>
          <w:position w:val="2"/>
        </w:rPr>
        <w:t>(6)</w:t>
      </w:r>
    </w:p>
    <w:p>
      <w:pPr>
        <w:pStyle w:val="BodyText"/>
        <w:spacing w:before="119"/>
        <w:ind w:left="1041" w:right="845"/>
      </w:pPr>
      <w:r>
        <w:rPr/>
        <w:t>Where  </w:t>
      </w:r>
      <w:r>
        <w:rPr>
          <w:rFonts w:ascii="Cambria Math" w:hAnsi="Cambria Math"/>
        </w:rPr>
        <w:t>ß  </w:t>
      </w:r>
      <w:r>
        <w:rPr/>
        <w:t>is the largest eigenvalue of the matrix obtained with </w:t>
      </w:r>
      <w:r>
        <w:rPr>
          <w:rFonts w:ascii="Cambria Math" w:hAnsi="Cambria Math"/>
        </w:rPr>
        <w:t>fi</w:t>
      </w:r>
      <w:r>
        <w:rPr>
          <w:rFonts w:ascii="Cambria Math" w:hAnsi="Cambria Math"/>
          <w:position w:val="7"/>
          <w:sz w:val="14"/>
        </w:rPr>
        <w:t>T</w:t>
      </w:r>
      <w:r>
        <w:rPr>
          <w:rFonts w:ascii="Cambria Math" w:hAnsi="Cambria Math"/>
        </w:rPr>
        <w:t>fi</w:t>
      </w:r>
      <w:r>
        <w:rPr/>
        <w:t>.</w:t>
      </w:r>
    </w:p>
    <w:p>
      <w:pPr>
        <w:pStyle w:val="BodyText"/>
        <w:spacing w:before="3"/>
        <w:rPr>
          <w:sz w:val="32"/>
        </w:rPr>
      </w:pPr>
    </w:p>
    <w:p>
      <w:pPr>
        <w:pStyle w:val="Heading2"/>
        <w:numPr>
          <w:ilvl w:val="1"/>
          <w:numId w:val="1"/>
        </w:numPr>
        <w:tabs>
          <w:tab w:pos="1380" w:val="left" w:leader="none"/>
        </w:tabs>
        <w:spacing w:line="240" w:lineRule="auto" w:before="0" w:after="0"/>
        <w:ind w:left="1379" w:right="0" w:hanging="566"/>
        <w:jc w:val="both"/>
      </w:pPr>
      <w:r>
        <w:rPr/>
        <w:t>Color Selection in the RGB</w:t>
      </w:r>
      <w:r>
        <w:rPr>
          <w:spacing w:val="-11"/>
        </w:rPr>
        <w:t> </w:t>
      </w:r>
      <w:r>
        <w:rPr/>
        <w:t>Space</w:t>
      </w:r>
    </w:p>
    <w:p>
      <w:pPr>
        <w:pStyle w:val="BodyText"/>
        <w:spacing w:line="240" w:lineRule="exact" w:before="163"/>
        <w:ind w:left="813" w:right="806"/>
        <w:jc w:val="both"/>
      </w:pPr>
      <w:r>
        <w:rPr/>
        <w:t>Before the vectors </w:t>
      </w:r>
      <w:r>
        <w:rPr>
          <w:rFonts w:ascii="Cambria Math" w:hAnsi="Cambria Math"/>
        </w:rPr>
        <w:t>R </w:t>
      </w:r>
      <w:r>
        <w:rPr/>
        <w:t>and </w:t>
      </w:r>
      <w:r>
        <w:rPr>
          <w:rFonts w:ascii="Cambria Math" w:hAnsi="Cambria Math"/>
        </w:rPr>
        <w:t>u</w:t>
      </w:r>
      <w:r>
        <w:rPr>
          <w:rFonts w:ascii="Cambria Math" w:hAnsi="Cambria Math"/>
          <w:position w:val="-3"/>
          <w:sz w:val="14"/>
        </w:rPr>
        <w:t>R </w:t>
      </w:r>
      <w:r>
        <w:rPr/>
        <w:t>are computed, the image is preprocessed by setting to  zero the color vectors with high variance. Due to the colors in this space depend on their intensities, the color vectors are normalized and then the color vector selection is performed. Let  </w:t>
      </w:r>
      <w:r>
        <w:rPr>
          <w:rFonts w:ascii="Cambria Math" w:hAnsi="Cambria Math"/>
          <w:spacing w:val="11"/>
          <w:position w:val="1"/>
        </w:rPr>
        <w:t>{</w:t>
      </w:r>
      <w:r>
        <w:rPr>
          <w:rFonts w:ascii="Cambria Math" w:hAnsi="Cambria Math"/>
          <w:spacing w:val="11"/>
        </w:rPr>
        <w:t>$</w:t>
      </w:r>
      <w:r>
        <w:rPr>
          <w:rFonts w:ascii="Cambria Math" w:hAnsi="Cambria Math"/>
          <w:spacing w:val="11"/>
          <w:position w:val="-3"/>
          <w:sz w:val="14"/>
        </w:rPr>
        <w:t>1</w:t>
      </w:r>
      <w:r>
        <w:rPr>
          <w:rFonts w:ascii="Cambria Math" w:hAnsi="Cambria Math"/>
          <w:spacing w:val="11"/>
        </w:rPr>
        <w:t>,…, </w:t>
      </w:r>
      <w:r>
        <w:rPr>
          <w:rFonts w:ascii="Cambria Math" w:hAnsi="Cambria Math"/>
          <w:spacing w:val="4"/>
        </w:rPr>
        <w:t>$</w:t>
      </w:r>
      <w:r>
        <w:rPr>
          <w:rFonts w:ascii="Cambria Math" w:hAnsi="Cambria Math"/>
          <w:spacing w:val="4"/>
          <w:position w:val="-3"/>
          <w:sz w:val="14"/>
        </w:rPr>
        <w:t>N</w:t>
      </w:r>
      <w:r>
        <w:rPr>
          <w:rFonts w:ascii="Cambria Math" w:hAnsi="Cambria Math"/>
          <w:spacing w:val="4"/>
          <w:position w:val="1"/>
        </w:rPr>
        <w:t>} </w:t>
      </w:r>
      <w:r>
        <w:rPr>
          <w:rFonts w:ascii="Cambria Math" w:hAnsi="Cambria Math"/>
        </w:rPr>
        <w:t>&lt; %</w:t>
      </w:r>
      <w:r>
        <w:rPr>
          <w:rFonts w:ascii="Cambria Math" w:hAnsi="Cambria Math"/>
          <w:position w:val="7"/>
          <w:sz w:val="14"/>
        </w:rPr>
        <w:t>3   </w:t>
      </w:r>
      <w:r>
        <w:rPr/>
        <w:t>the set of the color vectors of an image, by </w:t>
      </w:r>
      <w:r>
        <w:rPr>
          <w:spacing w:val="10"/>
        </w:rPr>
        <w:t> </w:t>
      </w:r>
      <w:r>
        <w:rPr/>
        <w:t>norma-</w:t>
      </w:r>
    </w:p>
    <w:p>
      <w:pPr>
        <w:pStyle w:val="BodyText"/>
        <w:spacing w:line="275" w:lineRule="exact"/>
        <w:ind w:left="813"/>
        <w:jc w:val="both"/>
      </w:pPr>
      <w:r>
        <w:rPr>
          <w:w w:val="99"/>
        </w:rPr>
        <w:t>lizi</w:t>
      </w:r>
      <w:r>
        <w:rPr>
          <w:spacing w:val="1"/>
          <w:w w:val="99"/>
        </w:rPr>
        <w:t>n</w:t>
      </w:r>
      <w:r>
        <w:rPr>
          <w:w w:val="99"/>
        </w:rPr>
        <w:t>g</w:t>
      </w:r>
      <w:r>
        <w:rPr/>
        <w:t> </w:t>
      </w:r>
      <w:r>
        <w:rPr>
          <w:spacing w:val="-10"/>
        </w:rPr>
        <w:t> </w:t>
      </w:r>
      <w:r>
        <w:rPr>
          <w:w w:val="99"/>
        </w:rPr>
        <w:t>t</w:t>
      </w:r>
      <w:r>
        <w:rPr>
          <w:spacing w:val="-2"/>
          <w:w w:val="99"/>
        </w:rPr>
        <w:t>h</w:t>
      </w:r>
      <w:r>
        <w:rPr>
          <w:w w:val="99"/>
        </w:rPr>
        <w:t>e</w:t>
      </w:r>
      <w:r>
        <w:rPr/>
        <w:t> </w:t>
      </w:r>
      <w:r>
        <w:rPr>
          <w:spacing w:val="-9"/>
        </w:rPr>
        <w:t> </w:t>
      </w:r>
      <w:r>
        <w:rPr>
          <w:w w:val="99"/>
        </w:rPr>
        <w:t>c</w:t>
      </w:r>
      <w:r>
        <w:rPr>
          <w:spacing w:val="1"/>
          <w:w w:val="99"/>
        </w:rPr>
        <w:t>o</w:t>
      </w:r>
      <w:r>
        <w:rPr>
          <w:w w:val="99"/>
        </w:rPr>
        <w:t>l</w:t>
      </w:r>
      <w:r>
        <w:rPr>
          <w:spacing w:val="1"/>
          <w:w w:val="99"/>
        </w:rPr>
        <w:t>o</w:t>
      </w:r>
      <w:r>
        <w:rPr>
          <w:w w:val="99"/>
        </w:rPr>
        <w:t>r</w:t>
      </w:r>
      <w:r>
        <w:rPr/>
        <w:t> </w:t>
      </w:r>
      <w:r>
        <w:rPr>
          <w:spacing w:val="-8"/>
        </w:rPr>
        <w:t> </w:t>
      </w:r>
      <w:r>
        <w:rPr>
          <w:spacing w:val="-2"/>
          <w:w w:val="99"/>
        </w:rPr>
        <w:t>v</w:t>
      </w:r>
      <w:r>
        <w:rPr>
          <w:w w:val="99"/>
        </w:rPr>
        <w:t>ect</w:t>
      </w:r>
      <w:r>
        <w:rPr>
          <w:spacing w:val="1"/>
          <w:w w:val="99"/>
        </w:rPr>
        <w:t>o</w:t>
      </w:r>
      <w:r>
        <w:rPr>
          <w:w w:val="99"/>
        </w:rPr>
        <w:t>r</w:t>
      </w:r>
      <w:r>
        <w:rPr>
          <w:w w:val="99"/>
        </w:rPr>
        <w:t>s</w:t>
      </w:r>
      <w:r>
        <w:rPr/>
        <w:t> </w:t>
      </w:r>
      <w:r>
        <w:rPr>
          <w:spacing w:val="-7"/>
        </w:rPr>
        <w:t> </w:t>
      </w:r>
      <w:r>
        <w:rPr>
          <w:spacing w:val="-5"/>
          <w:w w:val="99"/>
        </w:rPr>
        <w:t>w</w:t>
      </w:r>
      <w:r>
        <w:rPr>
          <w:spacing w:val="-1"/>
          <w:w w:val="99"/>
        </w:rPr>
        <w:t>i</w:t>
      </w:r>
      <w:r>
        <w:rPr>
          <w:spacing w:val="2"/>
          <w:w w:val="99"/>
        </w:rPr>
        <w:t>t</w:t>
      </w:r>
      <w:r>
        <w:rPr>
          <w:w w:val="99"/>
        </w:rPr>
        <w:t>h</w:t>
      </w:r>
      <w:r>
        <w:rPr/>
        <w:t> </w:t>
      </w:r>
      <w:r>
        <w:rPr>
          <w:spacing w:val="-8"/>
        </w:rPr>
        <w:t> </w:t>
      </w:r>
      <w:r>
        <w:rPr>
          <w:rFonts w:ascii="Cambria Math" w:hAnsi="Cambria Math"/>
          <w:spacing w:val="-86"/>
          <w:w w:val="134"/>
        </w:rPr>
        <w:t>$</w:t>
      </w:r>
      <w:r>
        <w:rPr>
          <w:rFonts w:ascii="Cambria Math" w:hAnsi="Cambria Math"/>
          <w:spacing w:val="1"/>
          <w:w w:val="136"/>
          <w:position w:val="4"/>
        </w:rPr>
        <w:t>˜</w:t>
      </w:r>
      <w:r>
        <w:rPr>
          <w:rFonts w:ascii="Cambria Math" w:hAnsi="Cambria Math"/>
          <w:w w:val="112"/>
          <w:position w:val="-3"/>
          <w:sz w:val="14"/>
        </w:rPr>
        <w:t>p</w:t>
      </w:r>
      <w:r>
        <w:rPr>
          <w:rFonts w:ascii="Cambria Math" w:hAnsi="Cambria Math"/>
          <w:position w:val="-3"/>
          <w:sz w:val="14"/>
        </w:rPr>
        <w:t> </w:t>
      </w:r>
      <w:r>
        <w:rPr>
          <w:rFonts w:ascii="Cambria Math" w:hAnsi="Cambria Math"/>
          <w:spacing w:val="4"/>
          <w:position w:val="-3"/>
          <w:sz w:val="14"/>
        </w:rPr>
        <w:t> </w:t>
      </w:r>
      <w:r>
        <w:rPr>
          <w:rFonts w:ascii="Cambria Math" w:hAnsi="Cambria Math"/>
          <w:w w:val="99"/>
        </w:rPr>
        <w:t>=</w:t>
      </w:r>
      <w:r>
        <w:rPr>
          <w:rFonts w:ascii="Cambria Math" w:hAnsi="Cambria Math"/>
          <w:spacing w:val="11"/>
        </w:rPr>
        <w:t> </w:t>
      </w:r>
      <w:r>
        <w:rPr>
          <w:rFonts w:ascii="Cambria Math" w:hAnsi="Cambria Math"/>
          <w:spacing w:val="-7"/>
          <w:w w:val="134"/>
        </w:rPr>
        <w:t>$</w:t>
      </w:r>
      <w:r>
        <w:rPr>
          <w:rFonts w:ascii="Cambria Math" w:hAnsi="Cambria Math"/>
          <w:spacing w:val="10"/>
          <w:w w:val="112"/>
          <w:position w:val="-3"/>
          <w:sz w:val="14"/>
        </w:rPr>
        <w:t>p</w:t>
      </w:r>
      <w:r>
        <w:rPr>
          <w:rFonts w:ascii="Cambria Math" w:hAnsi="Cambria Math"/>
          <w:w w:val="122"/>
        </w:rPr>
        <w:t>/"</w:t>
      </w:r>
      <w:r>
        <w:rPr>
          <w:rFonts w:ascii="Cambria Math" w:hAnsi="Cambria Math"/>
          <w:spacing w:val="-7"/>
          <w:w w:val="122"/>
        </w:rPr>
        <w:t>$</w:t>
      </w:r>
      <w:r>
        <w:rPr>
          <w:rFonts w:ascii="Cambria Math" w:hAnsi="Cambria Math"/>
          <w:spacing w:val="10"/>
          <w:w w:val="112"/>
          <w:position w:val="-3"/>
          <w:sz w:val="14"/>
        </w:rPr>
        <w:t>p</w:t>
      </w:r>
      <w:r>
        <w:rPr>
          <w:rFonts w:ascii="Cambria Math" w:hAnsi="Cambria Math"/>
          <w:w w:val="134"/>
        </w:rPr>
        <w:t>"</w:t>
      </w:r>
      <w:r>
        <w:rPr>
          <w:rFonts w:ascii="Cambria Math" w:hAnsi="Cambria Math"/>
        </w:rPr>
        <w:t>  </w:t>
      </w:r>
      <w:r>
        <w:rPr>
          <w:spacing w:val="-5"/>
          <w:w w:val="99"/>
        </w:rPr>
        <w:t>w</w:t>
      </w:r>
      <w:r>
        <w:rPr>
          <w:w w:val="99"/>
        </w:rPr>
        <w:t>e</w:t>
      </w:r>
      <w:r>
        <w:rPr/>
        <w:t> </w:t>
      </w:r>
      <w:r>
        <w:rPr>
          <w:spacing w:val="-9"/>
        </w:rPr>
        <w:t> </w:t>
      </w:r>
      <w:r>
        <w:rPr>
          <w:w w:val="99"/>
        </w:rPr>
        <w:t>obtain</w:t>
      </w:r>
      <w:r>
        <w:rPr/>
        <w:t> </w:t>
      </w:r>
      <w:r>
        <w:rPr>
          <w:spacing w:val="-10"/>
        </w:rPr>
        <w:t> </w:t>
      </w:r>
      <w:r>
        <w:rPr>
          <w:w w:val="99"/>
        </w:rPr>
        <w:t>t</w:t>
      </w:r>
      <w:r>
        <w:rPr>
          <w:spacing w:val="-2"/>
          <w:w w:val="99"/>
        </w:rPr>
        <w:t>h</w:t>
      </w:r>
      <w:r>
        <w:rPr>
          <w:w w:val="99"/>
        </w:rPr>
        <w:t>e</w:t>
      </w:r>
      <w:r>
        <w:rPr/>
        <w:t> </w:t>
      </w:r>
      <w:r>
        <w:rPr>
          <w:spacing w:val="-9"/>
        </w:rPr>
        <w:t> </w:t>
      </w:r>
      <w:r>
        <w:rPr>
          <w:spacing w:val="-1"/>
          <w:w w:val="99"/>
        </w:rPr>
        <w:t>s</w:t>
      </w:r>
      <w:r>
        <w:rPr>
          <w:spacing w:val="2"/>
          <w:w w:val="99"/>
        </w:rPr>
        <w:t>e</w:t>
      </w:r>
      <w:r>
        <w:rPr>
          <w:w w:val="99"/>
        </w:rPr>
        <w:t>t</w:t>
      </w:r>
      <w:r>
        <w:rPr/>
        <w:t> </w:t>
      </w:r>
      <w:r>
        <w:rPr>
          <w:spacing w:val="-8"/>
        </w:rPr>
        <w:t> </w:t>
      </w:r>
      <w:r>
        <w:rPr>
          <w:rFonts w:ascii="Cambria Math" w:hAnsi="Cambria Math"/>
          <w:spacing w:val="-1"/>
          <w:w w:val="99"/>
        </w:rPr>
        <w:t>{</w:t>
      </w:r>
      <w:r>
        <w:rPr>
          <w:rFonts w:ascii="Cambria Math" w:hAnsi="Cambria Math"/>
          <w:spacing w:val="-86"/>
          <w:w w:val="134"/>
        </w:rPr>
        <w:t>$</w:t>
      </w:r>
      <w:r>
        <w:rPr>
          <w:rFonts w:ascii="Cambria Math" w:hAnsi="Cambria Math"/>
          <w:spacing w:val="3"/>
          <w:w w:val="136"/>
          <w:position w:val="4"/>
        </w:rPr>
        <w:t>˜</w:t>
      </w:r>
      <w:r>
        <w:rPr>
          <w:rFonts w:ascii="Cambria Math" w:hAnsi="Cambria Math"/>
          <w:spacing w:val="8"/>
          <w:w w:val="103"/>
          <w:position w:val="-3"/>
          <w:sz w:val="14"/>
        </w:rPr>
        <w:t>1</w:t>
      </w:r>
      <w:r>
        <w:rPr>
          <w:rFonts w:ascii="Cambria Math" w:hAnsi="Cambria Math"/>
          <w:spacing w:val="33"/>
          <w:w w:val="99"/>
        </w:rPr>
        <w:t>,</w:t>
      </w:r>
      <w:r>
        <w:rPr>
          <w:rFonts w:ascii="Cambria Math" w:hAnsi="Cambria Math"/>
          <w:w w:val="99"/>
        </w:rPr>
        <w:t>…</w:t>
      </w:r>
      <w:r>
        <w:rPr>
          <w:rFonts w:ascii="Cambria Math" w:hAnsi="Cambria Math"/>
          <w:spacing w:val="-10"/>
        </w:rPr>
        <w:t> </w:t>
      </w:r>
      <w:r>
        <w:rPr>
          <w:rFonts w:ascii="Cambria Math" w:hAnsi="Cambria Math"/>
          <w:w w:val="99"/>
        </w:rPr>
        <w:t>,</w:t>
      </w:r>
      <w:r>
        <w:rPr>
          <w:rFonts w:ascii="Cambria Math" w:hAnsi="Cambria Math"/>
          <w:spacing w:val="-11"/>
        </w:rPr>
        <w:t> </w:t>
      </w:r>
      <w:r>
        <w:rPr>
          <w:rFonts w:ascii="Cambria Math" w:hAnsi="Cambria Math"/>
          <w:spacing w:val="-86"/>
          <w:w w:val="134"/>
        </w:rPr>
        <w:t>$</w:t>
      </w:r>
      <w:r>
        <w:rPr>
          <w:rFonts w:ascii="Cambria Math" w:hAnsi="Cambria Math"/>
          <w:spacing w:val="8"/>
          <w:w w:val="136"/>
          <w:position w:val="4"/>
        </w:rPr>
        <w:t>˜</w:t>
      </w:r>
      <w:r>
        <w:rPr>
          <w:rFonts w:ascii="Cambria Math" w:hAnsi="Cambria Math"/>
          <w:spacing w:val="12"/>
          <w:w w:val="110"/>
          <w:position w:val="-3"/>
          <w:sz w:val="14"/>
        </w:rPr>
        <w:t>N</w:t>
      </w:r>
      <w:r>
        <w:rPr>
          <w:rFonts w:ascii="Cambria Math" w:hAnsi="Cambria Math"/>
          <w:spacing w:val="10"/>
          <w:w w:val="99"/>
        </w:rPr>
        <w:t>}</w:t>
      </w:r>
      <w:r>
        <w:rPr>
          <w:rFonts w:ascii="Cambria Math" w:hAnsi="Cambria Math"/>
        </w:rPr>
        <w:t> </w:t>
      </w:r>
      <w:r>
        <w:rPr>
          <w:rFonts w:ascii="Cambria Math" w:hAnsi="Cambria Math"/>
          <w:w w:val="99"/>
        </w:rPr>
        <w:t>&lt;</w:t>
      </w:r>
      <w:r>
        <w:rPr>
          <w:rFonts w:ascii="Cambria Math" w:hAnsi="Cambria Math"/>
          <w:spacing w:val="10"/>
        </w:rPr>
        <w:t> </w:t>
      </w:r>
      <w:r>
        <w:rPr>
          <w:rFonts w:ascii="Cambria Math" w:hAnsi="Cambria Math"/>
          <w:w w:val="83"/>
        </w:rPr>
        <w:t>%</w:t>
      </w:r>
      <w:r>
        <w:rPr>
          <w:rFonts w:ascii="Cambria Math" w:hAnsi="Cambria Math"/>
          <w:w w:val="103"/>
          <w:position w:val="7"/>
          <w:sz w:val="14"/>
        </w:rPr>
        <w:t>3</w:t>
      </w:r>
      <w:r>
        <w:rPr>
          <w:rFonts w:ascii="Cambria Math" w:hAnsi="Cambria Math"/>
          <w:spacing w:val="-11"/>
          <w:position w:val="7"/>
          <w:sz w:val="14"/>
        </w:rPr>
        <w:t> </w:t>
      </w:r>
      <w:r>
        <w:rPr>
          <w:w w:val="99"/>
        </w:rPr>
        <w:t>.</w:t>
      </w:r>
    </w:p>
    <w:p>
      <w:pPr>
        <w:pStyle w:val="BodyText"/>
        <w:spacing w:before="3"/>
        <w:ind w:left="813"/>
        <w:jc w:val="both"/>
      </w:pPr>
      <w:r>
        <w:rPr/>
        <w:t>The color vectors with high variance are set to zero; that is:</w:t>
      </w:r>
    </w:p>
    <w:p>
      <w:pPr>
        <w:spacing w:after="0"/>
        <w:jc w:val="both"/>
        <w:sectPr>
          <w:type w:val="continuous"/>
          <w:pgSz w:w="11900" w:h="16840"/>
          <w:pgMar w:top="1600" w:bottom="280" w:left="1680" w:right="1680"/>
        </w:sectPr>
      </w:pPr>
    </w:p>
    <w:p>
      <w:pPr>
        <w:tabs>
          <w:tab w:pos="3323" w:val="left" w:leader="none"/>
          <w:tab w:pos="5150" w:val="left" w:leader="none"/>
        </w:tabs>
        <w:spacing w:line="369" w:lineRule="exact" w:before="119"/>
        <w:ind w:left="2738" w:right="0" w:firstLine="0"/>
        <w:jc w:val="left"/>
        <w:rPr>
          <w:rFonts w:ascii="Cambria Math" w:hAnsi="Cambria Math"/>
          <w:sz w:val="14"/>
        </w:rPr>
      </w:pPr>
      <w:r>
        <w:rPr/>
        <w:pict>
          <v:shape style="position:absolute;margin-left:227.399094pt;margin-top:14.939414pt;width:25.75pt;height:11.45pt;mso-position-horizontal-relative:page;mso-position-vertical-relative:paragraph;z-index:-15136" type="#_x0000_t202" filled="false" stroked="false">
            <v:textbox inset="0,0,0,0">
              <w:txbxContent>
                <w:p>
                  <w:pPr>
                    <w:spacing w:line="229" w:lineRule="exact" w:before="0"/>
                    <w:ind w:left="0" w:right="0" w:firstLine="0"/>
                    <w:jc w:val="left"/>
                    <w:rPr>
                      <w:rFonts w:ascii="Cambria Math"/>
                      <w:sz w:val="20"/>
                    </w:rPr>
                  </w:pPr>
                  <w:r>
                    <w:rPr>
                      <w:rFonts w:ascii="Cambria Math"/>
                      <w:w w:val="110"/>
                      <w:position w:val="-3"/>
                      <w:sz w:val="14"/>
                    </w:rPr>
                    <w:t>p  </w:t>
                  </w:r>
                  <w:r>
                    <w:rPr>
                      <w:rFonts w:ascii="Cambria Math"/>
                      <w:w w:val="110"/>
                      <w:sz w:val="20"/>
                    </w:rPr>
                    <w:t>= {</w:t>
                  </w:r>
                  <w:r>
                    <w:rPr>
                      <w:rFonts w:ascii="Cambria Math"/>
                      <w:sz w:val="20"/>
                    </w:rPr>
                    <w:t> </w:t>
                  </w:r>
                </w:p>
              </w:txbxContent>
            </v:textbox>
            <w10:wrap type="none"/>
          </v:shape>
        </w:pict>
      </w:r>
      <w:r>
        <w:rPr/>
        <w:pict>
          <v:shape style="position:absolute;margin-left:326.039093pt;margin-top:9.419425pt;width:15.5pt;height:10pt;mso-position-horizontal-relative:page;mso-position-vertical-relative:paragraph;z-index:-15112" type="#_x0000_t202" filled="false" stroked="false">
            <v:textbox inset="0,0,0,0">
              <w:txbxContent>
                <w:p>
                  <w:pPr>
                    <w:pStyle w:val="BodyText"/>
                    <w:spacing w:line="199" w:lineRule="exact"/>
                    <w:ind w:right="-14"/>
                    <w:rPr>
                      <w:rFonts w:ascii="Cambria Math" w:hAnsi="Cambria Math"/>
                    </w:rPr>
                  </w:pPr>
                  <w:r>
                    <w:rPr>
                      <w:rFonts w:ascii="Cambria Math" w:hAnsi="Cambria Math"/>
                      <w:w w:val="115"/>
                    </w:rPr>
                    <w:t>€ </w:t>
                  </w:r>
                  <w:r>
                    <w:rPr>
                      <w:rFonts w:ascii="Cambria Math" w:hAnsi="Cambria Math"/>
                      <w:spacing w:val="-14"/>
                      <w:w w:val="115"/>
                    </w:rPr>
                    <w:t>o</w:t>
                  </w:r>
                </w:p>
              </w:txbxContent>
            </v:textbox>
            <w10:wrap type="none"/>
          </v:shape>
        </w:pict>
      </w:r>
      <w:r>
        <w:rPr/>
        <w:pict>
          <v:shape style="position:absolute;margin-left:318.839111pt;margin-top:5.250906pt;width:4.05pt;height:7pt;mso-position-horizontal-relative:page;mso-position-vertical-relative:paragraph;z-index:-15088" type="#_x0000_t202" filled="false" stroked="false">
            <v:textbox inset="0,0,0,0">
              <w:txbxContent>
                <w:p>
                  <w:pPr>
                    <w:spacing w:line="139" w:lineRule="exact" w:before="0"/>
                    <w:ind w:left="0" w:right="0" w:firstLine="0"/>
                    <w:jc w:val="left"/>
                    <w:rPr>
                      <w:rFonts w:ascii="Cambria Math"/>
                      <w:sz w:val="14"/>
                    </w:rPr>
                  </w:pPr>
                  <w:r>
                    <w:rPr>
                      <w:rFonts w:ascii="Cambria Math"/>
                      <w:w w:val="103"/>
                      <w:sz w:val="14"/>
                    </w:rPr>
                    <w:t>2</w:t>
                  </w:r>
                </w:p>
              </w:txbxContent>
            </v:textbox>
            <w10:wrap type="none"/>
          </v:shape>
        </w:pict>
      </w:r>
      <w:r>
        <w:rPr/>
        <w:pict>
          <v:shape style="position:absolute;margin-left:342.839111pt;margin-top:7.41091pt;width:4.05pt;height:7pt;mso-position-horizontal-relative:page;mso-position-vertical-relative:paragraph;z-index:-15064" type="#_x0000_t202" filled="false" stroked="false">
            <v:textbox inset="0,0,0,0">
              <w:txbxContent>
                <w:p>
                  <w:pPr>
                    <w:spacing w:line="139" w:lineRule="exact" w:before="0"/>
                    <w:ind w:left="0" w:right="0" w:firstLine="0"/>
                    <w:jc w:val="left"/>
                    <w:rPr>
                      <w:rFonts w:ascii="Cambria Math"/>
                      <w:sz w:val="14"/>
                    </w:rPr>
                  </w:pPr>
                  <w:r>
                    <w:rPr>
                      <w:rFonts w:ascii="Cambria Math"/>
                      <w:w w:val="103"/>
                      <w:sz w:val="14"/>
                    </w:rPr>
                    <w:t>2</w:t>
                  </w:r>
                </w:p>
              </w:txbxContent>
            </v:textbox>
            <w10:wrap type="none"/>
          </v:shape>
        </w:pict>
      </w:r>
      <w:r>
        <w:rPr>
          <w:rFonts w:ascii="Cambria Math" w:hAnsi="Cambria Math"/>
          <w:spacing w:val="-86"/>
          <w:w w:val="134"/>
          <w:position w:val="-8"/>
          <w:sz w:val="20"/>
        </w:rPr>
        <w:t>$</w:t>
      </w:r>
      <w:r>
        <w:rPr>
          <w:rFonts w:ascii="Cambria Math" w:hAnsi="Cambria Math"/>
          <w:w w:val="136"/>
          <w:position w:val="-4"/>
          <w:sz w:val="20"/>
        </w:rPr>
        <w:t>˜</w:t>
      </w:r>
      <w:r>
        <w:rPr>
          <w:rFonts w:ascii="Cambria Math" w:hAnsi="Cambria Math"/>
          <w:position w:val="-4"/>
          <w:sz w:val="20"/>
        </w:rPr>
        <w:tab/>
      </w:r>
      <w:r>
        <w:rPr>
          <w:rFonts w:ascii="Cambria Math" w:hAnsi="Cambria Math"/>
          <w:spacing w:val="-86"/>
          <w:w w:val="134"/>
          <w:position w:val="2"/>
          <w:sz w:val="20"/>
        </w:rPr>
        <w:t>$</w:t>
      </w:r>
      <w:r>
        <w:rPr>
          <w:rFonts w:ascii="Cambria Math" w:hAnsi="Cambria Math"/>
          <w:spacing w:val="1"/>
          <w:w w:val="136"/>
          <w:position w:val="6"/>
          <w:sz w:val="20"/>
        </w:rPr>
        <w:t>˜</w:t>
      </w:r>
      <w:r>
        <w:rPr>
          <w:rFonts w:ascii="Cambria Math" w:hAnsi="Cambria Math"/>
          <w:spacing w:val="10"/>
          <w:w w:val="112"/>
          <w:position w:val="-1"/>
          <w:sz w:val="14"/>
        </w:rPr>
        <w:t>p</w:t>
      </w:r>
      <w:r>
        <w:rPr>
          <w:rFonts w:ascii="Cambria Math" w:hAnsi="Cambria Math"/>
          <w:w w:val="99"/>
          <w:position w:val="2"/>
          <w:sz w:val="20"/>
        </w:rPr>
        <w:t>,</w:t>
      </w:r>
      <w:r>
        <w:rPr>
          <w:rFonts w:ascii="Cambria Math" w:hAnsi="Cambria Math"/>
          <w:position w:val="2"/>
          <w:sz w:val="20"/>
        </w:rPr>
        <w:t>    </w:t>
      </w:r>
      <w:r>
        <w:rPr>
          <w:rFonts w:ascii="Cambria Math" w:hAnsi="Cambria Math"/>
          <w:spacing w:val="-22"/>
          <w:position w:val="2"/>
          <w:sz w:val="20"/>
        </w:rPr>
        <w:t> </w:t>
      </w:r>
      <w:r>
        <w:rPr>
          <w:rFonts w:ascii="Cambria Math" w:hAnsi="Cambria Math"/>
          <w:w w:val="134"/>
          <w:position w:val="2"/>
          <w:sz w:val="20"/>
        </w:rPr>
        <w:t>"</w:t>
      </w:r>
      <w:r>
        <w:rPr>
          <w:rFonts w:ascii="Cambria Math" w:hAnsi="Cambria Math"/>
          <w:spacing w:val="-86"/>
          <w:w w:val="134"/>
          <w:position w:val="2"/>
          <w:sz w:val="20"/>
        </w:rPr>
        <w:t>$</w:t>
      </w:r>
      <w:r>
        <w:rPr>
          <w:rFonts w:ascii="Cambria Math" w:hAnsi="Cambria Math"/>
          <w:spacing w:val="1"/>
          <w:w w:val="136"/>
          <w:position w:val="6"/>
          <w:sz w:val="20"/>
        </w:rPr>
        <w:t>˜</w:t>
      </w:r>
      <w:r>
        <w:rPr>
          <w:rFonts w:ascii="Cambria Math" w:hAnsi="Cambria Math"/>
          <w:w w:val="112"/>
          <w:position w:val="-1"/>
          <w:sz w:val="14"/>
        </w:rPr>
        <w:t>p</w:t>
      </w:r>
      <w:r>
        <w:rPr>
          <w:rFonts w:ascii="Cambria Math" w:hAnsi="Cambria Math"/>
          <w:position w:val="-1"/>
          <w:sz w:val="14"/>
        </w:rPr>
        <w:t> </w:t>
      </w:r>
      <w:r>
        <w:rPr>
          <w:rFonts w:ascii="Cambria Math" w:hAnsi="Cambria Math"/>
          <w:spacing w:val="-8"/>
          <w:position w:val="-1"/>
          <w:sz w:val="14"/>
        </w:rPr>
        <w:t> </w:t>
      </w:r>
      <w:r>
        <w:rPr>
          <w:rFonts w:ascii="Cambria Math" w:hAnsi="Cambria Math"/>
          <w:w w:val="74"/>
          <w:position w:val="2"/>
          <w:sz w:val="20"/>
        </w:rPr>
        <w:t>—</w:t>
      </w:r>
      <w:r>
        <w:rPr>
          <w:rFonts w:ascii="Cambria Math" w:hAnsi="Cambria Math"/>
          <w:spacing w:val="1"/>
          <w:position w:val="2"/>
          <w:sz w:val="20"/>
        </w:rPr>
        <w:t> </w:t>
      </w:r>
      <w:r>
        <w:rPr>
          <w:rFonts w:ascii="Cambria Math" w:hAnsi="Cambria Math"/>
          <w:spacing w:val="1"/>
          <w:w w:val="100"/>
          <w:position w:val="2"/>
          <w:sz w:val="20"/>
        </w:rPr>
        <w:t>µ</w:t>
      </w:r>
      <w:r>
        <w:rPr>
          <w:rFonts w:ascii="Cambria Math" w:hAnsi="Cambria Math"/>
          <w:spacing w:val="-92"/>
          <w:w w:val="150"/>
          <w:position w:val="-2"/>
          <w:sz w:val="14"/>
        </w:rPr>
        <w:t>$</w:t>
      </w:r>
      <w:r>
        <w:rPr>
          <w:rFonts w:ascii="Cambria Math" w:hAnsi="Cambria Math"/>
          <w:w w:val="198"/>
          <w:sz w:val="14"/>
        </w:rPr>
        <w:t>˜</w:t>
      </w:r>
      <w:r>
        <w:rPr>
          <w:rFonts w:ascii="Cambria Math" w:hAnsi="Cambria Math"/>
          <w:spacing w:val="-7"/>
          <w:sz w:val="14"/>
        </w:rPr>
        <w:t> </w:t>
      </w:r>
      <w:r>
        <w:rPr>
          <w:rFonts w:ascii="Cambria Math" w:hAnsi="Cambria Math"/>
          <w:w w:val="134"/>
          <w:position w:val="2"/>
          <w:sz w:val="20"/>
        </w:rPr>
        <w:t>"</w:t>
      </w:r>
      <w:r>
        <w:rPr>
          <w:rFonts w:ascii="Cambria Math" w:hAnsi="Cambria Math"/>
          <w:position w:val="2"/>
          <w:sz w:val="20"/>
        </w:rPr>
        <w:tab/>
      </w:r>
      <w:r>
        <w:rPr>
          <w:rFonts w:ascii="Cambria Math" w:hAnsi="Cambria Math"/>
          <w:spacing w:val="-92"/>
          <w:w w:val="150"/>
          <w:position w:val="-4"/>
          <w:sz w:val="14"/>
        </w:rPr>
        <w:t>$</w:t>
      </w:r>
      <w:r>
        <w:rPr>
          <w:rFonts w:ascii="Cambria Math" w:hAnsi="Cambria Math"/>
          <w:w w:val="198"/>
          <w:position w:val="0"/>
          <w:sz w:val="14"/>
        </w:rPr>
        <w:t>˜</w:t>
      </w:r>
    </w:p>
    <w:p>
      <w:pPr>
        <w:pStyle w:val="BodyText"/>
        <w:spacing w:before="9"/>
        <w:rPr>
          <w:rFonts w:ascii="Cambria Math"/>
          <w:sz w:val="23"/>
        </w:rPr>
      </w:pPr>
      <w:r>
        <w:rPr/>
        <w:br w:type="column"/>
      </w:r>
      <w:r>
        <w:rPr>
          <w:rFonts w:ascii="Cambria Math"/>
          <w:sz w:val="23"/>
        </w:rPr>
      </w:r>
    </w:p>
    <w:p>
      <w:pPr>
        <w:pStyle w:val="BodyText"/>
        <w:spacing w:line="210" w:lineRule="exact"/>
        <w:ind w:left="2063"/>
      </w:pPr>
      <w:r>
        <w:rPr/>
        <w:t>(7)</w:t>
      </w:r>
    </w:p>
    <w:p>
      <w:pPr>
        <w:spacing w:after="0" w:line="210" w:lineRule="exact"/>
        <w:sectPr>
          <w:type w:val="continuous"/>
          <w:pgSz w:w="11900" w:h="16840"/>
          <w:pgMar w:top="1600" w:bottom="280" w:left="1680" w:right="1680"/>
          <w:cols w:num="2" w:equalWidth="0">
            <w:col w:w="5258" w:space="40"/>
            <w:col w:w="3242"/>
          </w:cols>
        </w:sectPr>
      </w:pPr>
    </w:p>
    <w:p>
      <w:pPr>
        <w:pStyle w:val="BodyText"/>
        <w:tabs>
          <w:tab w:pos="721" w:val="left" w:leader="none"/>
        </w:tabs>
        <w:spacing w:line="206" w:lineRule="exact"/>
        <w:ind w:right="202"/>
        <w:jc w:val="center"/>
        <w:rPr>
          <w:rFonts w:ascii="Cambria Math"/>
        </w:rPr>
      </w:pPr>
      <w:r>
        <w:rPr>
          <w:rFonts w:ascii="Cambria Math"/>
          <w:w w:val="105"/>
        </w:rPr>
        <w:t>0,</w:t>
        <w:tab/>
        <w:t>otherwise</w:t>
      </w:r>
    </w:p>
    <w:p>
      <w:pPr>
        <w:spacing w:line="51" w:lineRule="exact" w:before="69"/>
        <w:ind w:left="2234" w:right="0" w:firstLine="0"/>
        <w:jc w:val="center"/>
        <w:rPr>
          <w:rFonts w:ascii="Cambria Math"/>
          <w:sz w:val="14"/>
        </w:rPr>
      </w:pPr>
      <w:r>
        <w:rPr>
          <w:rFonts w:ascii="Cambria Math"/>
          <w:w w:val="103"/>
          <w:sz w:val="14"/>
        </w:rPr>
        <w:t>2</w:t>
      </w:r>
    </w:p>
    <w:p>
      <w:pPr>
        <w:spacing w:after="0" w:line="51" w:lineRule="exact"/>
        <w:jc w:val="center"/>
        <w:rPr>
          <w:rFonts w:ascii="Cambria Math"/>
          <w:sz w:val="14"/>
        </w:rPr>
        <w:sectPr>
          <w:type w:val="continuous"/>
          <w:pgSz w:w="11900" w:h="16840"/>
          <w:pgMar w:top="1600" w:bottom="280" w:left="1680" w:right="1680"/>
        </w:sectPr>
      </w:pPr>
    </w:p>
    <w:p>
      <w:pPr>
        <w:pStyle w:val="BodyText"/>
        <w:spacing w:line="262" w:lineRule="exact"/>
        <w:ind w:left="1041"/>
        <w:rPr>
          <w:rFonts w:ascii="Cambria Math" w:hAnsi="Cambria Math"/>
          <w:sz w:val="14"/>
        </w:rPr>
      </w:pPr>
      <w:r>
        <w:rPr>
          <w:spacing w:val="1"/>
          <w:w w:val="99"/>
        </w:rPr>
        <w:t>W</w:t>
      </w:r>
      <w:r>
        <w:rPr>
          <w:spacing w:val="-2"/>
          <w:w w:val="99"/>
        </w:rPr>
        <w:t>h</w:t>
      </w:r>
      <w:r>
        <w:rPr>
          <w:w w:val="99"/>
        </w:rPr>
        <w:t>ere</w:t>
      </w:r>
      <w:r>
        <w:rPr/>
        <w:t> </w:t>
      </w:r>
      <w:r>
        <w:rPr>
          <w:spacing w:val="-21"/>
        </w:rPr>
        <w:t> </w:t>
      </w:r>
      <w:r>
        <w:rPr>
          <w:rFonts w:ascii="Cambria Math" w:hAnsi="Cambria Math"/>
          <w:spacing w:val="12"/>
          <w:w w:val="102"/>
        </w:rPr>
        <w:t>0</w:t>
      </w:r>
      <w:r>
        <w:rPr>
          <w:rFonts w:ascii="Cambria Math" w:hAnsi="Cambria Math"/>
        </w:rPr>
        <w:t> </w:t>
      </w:r>
      <w:r>
        <w:rPr>
          <w:rFonts w:ascii="Cambria Math" w:hAnsi="Cambria Math"/>
          <w:w w:val="102"/>
        </w:rPr>
        <w:t>=</w:t>
      </w:r>
      <w:r>
        <w:rPr>
          <w:rFonts w:ascii="Cambria Math" w:hAnsi="Cambria Math"/>
          <w:spacing w:val="11"/>
        </w:rPr>
        <w:t> </w:t>
      </w:r>
      <w:r>
        <w:rPr>
          <w:rFonts w:ascii="Cambria Math" w:hAnsi="Cambria Math"/>
          <w:spacing w:val="-1"/>
          <w:w w:val="99"/>
          <w:position w:val="1"/>
        </w:rPr>
        <w:t>[</w:t>
      </w:r>
      <w:r>
        <w:rPr>
          <w:rFonts w:ascii="Cambria Math" w:hAnsi="Cambria Math"/>
          <w:spacing w:val="2"/>
          <w:w w:val="99"/>
        </w:rPr>
        <w:t>0</w:t>
      </w:r>
      <w:r>
        <w:rPr>
          <w:rFonts w:ascii="Cambria Math" w:hAnsi="Cambria Math"/>
          <w:spacing w:val="-1"/>
          <w:w w:val="99"/>
        </w:rPr>
        <w:t>,</w:t>
      </w:r>
      <w:r>
        <w:rPr>
          <w:rFonts w:ascii="Cambria Math" w:hAnsi="Cambria Math"/>
          <w:w w:val="99"/>
        </w:rPr>
        <w:t>0</w:t>
      </w:r>
      <w:r>
        <w:rPr>
          <w:rFonts w:ascii="Cambria Math" w:hAnsi="Cambria Math"/>
          <w:spacing w:val="-1"/>
          <w:w w:val="99"/>
        </w:rPr>
        <w:t>,</w:t>
      </w:r>
      <w:r>
        <w:rPr>
          <w:rFonts w:ascii="Cambria Math" w:hAnsi="Cambria Math"/>
          <w:spacing w:val="-1"/>
          <w:w w:val="99"/>
        </w:rPr>
        <w:t>0</w:t>
      </w:r>
      <w:r>
        <w:rPr>
          <w:rFonts w:ascii="Cambria Math" w:hAnsi="Cambria Math"/>
          <w:spacing w:val="-1"/>
          <w:w w:val="99"/>
          <w:position w:val="1"/>
        </w:rPr>
        <w:t>]</w:t>
      </w:r>
      <w:r>
        <w:rPr>
          <w:w w:val="99"/>
        </w:rPr>
        <w:t>,</w:t>
      </w:r>
      <w:r>
        <w:rPr>
          <w:spacing w:val="5"/>
        </w:rPr>
        <w:t> </w:t>
      </w:r>
      <w:r>
        <w:rPr>
          <w:w w:val="99"/>
        </w:rPr>
        <w:t>t</w:t>
      </w:r>
      <w:r>
        <w:rPr>
          <w:spacing w:val="-2"/>
          <w:w w:val="99"/>
        </w:rPr>
        <w:t>h</w:t>
      </w:r>
      <w:r>
        <w:rPr>
          <w:w w:val="99"/>
        </w:rPr>
        <w:t>e</w:t>
      </w:r>
      <w:r>
        <w:rPr>
          <w:spacing w:val="10"/>
        </w:rPr>
        <w:t> </w:t>
      </w:r>
      <w:r>
        <w:rPr>
          <w:spacing w:val="-2"/>
          <w:w w:val="99"/>
        </w:rPr>
        <w:t>m</w:t>
      </w:r>
      <w:r>
        <w:rPr>
          <w:w w:val="99"/>
        </w:rPr>
        <w:t>ean</w:t>
      </w:r>
      <w:r>
        <w:rPr/>
        <w:t> </w:t>
      </w:r>
      <w:r>
        <w:rPr>
          <w:spacing w:val="-18"/>
        </w:rPr>
        <w:t> </w:t>
      </w:r>
      <w:r>
        <w:rPr>
          <w:rFonts w:ascii="Cambria Math" w:hAnsi="Cambria Math"/>
          <w:spacing w:val="1"/>
          <w:w w:val="100"/>
        </w:rPr>
        <w:t>µ</w:t>
      </w:r>
      <w:r>
        <w:rPr>
          <w:rFonts w:ascii="Cambria Math" w:hAnsi="Cambria Math"/>
          <w:spacing w:val="-92"/>
          <w:w w:val="150"/>
          <w:position w:val="-4"/>
          <w:sz w:val="14"/>
        </w:rPr>
        <w:t>$</w:t>
      </w:r>
      <w:r>
        <w:rPr>
          <w:rFonts w:ascii="Cambria Math" w:hAnsi="Cambria Math"/>
          <w:w w:val="198"/>
          <w:position w:val="-1"/>
          <w:sz w:val="14"/>
        </w:rPr>
        <w:t>˜</w:t>
      </w:r>
      <w:r>
        <w:rPr>
          <w:rFonts w:ascii="Cambria Math" w:hAnsi="Cambria Math"/>
          <w:position w:val="-1"/>
          <w:sz w:val="14"/>
        </w:rPr>
        <w:t>  </w:t>
      </w:r>
      <w:r>
        <w:rPr>
          <w:rFonts w:ascii="Cambria Math" w:hAnsi="Cambria Math"/>
          <w:spacing w:val="13"/>
          <w:position w:val="-1"/>
          <w:sz w:val="14"/>
        </w:rPr>
        <w:t> </w:t>
      </w:r>
      <w:r>
        <w:rPr>
          <w:w w:val="99"/>
        </w:rPr>
        <w:t>a</w:t>
      </w:r>
      <w:r>
        <w:rPr>
          <w:spacing w:val="-2"/>
          <w:w w:val="99"/>
        </w:rPr>
        <w:t>n</w:t>
      </w:r>
      <w:r>
        <w:rPr>
          <w:w w:val="99"/>
        </w:rPr>
        <w:t>d</w:t>
      </w:r>
      <w:r>
        <w:rPr>
          <w:spacing w:val="5"/>
        </w:rPr>
        <w:t> </w:t>
      </w:r>
      <w:r>
        <w:rPr>
          <w:w w:val="99"/>
        </w:rPr>
        <w:t>t</w:t>
      </w:r>
      <w:r>
        <w:rPr>
          <w:spacing w:val="-2"/>
          <w:w w:val="99"/>
        </w:rPr>
        <w:t>h</w:t>
      </w:r>
      <w:r>
        <w:rPr>
          <w:w w:val="99"/>
        </w:rPr>
        <w:t>e</w:t>
      </w:r>
      <w:r>
        <w:rPr>
          <w:spacing w:val="8"/>
        </w:rPr>
        <w:t> </w:t>
      </w:r>
      <w:r>
        <w:rPr>
          <w:spacing w:val="-2"/>
          <w:w w:val="99"/>
        </w:rPr>
        <w:t>v</w:t>
      </w:r>
      <w:r>
        <w:rPr>
          <w:w w:val="99"/>
        </w:rPr>
        <w:t>a</w:t>
      </w:r>
      <w:r>
        <w:rPr>
          <w:w w:val="99"/>
        </w:rPr>
        <w:t>ria</w:t>
      </w:r>
      <w:r>
        <w:rPr>
          <w:spacing w:val="-2"/>
          <w:w w:val="99"/>
        </w:rPr>
        <w:t>n</w:t>
      </w:r>
      <w:r>
        <w:rPr>
          <w:w w:val="99"/>
        </w:rPr>
        <w:t>ce</w:t>
      </w:r>
      <w:r>
        <w:rPr/>
        <w:t> </w:t>
      </w:r>
      <w:r>
        <w:rPr>
          <w:spacing w:val="-19"/>
        </w:rPr>
        <w:t> </w:t>
      </w:r>
      <w:r>
        <w:rPr>
          <w:rFonts w:ascii="Cambria Math" w:hAnsi="Cambria Math"/>
          <w:spacing w:val="-14"/>
          <w:w w:val="109"/>
        </w:rPr>
        <w:t>o</w:t>
      </w:r>
      <w:r>
        <w:rPr>
          <w:rFonts w:ascii="Cambria Math" w:hAnsi="Cambria Math"/>
          <w:spacing w:val="-92"/>
          <w:w w:val="150"/>
          <w:position w:val="-5"/>
          <w:sz w:val="14"/>
        </w:rPr>
        <w:t>$</w:t>
      </w:r>
      <w:r>
        <w:rPr>
          <w:rFonts w:ascii="Cambria Math" w:hAnsi="Cambria Math"/>
          <w:w w:val="198"/>
          <w:position w:val="-2"/>
          <w:sz w:val="14"/>
        </w:rPr>
        <w:t>˜</w:t>
      </w:r>
    </w:p>
    <w:p>
      <w:pPr>
        <w:pStyle w:val="BodyText"/>
        <w:spacing w:line="214" w:lineRule="exact"/>
        <w:ind w:left="65"/>
      </w:pPr>
      <w:r>
        <w:rPr/>
        <w:br w:type="column"/>
      </w:r>
      <w:r>
        <w:rPr/>
        <w:t>are computed as mentioned</w:t>
      </w:r>
    </w:p>
    <w:p>
      <w:pPr>
        <w:spacing w:after="0" w:line="214" w:lineRule="exact"/>
        <w:sectPr>
          <w:type w:val="continuous"/>
          <w:pgSz w:w="11900" w:h="16840"/>
          <w:pgMar w:top="1600" w:bottom="280" w:left="1680" w:right="1680"/>
          <w:cols w:num="2" w:equalWidth="0">
            <w:col w:w="5415" w:space="40"/>
            <w:col w:w="3085"/>
          </w:cols>
        </w:sectPr>
      </w:pPr>
    </w:p>
    <w:p>
      <w:pPr>
        <w:pStyle w:val="BodyText"/>
        <w:spacing w:line="249" w:lineRule="auto" w:before="12"/>
        <w:ind w:left="813" w:right="807"/>
        <w:jc w:val="both"/>
      </w:pPr>
      <w:r>
        <w:rPr/>
        <w:t>in Section 3.1. After the color selection, the vectors are processed with equations (2) and (3).</w:t>
      </w:r>
    </w:p>
    <w:p>
      <w:pPr>
        <w:pStyle w:val="BodyText"/>
      </w:pPr>
    </w:p>
    <w:p>
      <w:pPr>
        <w:pStyle w:val="Heading2"/>
        <w:numPr>
          <w:ilvl w:val="1"/>
          <w:numId w:val="1"/>
        </w:numPr>
        <w:tabs>
          <w:tab w:pos="1380" w:val="left" w:leader="none"/>
        </w:tabs>
        <w:spacing w:line="240" w:lineRule="auto" w:before="133" w:after="0"/>
        <w:ind w:left="1380" w:right="0" w:hanging="567"/>
        <w:jc w:val="both"/>
      </w:pPr>
      <w:r>
        <w:rPr/>
        <w:t>Color Selection in the HSV</w:t>
      </w:r>
      <w:r>
        <w:rPr>
          <w:spacing w:val="-10"/>
        </w:rPr>
        <w:t> </w:t>
      </w:r>
      <w:r>
        <w:rPr/>
        <w:t>Space</w:t>
      </w:r>
    </w:p>
    <w:p>
      <w:pPr>
        <w:pStyle w:val="BodyText"/>
        <w:spacing w:line="244" w:lineRule="auto" w:before="166"/>
        <w:ind w:left="813" w:right="805"/>
        <w:jc w:val="both"/>
      </w:pPr>
      <w:r>
        <w:rPr/>
        <w:t>The HSV space is cone shaped, see Fig. 2, where the hue or chromaticity is in the range </w:t>
      </w:r>
      <w:r>
        <w:rPr>
          <w:rFonts w:ascii="Cambria Math" w:hAnsi="Cambria Math"/>
          <w:position w:val="1"/>
        </w:rPr>
        <w:t>[</w:t>
      </w:r>
      <w:r>
        <w:rPr>
          <w:rFonts w:ascii="Cambria Math" w:hAnsi="Cambria Math"/>
        </w:rPr>
        <w:t>0,2n</w:t>
      </w:r>
      <w:r>
        <w:rPr>
          <w:rFonts w:ascii="Cambria Math" w:hAnsi="Cambria Math"/>
          <w:position w:val="1"/>
        </w:rPr>
        <w:t>] </w:t>
      </w:r>
      <w:r>
        <w:rPr>
          <w:rFonts w:ascii="Cambria Math" w:hAnsi="Cambria Math"/>
        </w:rPr>
        <w:t>&lt; %</w:t>
      </w:r>
      <w:r>
        <w:rPr/>
        <w:t>; the saturation is the distance to the glow axis of black-white, the value is the height in the white-black axis. Both saturation and value are in the inter- val </w:t>
      </w:r>
      <w:r>
        <w:rPr>
          <w:rFonts w:ascii="Cambria Math" w:hAnsi="Cambria Math"/>
          <w:position w:val="1"/>
        </w:rPr>
        <w:t>[</w:t>
      </w:r>
      <w:r>
        <w:rPr>
          <w:rFonts w:ascii="Cambria Math" w:hAnsi="Cambria Math"/>
        </w:rPr>
        <w:t>0,1</w:t>
      </w:r>
      <w:r>
        <w:rPr>
          <w:rFonts w:ascii="Cambria Math" w:hAnsi="Cambria Math"/>
          <w:position w:val="1"/>
        </w:rPr>
        <w:t>] </w:t>
      </w:r>
      <w:r>
        <w:rPr>
          <w:rFonts w:ascii="Cambria Math" w:hAnsi="Cambria Math"/>
        </w:rPr>
        <w:t>&lt; %</w:t>
      </w:r>
      <w:r>
        <w:rPr/>
        <w:t>. Computing the mean and variance of the hue as a scalar value cannot be precise, because the hue data near </w:t>
      </w:r>
      <w:r>
        <w:rPr>
          <w:rFonts w:ascii="Cambria Math" w:hAnsi="Cambria Math"/>
        </w:rPr>
        <w:t>0 </w:t>
      </w:r>
      <w:r>
        <w:rPr/>
        <w:t>are different from the hue data near </w:t>
      </w:r>
      <w:r>
        <w:rPr>
          <w:rFonts w:ascii="Cambria Math" w:hAnsi="Cambria Math"/>
        </w:rPr>
        <w:t>2n</w:t>
      </w:r>
      <w:r>
        <w:rPr/>
        <w:t>, but  the chromaticity in both cases is very similar. So, the hue of a pixel is represented as a two-element</w:t>
      </w:r>
      <w:r>
        <w:rPr>
          <w:spacing w:val="-5"/>
        </w:rPr>
        <w:t> </w:t>
      </w:r>
      <w:r>
        <w:rPr/>
        <w:t>unit</w:t>
      </w:r>
      <w:r>
        <w:rPr>
          <w:spacing w:val="-3"/>
        </w:rPr>
        <w:t> </w:t>
      </w:r>
      <w:r>
        <w:rPr/>
        <w:t>vector</w:t>
      </w:r>
      <w:r>
        <w:rPr>
          <w:spacing w:val="-2"/>
        </w:rPr>
        <w:t> </w:t>
      </w:r>
      <w:r>
        <w:rPr/>
        <w:t>whose</w:t>
      </w:r>
      <w:r>
        <w:rPr>
          <w:spacing w:val="-4"/>
        </w:rPr>
        <w:t> </w:t>
      </w:r>
      <w:r>
        <w:rPr/>
        <w:t>orientation</w:t>
      </w:r>
      <w:r>
        <w:rPr>
          <w:spacing w:val="-6"/>
        </w:rPr>
        <w:t> </w:t>
      </w:r>
      <w:r>
        <w:rPr/>
        <w:t>is</w:t>
      </w:r>
      <w:r>
        <w:rPr>
          <w:spacing w:val="-6"/>
        </w:rPr>
        <w:t> </w:t>
      </w:r>
      <w:r>
        <w:rPr/>
        <w:t>the</w:t>
      </w:r>
      <w:r>
        <w:rPr>
          <w:spacing w:val="-4"/>
        </w:rPr>
        <w:t> </w:t>
      </w:r>
      <w:r>
        <w:rPr/>
        <w:t>pixel’s</w:t>
      </w:r>
      <w:r>
        <w:rPr>
          <w:spacing w:val="-6"/>
        </w:rPr>
        <w:t> </w:t>
      </w:r>
      <w:r>
        <w:rPr/>
        <w:t>hue</w:t>
      </w:r>
      <w:r>
        <w:rPr>
          <w:spacing w:val="-2"/>
        </w:rPr>
        <w:t> </w:t>
      </w:r>
      <w:r>
        <w:rPr/>
        <w:t>data.</w:t>
      </w:r>
    </w:p>
    <w:p>
      <w:pPr>
        <w:spacing w:after="0" w:line="244" w:lineRule="auto"/>
        <w:jc w:val="both"/>
        <w:sectPr>
          <w:type w:val="continuous"/>
          <w:pgSz w:w="11900" w:h="16840"/>
          <w:pgMar w:top="1600" w:bottom="280" w:left="1680" w:right="1680"/>
        </w:sectPr>
      </w:pPr>
    </w:p>
    <w:p>
      <w:pPr>
        <w:pStyle w:val="BodyText"/>
        <w:spacing w:before="9"/>
      </w:pPr>
    </w:p>
    <w:p>
      <w:pPr>
        <w:pStyle w:val="BodyText"/>
        <w:spacing w:line="240" w:lineRule="exact" w:before="95"/>
        <w:ind w:left="813" w:right="808" w:firstLine="228"/>
        <w:jc w:val="both"/>
      </w:pPr>
      <w:r>
        <w:rPr/>
        <w:t>Let </w:t>
      </w:r>
      <w:r>
        <w:rPr>
          <w:rFonts w:ascii="Cambria Math" w:hAnsi="Cambria Math" w:cs="Cambria Math" w:eastAsia="Cambria Math"/>
          <w:position w:val="1"/>
        </w:rPr>
        <w:t>{</w:t>
      </w:r>
      <w:r>
        <w:rPr>
          <w:rFonts w:ascii="Cambria Math" w:hAnsi="Cambria Math" w:cs="Cambria Math" w:eastAsia="Cambria Math"/>
        </w:rPr>
        <w:t>$</w:t>
      </w:r>
      <w:r>
        <w:rPr>
          <w:rFonts w:ascii="Cambria Math" w:hAnsi="Cambria Math" w:cs="Cambria Math" w:eastAsia="Cambria Math"/>
          <w:position w:val="-3"/>
          <w:sz w:val="14"/>
          <w:szCs w:val="14"/>
        </w:rPr>
        <w:t>1</w:t>
      </w:r>
      <w:r>
        <w:rPr>
          <w:rFonts w:ascii="Cambria Math" w:hAnsi="Cambria Math" w:cs="Cambria Math" w:eastAsia="Cambria Math"/>
        </w:rPr>
        <w:t>,…, $</w:t>
      </w:r>
      <w:r>
        <w:rPr>
          <w:rFonts w:ascii="Cambria Math" w:hAnsi="Cambria Math" w:cs="Cambria Math" w:eastAsia="Cambria Math"/>
          <w:position w:val="-3"/>
          <w:sz w:val="14"/>
          <w:szCs w:val="14"/>
        </w:rPr>
        <w:t>N</w:t>
      </w:r>
      <w:r>
        <w:rPr>
          <w:rFonts w:ascii="Cambria Math" w:hAnsi="Cambria Math" w:cs="Cambria Math" w:eastAsia="Cambria Math"/>
          <w:position w:val="1"/>
        </w:rPr>
        <w:t>} </w:t>
      </w:r>
      <w:r>
        <w:rPr>
          <w:rFonts w:ascii="Cambria Math" w:hAnsi="Cambria Math" w:cs="Cambria Math" w:eastAsia="Cambria Math"/>
        </w:rPr>
        <w:t>&lt; %</w:t>
      </w:r>
      <w:r>
        <w:rPr>
          <w:rFonts w:ascii="Cambria Math" w:hAnsi="Cambria Math" w:cs="Cambria Math" w:eastAsia="Cambria Math"/>
          <w:position w:val="7"/>
          <w:sz w:val="14"/>
          <w:szCs w:val="14"/>
        </w:rPr>
        <w:t>3 </w:t>
      </w:r>
      <w:r>
        <w:rPr/>
        <w:t>the set of color vectors of an image in the RGB space, these vectors are mapped to the HSV space to form the set </w:t>
      </w:r>
      <w:r>
        <w:rPr>
          <w:rFonts w:ascii="Cambria Math" w:hAnsi="Cambria Math" w:cs="Cambria Math" w:eastAsia="Cambria Math"/>
          <w:position w:val="1"/>
        </w:rPr>
        <w:t>{</w:t>
      </w:r>
      <w:r>
        <w:rPr>
          <w:rFonts w:ascii="Cambria Math" w:hAnsi="Cambria Math" w:cs="Cambria Math" w:eastAsia="Cambria Math"/>
          <w:rtl/>
        </w:rPr>
        <w:t>߮</w:t>
      </w:r>
      <w:r>
        <w:rPr>
          <w:rFonts w:ascii="Cambria Math" w:hAnsi="Cambria Math" w:cs="Cambria Math" w:eastAsia="Cambria Math"/>
          <w:position w:val="-3"/>
          <w:sz w:val="14"/>
          <w:szCs w:val="14"/>
        </w:rPr>
        <w:t>1</w:t>
      </w:r>
      <w:r>
        <w:rPr>
          <w:rFonts w:ascii="Cambria Math" w:hAnsi="Cambria Math" w:cs="Cambria Math" w:eastAsia="Cambria Math"/>
        </w:rPr>
        <w:t>,…, </w:t>
      </w:r>
      <w:r>
        <w:rPr>
          <w:rFonts w:ascii="Cambria Math" w:hAnsi="Cambria Math" w:cs="Cambria Math" w:eastAsia="Cambria Math"/>
          <w:rtl/>
        </w:rPr>
        <w:t>߮</w:t>
      </w:r>
      <w:r>
        <w:rPr>
          <w:rFonts w:ascii="Cambria Math" w:hAnsi="Cambria Math" w:cs="Cambria Math" w:eastAsia="Cambria Math"/>
          <w:position w:val="-3"/>
          <w:sz w:val="14"/>
          <w:szCs w:val="14"/>
        </w:rPr>
        <w:t>N</w:t>
      </w:r>
      <w:r>
        <w:rPr>
          <w:rFonts w:ascii="Cambria Math" w:hAnsi="Cambria Math" w:cs="Cambria Math" w:eastAsia="Cambria Math"/>
          <w:position w:val="1"/>
        </w:rPr>
        <w:t>} </w:t>
      </w:r>
      <w:r>
        <w:rPr>
          <w:rFonts w:ascii="Cambria Math" w:hAnsi="Cambria Math" w:cs="Cambria Math" w:eastAsia="Cambria Math"/>
        </w:rPr>
        <w:t>&lt; %</w:t>
      </w:r>
      <w:r>
        <w:rPr>
          <w:rFonts w:ascii="Cambria Math" w:hAnsi="Cambria Math" w:cs="Cambria Math" w:eastAsia="Cambria Math"/>
          <w:position w:val="7"/>
          <w:sz w:val="14"/>
          <w:szCs w:val="14"/>
        </w:rPr>
        <w:t>3</w:t>
      </w:r>
      <w:r>
        <w:rPr/>
        <w:t>. Each vecto</w:t>
      </w:r>
      <w:r>
        <w:rPr/>
        <w:t>r</w:t>
      </w:r>
    </w:p>
    <w:p>
      <w:pPr>
        <w:pStyle w:val="BodyText"/>
        <w:spacing w:line="258" w:lineRule="exact"/>
        <w:ind w:left="813" w:right="845"/>
      </w:pPr>
      <w:r>
        <w:rPr>
          <w:rFonts w:ascii="Cambria Math" w:hAnsi="Cambria Math" w:cs="Cambria Math" w:eastAsia="Cambria Math"/>
          <w:rtl/>
        </w:rPr>
        <w:t>߮</w:t>
      </w:r>
      <w:r>
        <w:rPr>
          <w:rFonts w:ascii="Cambria Math" w:hAnsi="Cambria Math" w:cs="Cambria Math" w:eastAsia="Cambria Math"/>
          <w:position w:val="-3"/>
          <w:sz w:val="14"/>
          <w:szCs w:val="14"/>
        </w:rPr>
        <w:t>p   </w:t>
      </w:r>
      <w:r>
        <w:rPr/>
        <w:t>has the elements hue (</w:t>
      </w:r>
      <w:r>
        <w:rPr>
          <w:rFonts w:ascii="Cambria Math" w:hAnsi="Cambria Math" w:cs="Cambria Math" w:eastAsia="Cambria Math"/>
        </w:rPr>
        <w:t>h</w:t>
      </w:r>
      <w:r>
        <w:rPr/>
        <w:t>), saturation (</w:t>
      </w:r>
      <w:r>
        <w:rPr>
          <w:rFonts w:ascii="Cambria Math" w:hAnsi="Cambria Math" w:cs="Cambria Math" w:eastAsia="Cambria Math"/>
        </w:rPr>
        <w:t>s</w:t>
      </w:r>
      <w:r>
        <w:rPr/>
        <w:t>) and value (</w:t>
      </w:r>
      <w:r>
        <w:rPr>
          <w:rFonts w:ascii="Cambria Math" w:hAnsi="Cambria Math" w:cs="Cambria Math" w:eastAsia="Cambria Math"/>
        </w:rPr>
        <w:t>r</w:t>
      </w:r>
      <w:r>
        <w:rPr/>
        <w:t>); i.e., </w:t>
      </w:r>
      <w:r>
        <w:rPr>
          <w:rFonts w:ascii="Cambria Math" w:hAnsi="Cambria Math" w:cs="Cambria Math" w:eastAsia="Cambria Math"/>
          <w:rtl/>
        </w:rPr>
        <w:t>߮</w:t>
      </w:r>
      <w:r>
        <w:rPr>
          <w:rFonts w:ascii="Cambria Math" w:hAnsi="Cambria Math" w:cs="Cambria Math" w:eastAsia="Cambria Math"/>
          <w:position w:val="-3"/>
          <w:sz w:val="14"/>
          <w:szCs w:val="14"/>
        </w:rPr>
        <w:t>p  </w:t>
      </w:r>
      <w:r>
        <w:rPr>
          <w:rFonts w:ascii="Cambria Math" w:hAnsi="Cambria Math" w:cs="Cambria Math" w:eastAsia="Cambria Math"/>
        </w:rPr>
        <w:t>= [h</w:t>
      </w:r>
      <w:r>
        <w:rPr>
          <w:rFonts w:ascii="Cambria Math" w:hAnsi="Cambria Math" w:cs="Cambria Math" w:eastAsia="Cambria Math"/>
          <w:position w:val="-3"/>
          <w:sz w:val="14"/>
          <w:szCs w:val="14"/>
        </w:rPr>
        <w:t>p</w:t>
      </w:r>
      <w:r>
        <w:rPr>
          <w:rFonts w:ascii="Cambria Math" w:hAnsi="Cambria Math" w:cs="Cambria Math" w:eastAsia="Cambria Math"/>
        </w:rPr>
        <w:t>, s</w:t>
      </w:r>
      <w:r>
        <w:rPr>
          <w:rFonts w:ascii="Cambria Math" w:hAnsi="Cambria Math" w:cs="Cambria Math" w:eastAsia="Cambria Math"/>
          <w:position w:val="-3"/>
          <w:sz w:val="14"/>
          <w:szCs w:val="14"/>
        </w:rPr>
        <w:t>p</w:t>
      </w:r>
      <w:r>
        <w:rPr>
          <w:rFonts w:ascii="Cambria Math" w:hAnsi="Cambria Math" w:cs="Cambria Math" w:eastAsia="Cambria Math"/>
        </w:rPr>
        <w:t>, r</w:t>
      </w:r>
      <w:r>
        <w:rPr>
          <w:rFonts w:ascii="Cambria Math" w:hAnsi="Cambria Math" w:cs="Cambria Math" w:eastAsia="Cambria Math"/>
          <w:position w:val="-3"/>
          <w:sz w:val="14"/>
          <w:szCs w:val="14"/>
        </w:rPr>
        <w:t>p</w:t>
      </w:r>
      <w:r>
        <w:rPr>
          <w:rFonts w:ascii="Cambria Math" w:hAnsi="Cambria Math" w:cs="Cambria Math" w:eastAsia="Cambria Math"/>
        </w:rPr>
        <w:t>]</w:t>
      </w:r>
      <w:r>
        <w:rPr/>
        <w:t>.</w:t>
      </w:r>
    </w:p>
    <w:p>
      <w:pPr>
        <w:pStyle w:val="BodyText"/>
        <w:spacing w:before="6"/>
        <w:rPr>
          <w:sz w:val="17"/>
        </w:rPr>
      </w:pPr>
      <w:r>
        <w:rPr/>
        <w:drawing>
          <wp:anchor distT="0" distB="0" distL="0" distR="0" allowOverlap="1" layoutInCell="1" locked="0" behindDoc="0" simplePos="0" relativeHeight="1504">
            <wp:simplePos x="0" y="0"/>
            <wp:positionH relativeFrom="page">
              <wp:posOffset>2767571</wp:posOffset>
            </wp:positionH>
            <wp:positionV relativeFrom="paragraph">
              <wp:posOffset>152967</wp:posOffset>
            </wp:positionV>
            <wp:extent cx="2046233" cy="1533905"/>
            <wp:effectExtent l="0" t="0" r="0" b="0"/>
            <wp:wrapTopAndBottom/>
            <wp:docPr id="3" name="image18.jpeg" descr=""/>
            <wp:cNvGraphicFramePr>
              <a:graphicFrameLocks noChangeAspect="1"/>
            </wp:cNvGraphicFramePr>
            <a:graphic>
              <a:graphicData uri="http://schemas.openxmlformats.org/drawingml/2006/picture">
                <pic:pic>
                  <pic:nvPicPr>
                    <pic:cNvPr id="4" name="image18.jpeg"/>
                    <pic:cNvPicPr/>
                  </pic:nvPicPr>
                  <pic:blipFill>
                    <a:blip r:embed="rId24" cstate="print"/>
                    <a:stretch>
                      <a:fillRect/>
                    </a:stretch>
                  </pic:blipFill>
                  <pic:spPr>
                    <a:xfrm>
                      <a:off x="0" y="0"/>
                      <a:ext cx="2046233" cy="1533905"/>
                    </a:xfrm>
                    <a:prstGeom prst="rect">
                      <a:avLst/>
                    </a:prstGeom>
                  </pic:spPr>
                </pic:pic>
              </a:graphicData>
            </a:graphic>
          </wp:anchor>
        </w:drawing>
      </w:r>
    </w:p>
    <w:p>
      <w:pPr>
        <w:spacing w:before="73"/>
        <w:ind w:left="813" w:right="812" w:firstLine="0"/>
        <w:jc w:val="center"/>
        <w:rPr>
          <w:sz w:val="18"/>
        </w:rPr>
      </w:pPr>
      <w:r>
        <w:rPr>
          <w:b/>
          <w:sz w:val="18"/>
        </w:rPr>
        <w:t>Fig. 2. </w:t>
      </w:r>
      <w:r>
        <w:rPr>
          <w:sz w:val="18"/>
        </w:rPr>
        <w:t>HSV color space</w:t>
      </w:r>
    </w:p>
    <w:p>
      <w:pPr>
        <w:pStyle w:val="BodyText"/>
      </w:pPr>
    </w:p>
    <w:p>
      <w:pPr>
        <w:pStyle w:val="BodyText"/>
        <w:spacing w:line="244" w:lineRule="auto" w:before="1"/>
        <w:ind w:left="813" w:right="805" w:firstLine="228"/>
        <w:jc w:val="both"/>
      </w:pPr>
      <w:r>
        <w:rPr>
          <w:spacing w:val="1"/>
          <w:w w:val="99"/>
        </w:rPr>
        <w:t>W</w:t>
      </w:r>
      <w:r>
        <w:rPr>
          <w:w w:val="99"/>
        </w:rPr>
        <w:t>e</w:t>
      </w:r>
      <w:r>
        <w:rPr/>
        <w:t> </w:t>
      </w:r>
      <w:r>
        <w:rPr>
          <w:spacing w:val="-14"/>
        </w:rPr>
        <w:t> </w:t>
      </w:r>
      <w:r>
        <w:rPr>
          <w:w w:val="99"/>
        </w:rPr>
        <w:t>obtain</w:t>
      </w:r>
      <w:r>
        <w:rPr/>
        <w:t> </w:t>
      </w:r>
      <w:r>
        <w:rPr>
          <w:spacing w:val="-15"/>
        </w:rPr>
        <w:t> </w:t>
      </w:r>
      <w:r>
        <w:rPr>
          <w:w w:val="99"/>
        </w:rPr>
        <w:t>t</w:t>
      </w:r>
      <w:r>
        <w:rPr>
          <w:spacing w:val="-2"/>
          <w:w w:val="99"/>
        </w:rPr>
        <w:t>h</w:t>
      </w:r>
      <w:r>
        <w:rPr>
          <w:w w:val="99"/>
        </w:rPr>
        <w:t>e</w:t>
      </w:r>
      <w:r>
        <w:rPr/>
        <w:t> </w:t>
      </w:r>
      <w:r>
        <w:rPr>
          <w:spacing w:val="-14"/>
        </w:rPr>
        <w:t> </w:t>
      </w:r>
      <w:r>
        <w:rPr>
          <w:spacing w:val="-1"/>
          <w:w w:val="99"/>
        </w:rPr>
        <w:t>s</w:t>
      </w:r>
      <w:r>
        <w:rPr>
          <w:w w:val="99"/>
        </w:rPr>
        <w:t>e</w:t>
      </w:r>
      <w:r>
        <w:rPr>
          <w:w w:val="99"/>
        </w:rPr>
        <w:t>t</w:t>
      </w:r>
      <w:r>
        <w:rPr/>
        <w:t> </w:t>
      </w:r>
      <w:r>
        <w:rPr>
          <w:spacing w:val="-11"/>
        </w:rPr>
        <w:t> </w:t>
      </w:r>
      <w:r>
        <w:rPr>
          <w:rFonts w:ascii="Cambria Math" w:hAnsi="Cambria Math" w:cs="Cambria Math" w:eastAsia="Cambria Math"/>
          <w:spacing w:val="-1"/>
          <w:w w:val="99"/>
          <w:position w:val="1"/>
        </w:rPr>
        <w:t>{</w:t>
      </w:r>
      <w:r>
        <w:rPr>
          <w:rFonts w:ascii="Cambria Math" w:hAnsi="Cambria Math" w:cs="Cambria Math" w:eastAsia="Cambria Math"/>
          <w:spacing w:val="-6"/>
          <w:w w:val="231"/>
        </w:rPr>
        <w:t>ƒ</w:t>
      </w:r>
      <w:r>
        <w:rPr>
          <w:rFonts w:ascii="Cambria Math" w:hAnsi="Cambria Math" w:cs="Cambria Math" w:eastAsia="Cambria Math"/>
          <w:spacing w:val="10"/>
          <w:w w:val="103"/>
          <w:position w:val="-3"/>
          <w:sz w:val="14"/>
          <w:szCs w:val="14"/>
        </w:rPr>
        <w:t>1</w:t>
      </w:r>
      <w:r>
        <w:rPr>
          <w:rFonts w:ascii="Cambria Math" w:hAnsi="Cambria Math" w:cs="Cambria Math" w:eastAsia="Cambria Math"/>
          <w:spacing w:val="33"/>
          <w:w w:val="99"/>
        </w:rPr>
        <w:t>,</w:t>
      </w:r>
      <w:r>
        <w:rPr>
          <w:rFonts w:ascii="Cambria Math" w:hAnsi="Cambria Math" w:cs="Cambria Math" w:eastAsia="Cambria Math"/>
          <w:w w:val="99"/>
        </w:rPr>
        <w:t>…</w:t>
      </w:r>
      <w:r>
        <w:rPr>
          <w:rFonts w:ascii="Cambria Math" w:hAnsi="Cambria Math" w:cs="Cambria Math" w:eastAsia="Cambria Math"/>
          <w:spacing w:val="-10"/>
        </w:rPr>
        <w:t> </w:t>
      </w:r>
      <w:r>
        <w:rPr>
          <w:rFonts w:ascii="Cambria Math" w:hAnsi="Cambria Math" w:cs="Cambria Math" w:eastAsia="Cambria Math"/>
          <w:w w:val="99"/>
        </w:rPr>
        <w:t>,</w:t>
      </w:r>
      <w:r>
        <w:rPr>
          <w:rFonts w:ascii="Cambria Math" w:hAnsi="Cambria Math" w:cs="Cambria Math" w:eastAsia="Cambria Math"/>
          <w:spacing w:val="-11"/>
        </w:rPr>
        <w:t> </w:t>
      </w:r>
      <w:r>
        <w:rPr>
          <w:rFonts w:ascii="Cambria Math" w:hAnsi="Cambria Math" w:cs="Cambria Math" w:eastAsia="Cambria Math"/>
          <w:spacing w:val="-1"/>
          <w:w w:val="231"/>
        </w:rPr>
        <w:t>ƒ</w:t>
      </w:r>
      <w:r>
        <w:rPr>
          <w:rFonts w:ascii="Cambria Math" w:hAnsi="Cambria Math" w:cs="Cambria Math" w:eastAsia="Cambria Math"/>
          <w:spacing w:val="12"/>
          <w:w w:val="110"/>
          <w:position w:val="-3"/>
          <w:sz w:val="14"/>
          <w:szCs w:val="14"/>
        </w:rPr>
        <w:t>N</w:t>
      </w:r>
      <w:r>
        <w:rPr>
          <w:rFonts w:ascii="Cambria Math" w:hAnsi="Cambria Math" w:cs="Cambria Math" w:eastAsia="Cambria Math"/>
          <w:w w:val="99"/>
          <w:position w:val="1"/>
        </w:rPr>
        <w:t>}</w:t>
      </w:r>
      <w:r>
        <w:rPr>
          <w:rFonts w:ascii="Cambria Math" w:hAnsi="Cambria Math" w:cs="Cambria Math" w:eastAsia="Cambria Math"/>
          <w:spacing w:val="13"/>
          <w:position w:val="1"/>
        </w:rPr>
        <w:t> </w:t>
      </w:r>
      <w:r>
        <w:rPr>
          <w:rFonts w:ascii="Cambria Math" w:hAnsi="Cambria Math" w:cs="Cambria Math" w:eastAsia="Cambria Math"/>
          <w:w w:val="99"/>
        </w:rPr>
        <w:t>&lt;</w:t>
      </w:r>
      <w:r>
        <w:rPr>
          <w:rFonts w:ascii="Cambria Math" w:hAnsi="Cambria Math" w:cs="Cambria Math" w:eastAsia="Cambria Math"/>
          <w:spacing w:val="11"/>
        </w:rPr>
        <w:t> </w:t>
      </w:r>
      <w:r>
        <w:rPr>
          <w:rFonts w:ascii="Cambria Math" w:hAnsi="Cambria Math" w:cs="Cambria Math" w:eastAsia="Cambria Math"/>
          <w:w w:val="83"/>
        </w:rPr>
        <w:t>%</w:t>
      </w:r>
      <w:r>
        <w:rPr>
          <w:rFonts w:ascii="Cambria Math" w:hAnsi="Cambria Math" w:cs="Cambria Math" w:eastAsia="Cambria Math"/>
          <w:w w:val="103"/>
          <w:position w:val="7"/>
          <w:sz w:val="14"/>
          <w:szCs w:val="14"/>
        </w:rPr>
        <w:t>2</w:t>
      </w:r>
      <w:r>
        <w:rPr>
          <w:rFonts w:ascii="Cambria Math" w:hAnsi="Cambria Math" w:cs="Cambria Math" w:eastAsia="Cambria Math"/>
          <w:spacing w:val="-18"/>
          <w:position w:val="7"/>
          <w:sz w:val="14"/>
          <w:szCs w:val="14"/>
        </w:rPr>
        <w:t> </w:t>
      </w:r>
      <w:r>
        <w:rPr>
          <w:w w:val="99"/>
        </w:rPr>
        <w:t>,</w:t>
      </w:r>
      <w:r>
        <w:rPr/>
        <w:t> </w:t>
      </w:r>
      <w:r>
        <w:rPr>
          <w:spacing w:val="-11"/>
        </w:rPr>
        <w:t> </w:t>
      </w:r>
      <w:r>
        <w:rPr>
          <w:spacing w:val="-3"/>
          <w:w w:val="99"/>
        </w:rPr>
        <w:t>w</w:t>
      </w:r>
      <w:r>
        <w:rPr>
          <w:spacing w:val="-2"/>
          <w:w w:val="99"/>
        </w:rPr>
        <w:t>h</w:t>
      </w:r>
      <w:r>
        <w:rPr>
          <w:w w:val="99"/>
        </w:rPr>
        <w:t>ere</w:t>
      </w:r>
      <w:r>
        <w:rPr/>
        <w:t> </w:t>
      </w:r>
      <w:r>
        <w:rPr>
          <w:spacing w:val="-11"/>
        </w:rPr>
        <w:t> </w:t>
      </w:r>
      <w:r>
        <w:rPr>
          <w:rFonts w:ascii="Cambria Math" w:hAnsi="Cambria Math" w:cs="Cambria Math" w:eastAsia="Cambria Math"/>
          <w:spacing w:val="-9"/>
          <w:w w:val="231"/>
        </w:rPr>
        <w:t>ƒ</w:t>
      </w:r>
      <w:r>
        <w:rPr>
          <w:rFonts w:ascii="Cambria Math" w:hAnsi="Cambria Math" w:cs="Cambria Math" w:eastAsia="Cambria Math"/>
          <w:w w:val="112"/>
          <w:position w:val="-3"/>
          <w:sz w:val="14"/>
          <w:szCs w:val="14"/>
        </w:rPr>
        <w:t>p</w:t>
      </w:r>
      <w:r>
        <w:rPr>
          <w:rFonts w:ascii="Cambria Math" w:hAnsi="Cambria Math" w:cs="Cambria Math" w:eastAsia="Cambria Math"/>
          <w:position w:val="-3"/>
          <w:sz w:val="14"/>
          <w:szCs w:val="14"/>
        </w:rPr>
        <w:t> </w:t>
      </w:r>
      <w:r>
        <w:rPr>
          <w:rFonts w:ascii="Cambria Math" w:hAnsi="Cambria Math" w:cs="Cambria Math" w:eastAsia="Cambria Math"/>
          <w:spacing w:val="4"/>
          <w:position w:val="-3"/>
          <w:sz w:val="14"/>
          <w:szCs w:val="14"/>
        </w:rPr>
        <w:t> </w:t>
      </w:r>
      <w:r>
        <w:rPr>
          <w:rFonts w:ascii="Cambria Math" w:hAnsi="Cambria Math" w:cs="Cambria Math" w:eastAsia="Cambria Math"/>
          <w:w w:val="99"/>
        </w:rPr>
        <w:t>=</w:t>
      </w:r>
      <w:r>
        <w:rPr>
          <w:rFonts w:ascii="Cambria Math" w:hAnsi="Cambria Math" w:cs="Cambria Math" w:eastAsia="Cambria Math"/>
          <w:spacing w:val="13"/>
        </w:rPr>
        <w:t> </w:t>
      </w:r>
      <w:r>
        <w:rPr>
          <w:rFonts w:ascii="Cambria Math" w:hAnsi="Cambria Math" w:cs="Cambria Math" w:eastAsia="Cambria Math"/>
          <w:spacing w:val="-1"/>
          <w:w w:val="99"/>
        </w:rPr>
        <w:t>[</w:t>
      </w:r>
      <w:r>
        <w:rPr>
          <w:rFonts w:ascii="Cambria Math" w:hAnsi="Cambria Math" w:cs="Cambria Math" w:eastAsia="Cambria Math"/>
          <w:w w:val="99"/>
        </w:rPr>
        <w:t>c</w:t>
      </w:r>
      <w:r>
        <w:rPr>
          <w:rFonts w:ascii="Cambria Math" w:hAnsi="Cambria Math" w:cs="Cambria Math" w:eastAsia="Cambria Math"/>
          <w:spacing w:val="-1"/>
          <w:w w:val="99"/>
        </w:rPr>
        <w:t>o</w:t>
      </w:r>
      <w:r>
        <w:rPr>
          <w:rFonts w:ascii="Cambria Math" w:hAnsi="Cambria Math" w:cs="Cambria Math" w:eastAsia="Cambria Math"/>
          <w:w w:val="99"/>
        </w:rPr>
        <w:t>s</w:t>
      </w:r>
      <w:r>
        <w:rPr>
          <w:rFonts w:ascii="Cambria Math" w:hAnsi="Cambria Math" w:cs="Cambria Math" w:eastAsia="Cambria Math"/>
          <w:spacing w:val="-10"/>
        </w:rPr>
        <w:t> </w:t>
      </w:r>
      <w:r>
        <w:rPr>
          <w:rFonts w:ascii="Cambria Math" w:hAnsi="Cambria Math" w:cs="Cambria Math" w:eastAsia="Cambria Math"/>
          <w:spacing w:val="-1"/>
          <w:w w:val="100"/>
        </w:rPr>
        <w:t>h</w:t>
      </w:r>
      <w:r>
        <w:rPr>
          <w:rFonts w:ascii="Cambria Math" w:hAnsi="Cambria Math" w:cs="Cambria Math" w:eastAsia="Cambria Math"/>
          <w:w w:val="112"/>
          <w:position w:val="-3"/>
          <w:sz w:val="14"/>
          <w:szCs w:val="14"/>
        </w:rPr>
        <w:t>p</w:t>
      </w:r>
      <w:r>
        <w:rPr>
          <w:rFonts w:ascii="Cambria Math" w:hAnsi="Cambria Math" w:cs="Cambria Math" w:eastAsia="Cambria Math"/>
          <w:spacing w:val="13"/>
          <w:position w:val="-3"/>
          <w:sz w:val="14"/>
          <w:szCs w:val="14"/>
        </w:rPr>
        <w:t> </w:t>
      </w:r>
      <w:r>
        <w:rPr>
          <w:rFonts w:ascii="Cambria Math" w:hAnsi="Cambria Math" w:cs="Cambria Math" w:eastAsia="Cambria Math"/>
          <w:w w:val="99"/>
        </w:rPr>
        <w:t>,</w:t>
      </w:r>
      <w:r>
        <w:rPr>
          <w:rFonts w:ascii="Cambria Math" w:hAnsi="Cambria Math" w:cs="Cambria Math" w:eastAsia="Cambria Math"/>
          <w:spacing w:val="-13"/>
        </w:rPr>
        <w:t> </w:t>
      </w:r>
      <w:r>
        <w:rPr>
          <w:rFonts w:ascii="Cambria Math" w:hAnsi="Cambria Math" w:cs="Cambria Math" w:eastAsia="Cambria Math"/>
          <w:w w:val="99"/>
        </w:rPr>
        <w:t>s</w:t>
      </w:r>
      <w:r>
        <w:rPr>
          <w:rFonts w:ascii="Cambria Math" w:hAnsi="Cambria Math" w:cs="Cambria Math" w:eastAsia="Cambria Math"/>
          <w:spacing w:val="-1"/>
          <w:w w:val="99"/>
        </w:rPr>
        <w:t>i</w:t>
      </w:r>
      <w:r>
        <w:rPr>
          <w:rFonts w:ascii="Cambria Math" w:hAnsi="Cambria Math" w:cs="Cambria Math" w:eastAsia="Cambria Math"/>
          <w:w w:val="99"/>
        </w:rPr>
        <w:t>n</w:t>
      </w:r>
      <w:r>
        <w:rPr>
          <w:rFonts w:ascii="Cambria Math" w:hAnsi="Cambria Math" w:cs="Cambria Math" w:eastAsia="Cambria Math"/>
          <w:spacing w:val="-9"/>
        </w:rPr>
        <w:t> </w:t>
      </w:r>
      <w:r>
        <w:rPr>
          <w:rFonts w:ascii="Cambria Math" w:hAnsi="Cambria Math" w:cs="Cambria Math" w:eastAsia="Cambria Math"/>
          <w:spacing w:val="-1"/>
          <w:w w:val="100"/>
        </w:rPr>
        <w:t>h</w:t>
      </w:r>
      <w:r>
        <w:rPr>
          <w:rFonts w:ascii="Cambria Math" w:hAnsi="Cambria Math" w:cs="Cambria Math" w:eastAsia="Cambria Math"/>
          <w:spacing w:val="10"/>
          <w:w w:val="112"/>
          <w:position w:val="-3"/>
          <w:sz w:val="14"/>
          <w:szCs w:val="14"/>
        </w:rPr>
        <w:t>p</w:t>
      </w:r>
      <w:r>
        <w:rPr>
          <w:rFonts w:ascii="Cambria Math" w:hAnsi="Cambria Math" w:cs="Cambria Math" w:eastAsia="Cambria Math"/>
          <w:spacing w:val="7"/>
          <w:w w:val="99"/>
        </w:rPr>
        <w:t>]</w:t>
      </w:r>
      <w:r>
        <w:rPr>
          <w:w w:val="99"/>
        </w:rPr>
        <w:t>.</w:t>
      </w:r>
      <w:r>
        <w:rPr/>
        <w:t> </w:t>
      </w:r>
      <w:r>
        <w:rPr>
          <w:spacing w:val="-13"/>
        </w:rPr>
        <w:t> </w:t>
      </w:r>
      <w:r>
        <w:rPr>
          <w:spacing w:val="3"/>
          <w:w w:val="99"/>
        </w:rPr>
        <w:t>T</w:t>
      </w:r>
      <w:r>
        <w:rPr>
          <w:spacing w:val="-2"/>
          <w:w w:val="99"/>
        </w:rPr>
        <w:t>h</w:t>
      </w:r>
      <w:r>
        <w:rPr>
          <w:w w:val="99"/>
        </w:rPr>
        <w:t>ere</w:t>
      </w:r>
      <w:r>
        <w:rPr>
          <w:spacing w:val="-2"/>
          <w:w w:val="99"/>
        </w:rPr>
        <w:t>f</w:t>
      </w:r>
      <w:r>
        <w:rPr>
          <w:w w:val="99"/>
        </w:rPr>
        <w:t>ore,</w:t>
      </w:r>
      <w:r>
        <w:rPr/>
        <w:t> </w:t>
      </w:r>
      <w:r>
        <w:rPr>
          <w:spacing w:val="-13"/>
        </w:rPr>
        <w:t> </w:t>
      </w:r>
      <w:r>
        <w:rPr>
          <w:w w:val="99"/>
        </w:rPr>
        <w:t>a </w:t>
      </w:r>
      <w:r>
        <w:rPr>
          <w:w w:val="105"/>
        </w:rPr>
        <w:t>pixel’s</w:t>
      </w:r>
      <w:r>
        <w:rPr>
          <w:spacing w:val="-18"/>
          <w:w w:val="105"/>
        </w:rPr>
        <w:t> </w:t>
      </w:r>
      <w:r>
        <w:rPr>
          <w:w w:val="105"/>
        </w:rPr>
        <w:t>color</w:t>
      </w:r>
      <w:r>
        <w:rPr>
          <w:spacing w:val="-18"/>
          <w:w w:val="105"/>
        </w:rPr>
        <w:t> </w:t>
      </w:r>
      <w:r>
        <w:rPr>
          <w:w w:val="105"/>
        </w:rPr>
        <w:t>vector</w:t>
      </w:r>
      <w:r>
        <w:rPr>
          <w:spacing w:val="-18"/>
          <w:w w:val="105"/>
        </w:rPr>
        <w:t> </w:t>
      </w:r>
      <w:r>
        <w:rPr>
          <w:w w:val="105"/>
        </w:rPr>
        <w:t>is</w:t>
      </w:r>
      <w:r>
        <w:rPr>
          <w:spacing w:val="-16"/>
          <w:w w:val="105"/>
        </w:rPr>
        <w:t> </w:t>
      </w:r>
      <w:r>
        <w:rPr>
          <w:w w:val="105"/>
        </w:rPr>
        <w:t>set</w:t>
      </w:r>
      <w:r>
        <w:rPr>
          <w:spacing w:val="-18"/>
          <w:w w:val="105"/>
        </w:rPr>
        <w:t> </w:t>
      </w:r>
      <w:r>
        <w:rPr>
          <w:w w:val="105"/>
        </w:rPr>
        <w:t>to</w:t>
      </w:r>
      <w:r>
        <w:rPr>
          <w:spacing w:val="-17"/>
          <w:w w:val="105"/>
        </w:rPr>
        <w:t> </w:t>
      </w:r>
      <w:r>
        <w:rPr>
          <w:w w:val="105"/>
        </w:rPr>
        <w:t>zero</w:t>
      </w:r>
      <w:r>
        <w:rPr>
          <w:spacing w:val="-17"/>
          <w:w w:val="105"/>
        </w:rPr>
        <w:t> </w:t>
      </w:r>
      <w:r>
        <w:rPr>
          <w:w w:val="105"/>
        </w:rPr>
        <w:t>if</w:t>
      </w:r>
      <w:r>
        <w:rPr>
          <w:spacing w:val="-19"/>
          <w:w w:val="105"/>
        </w:rPr>
        <w:t> </w:t>
      </w:r>
      <w:r>
        <w:rPr>
          <w:w w:val="105"/>
        </w:rPr>
        <w:t>the</w:t>
      </w:r>
      <w:r>
        <w:rPr>
          <w:spacing w:val="-16"/>
          <w:w w:val="105"/>
        </w:rPr>
        <w:t> </w:t>
      </w:r>
      <w:r>
        <w:rPr>
          <w:w w:val="105"/>
        </w:rPr>
        <w:t>hue</w:t>
      </w:r>
      <w:r>
        <w:rPr>
          <w:spacing w:val="-18"/>
          <w:w w:val="105"/>
        </w:rPr>
        <w:t> </w:t>
      </w:r>
      <w:r>
        <w:rPr>
          <w:w w:val="105"/>
        </w:rPr>
        <w:t>component</w:t>
      </w:r>
      <w:r>
        <w:rPr>
          <w:spacing w:val="-18"/>
          <w:w w:val="105"/>
        </w:rPr>
        <w:t> </w:t>
      </w:r>
      <w:r>
        <w:rPr>
          <w:w w:val="105"/>
        </w:rPr>
        <w:t>of</w:t>
      </w:r>
      <w:r>
        <w:rPr>
          <w:spacing w:val="-19"/>
          <w:w w:val="105"/>
        </w:rPr>
        <w:t> </w:t>
      </w:r>
      <w:r>
        <w:rPr>
          <w:w w:val="105"/>
        </w:rPr>
        <w:t>its</w:t>
      </w:r>
      <w:r>
        <w:rPr>
          <w:spacing w:val="-18"/>
          <w:w w:val="105"/>
        </w:rPr>
        <w:t> </w:t>
      </w:r>
      <w:r>
        <w:rPr>
          <w:w w:val="105"/>
        </w:rPr>
        <w:t>corresponding</w:t>
      </w:r>
      <w:r>
        <w:rPr>
          <w:spacing w:val="-17"/>
          <w:w w:val="105"/>
        </w:rPr>
        <w:t> </w:t>
      </w:r>
      <w:r>
        <w:rPr>
          <w:w w:val="105"/>
        </w:rPr>
        <w:t>vector</w:t>
      </w:r>
      <w:r>
        <w:rPr>
          <w:spacing w:val="-5"/>
          <w:w w:val="105"/>
        </w:rPr>
        <w:t> </w:t>
      </w:r>
      <w:r>
        <w:rPr>
          <w:rFonts w:ascii="Cambria Math" w:hAnsi="Cambria Math" w:cs="Cambria Math" w:eastAsia="Cambria Math"/>
          <w:rtl/>
        </w:rPr>
        <w:t>߮</w:t>
      </w:r>
      <w:r>
        <w:rPr>
          <w:rFonts w:ascii="Cambria Math" w:hAnsi="Cambria Math" w:cs="Cambria Math" w:eastAsia="Cambria Math"/>
        </w:rPr>
        <w:t> </w:t>
      </w:r>
      <w:r>
        <w:rPr>
          <w:w w:val="105"/>
        </w:rPr>
        <w:t>has</w:t>
      </w:r>
      <w:r>
        <w:rPr>
          <w:spacing w:val="-30"/>
          <w:w w:val="105"/>
        </w:rPr>
        <w:t> </w:t>
      </w:r>
      <w:r>
        <w:rPr>
          <w:w w:val="105"/>
        </w:rPr>
        <w:t>high</w:t>
      </w:r>
      <w:r>
        <w:rPr>
          <w:spacing w:val="-30"/>
          <w:w w:val="105"/>
        </w:rPr>
        <w:t> </w:t>
      </w:r>
      <w:r>
        <w:rPr>
          <w:w w:val="105"/>
        </w:rPr>
        <w:t>variance.</w:t>
      </w:r>
      <w:r>
        <w:rPr>
          <w:spacing w:val="-30"/>
          <w:w w:val="105"/>
        </w:rPr>
        <w:t> </w:t>
      </w:r>
      <w:r>
        <w:rPr>
          <w:w w:val="105"/>
        </w:rPr>
        <w:t>That</w:t>
      </w:r>
      <w:r>
        <w:rPr>
          <w:spacing w:val="-30"/>
          <w:w w:val="105"/>
        </w:rPr>
        <w:t> </w:t>
      </w:r>
      <w:r>
        <w:rPr>
          <w:w w:val="105"/>
        </w:rPr>
        <w:t>is</w:t>
      </w:r>
      <w:r>
        <w:rPr>
          <w:w w:val="105"/>
        </w:rPr>
        <w:t>:</w:t>
      </w:r>
    </w:p>
    <w:p>
      <w:pPr>
        <w:spacing w:after="0" w:line="244" w:lineRule="auto"/>
        <w:jc w:val="both"/>
        <w:sectPr>
          <w:pgSz w:w="11900" w:h="16840"/>
          <w:pgMar w:header="2414" w:footer="0" w:top="2600" w:bottom="280" w:left="1680" w:right="1680"/>
        </w:sectPr>
      </w:pPr>
    </w:p>
    <w:p>
      <w:pPr>
        <w:spacing w:line="120" w:lineRule="exact" w:before="4"/>
        <w:ind w:left="0" w:right="0" w:firstLine="0"/>
        <w:jc w:val="right"/>
        <w:rPr>
          <w:rFonts w:ascii="Cambria Math"/>
          <w:sz w:val="14"/>
        </w:rPr>
      </w:pPr>
      <w:r>
        <w:rPr>
          <w:rFonts w:ascii="Cambria Math"/>
          <w:w w:val="103"/>
          <w:sz w:val="14"/>
        </w:rPr>
        <w:t>2</w:t>
      </w:r>
    </w:p>
    <w:p>
      <w:pPr>
        <w:tabs>
          <w:tab w:pos="587" w:val="left" w:leader="none"/>
        </w:tabs>
        <w:spacing w:line="265" w:lineRule="exact" w:before="0"/>
        <w:ind w:left="0" w:right="78" w:firstLine="0"/>
        <w:jc w:val="right"/>
        <w:rPr>
          <w:rFonts w:ascii="Cambria Math" w:hAnsi="Cambria Math"/>
          <w:sz w:val="20"/>
        </w:rPr>
      </w:pPr>
      <w:r>
        <w:rPr/>
        <w:pict>
          <v:shape style="position:absolute;margin-left:234.719101pt;margin-top:4.240742pt;width:18.2pt;height:10pt;mso-position-horizontal-relative:page;mso-position-vertical-relative:paragraph;z-index:-14992" type="#_x0000_t202" filled="false" stroked="false">
            <v:textbox inset="0,0,0,0">
              <w:txbxContent>
                <w:p>
                  <w:pPr>
                    <w:pStyle w:val="BodyText"/>
                    <w:spacing w:line="199" w:lineRule="exact"/>
                    <w:rPr>
                      <w:rFonts w:ascii="Cambria Math"/>
                    </w:rPr>
                  </w:pPr>
                  <w:r>
                    <w:rPr>
                      <w:rFonts w:ascii="Cambria Math"/>
                      <w:w w:val="110"/>
                    </w:rPr>
                    <w:t>= {</w:t>
                  </w:r>
                  <w:r>
                    <w:rPr>
                      <w:rFonts w:ascii="Cambria Math"/>
                    </w:rPr>
                    <w:t> </w:t>
                  </w:r>
                </w:p>
              </w:txbxContent>
            </v:textbox>
            <w10:wrap type="none"/>
          </v:shape>
        </w:pict>
      </w:r>
      <w:r>
        <w:rPr/>
        <w:pict>
          <v:shape style="position:absolute;margin-left:341.639099pt;margin-top:4.032214pt;width:5.55pt;height:7pt;mso-position-horizontal-relative:page;mso-position-vertical-relative:paragraph;z-index:-14968" type="#_x0000_t202" filled="false" stroked="false">
            <v:textbox inset="0,0,0,0">
              <w:txbxContent>
                <w:p>
                  <w:pPr>
                    <w:spacing w:line="139" w:lineRule="exact" w:before="0"/>
                    <w:ind w:left="0" w:right="0" w:firstLine="0"/>
                    <w:jc w:val="left"/>
                    <w:rPr>
                      <w:rFonts w:ascii="Cambria Math" w:hAnsi="Cambria Math"/>
                      <w:sz w:val="14"/>
                    </w:rPr>
                  </w:pPr>
                  <w:r>
                    <w:rPr>
                      <w:rFonts w:ascii="Cambria Math" w:hAnsi="Cambria Math"/>
                      <w:w w:val="260"/>
                      <w:sz w:val="14"/>
                    </w:rPr>
                    <w:t>ƒ</w:t>
                  </w:r>
                </w:p>
              </w:txbxContent>
            </v:textbox>
            <w10:wrap type="none"/>
          </v:shape>
        </w:pict>
      </w:r>
      <w:r>
        <w:rPr>
          <w:rFonts w:ascii="Cambria Math" w:hAnsi="Cambria Math"/>
          <w:spacing w:val="-7"/>
          <w:w w:val="134"/>
          <w:position w:val="-9"/>
          <w:sz w:val="20"/>
        </w:rPr>
        <w:t>$</w:t>
      </w:r>
      <w:r>
        <w:rPr>
          <w:rFonts w:ascii="Cambria Math" w:hAnsi="Cambria Math"/>
          <w:w w:val="112"/>
          <w:position w:val="-13"/>
          <w:sz w:val="14"/>
        </w:rPr>
        <w:t>p</w:t>
      </w:r>
      <w:r>
        <w:rPr>
          <w:rFonts w:ascii="Cambria Math" w:hAnsi="Cambria Math"/>
          <w:position w:val="-13"/>
          <w:sz w:val="14"/>
        </w:rPr>
        <w:tab/>
      </w:r>
      <w:r>
        <w:rPr>
          <w:rFonts w:ascii="Cambria Math" w:hAnsi="Cambria Math"/>
          <w:spacing w:val="-7"/>
          <w:w w:val="134"/>
          <w:sz w:val="20"/>
        </w:rPr>
        <w:t>$</w:t>
      </w:r>
      <w:r>
        <w:rPr>
          <w:rFonts w:ascii="Cambria Math" w:hAnsi="Cambria Math"/>
          <w:spacing w:val="10"/>
          <w:w w:val="112"/>
          <w:position w:val="-3"/>
          <w:sz w:val="14"/>
        </w:rPr>
        <w:t>p</w:t>
      </w:r>
      <w:r>
        <w:rPr>
          <w:rFonts w:ascii="Cambria Math" w:hAnsi="Cambria Math"/>
          <w:w w:val="99"/>
          <w:sz w:val="20"/>
        </w:rPr>
        <w:t>,</w:t>
      </w:r>
      <w:r>
        <w:rPr>
          <w:rFonts w:ascii="Cambria Math" w:hAnsi="Cambria Math"/>
          <w:sz w:val="20"/>
        </w:rPr>
        <w:t>    </w:t>
      </w:r>
      <w:r>
        <w:rPr>
          <w:rFonts w:ascii="Cambria Math" w:hAnsi="Cambria Math"/>
          <w:spacing w:val="-22"/>
          <w:sz w:val="20"/>
        </w:rPr>
        <w:t> </w:t>
      </w:r>
      <w:r>
        <w:rPr>
          <w:rFonts w:ascii="Cambria Math" w:hAnsi="Cambria Math"/>
          <w:w w:val="134"/>
          <w:sz w:val="20"/>
        </w:rPr>
        <w:t>"</w:t>
      </w:r>
      <w:r>
        <w:rPr>
          <w:rFonts w:ascii="Cambria Math" w:hAnsi="Cambria Math"/>
          <w:spacing w:val="-9"/>
          <w:w w:val="231"/>
          <w:sz w:val="20"/>
        </w:rPr>
        <w:t>ƒ</w:t>
      </w:r>
      <w:r>
        <w:rPr>
          <w:rFonts w:ascii="Cambria Math" w:hAnsi="Cambria Math"/>
          <w:w w:val="112"/>
          <w:position w:val="-3"/>
          <w:sz w:val="14"/>
        </w:rPr>
        <w:t>p</w:t>
      </w:r>
      <w:r>
        <w:rPr>
          <w:rFonts w:ascii="Cambria Math" w:hAnsi="Cambria Math"/>
          <w:position w:val="-3"/>
          <w:sz w:val="14"/>
        </w:rPr>
        <w:t> </w:t>
      </w:r>
      <w:r>
        <w:rPr>
          <w:rFonts w:ascii="Cambria Math" w:hAnsi="Cambria Math"/>
          <w:spacing w:val="-6"/>
          <w:position w:val="-3"/>
          <w:sz w:val="14"/>
        </w:rPr>
        <w:t> </w:t>
      </w:r>
      <w:r>
        <w:rPr>
          <w:rFonts w:ascii="Cambria Math" w:hAnsi="Cambria Math"/>
          <w:w w:val="74"/>
          <w:sz w:val="20"/>
        </w:rPr>
        <w:t>—</w:t>
      </w:r>
      <w:r>
        <w:rPr>
          <w:rFonts w:ascii="Cambria Math" w:hAnsi="Cambria Math"/>
          <w:spacing w:val="1"/>
          <w:sz w:val="20"/>
        </w:rPr>
        <w:t> </w:t>
      </w:r>
      <w:r>
        <w:rPr>
          <w:rFonts w:ascii="Cambria Math" w:hAnsi="Cambria Math"/>
          <w:spacing w:val="1"/>
          <w:w w:val="100"/>
          <w:sz w:val="20"/>
        </w:rPr>
        <w:t>µ</w:t>
      </w:r>
      <w:r>
        <w:rPr>
          <w:rFonts w:ascii="Cambria Math" w:hAnsi="Cambria Math"/>
          <w:spacing w:val="9"/>
          <w:w w:val="260"/>
          <w:position w:val="-3"/>
          <w:sz w:val="14"/>
        </w:rPr>
        <w:t>ƒ</w:t>
      </w:r>
      <w:r>
        <w:rPr>
          <w:rFonts w:ascii="Cambria Math" w:hAnsi="Cambria Math"/>
          <w:w w:val="134"/>
          <w:sz w:val="20"/>
        </w:rPr>
        <w:t>"</w:t>
      </w:r>
    </w:p>
    <w:p>
      <w:pPr>
        <w:spacing w:before="56"/>
        <w:ind w:left="23" w:right="-6" w:firstLine="0"/>
        <w:jc w:val="left"/>
        <w:rPr>
          <w:rFonts w:ascii="Cambria Math" w:hAnsi="Cambria Math"/>
          <w:sz w:val="14"/>
        </w:rPr>
      </w:pPr>
      <w:r>
        <w:rPr/>
        <w:br w:type="column"/>
      </w:r>
      <w:r>
        <w:rPr>
          <w:rFonts w:ascii="Cambria Math" w:hAnsi="Cambria Math"/>
          <w:w w:val="115"/>
          <w:sz w:val="20"/>
        </w:rPr>
        <w:t>€ o</w:t>
      </w:r>
      <w:r>
        <w:rPr>
          <w:rFonts w:ascii="Cambria Math" w:hAnsi="Cambria Math"/>
          <w:w w:val="115"/>
          <w:position w:val="8"/>
          <w:sz w:val="14"/>
        </w:rPr>
        <w:t>2</w:t>
      </w:r>
    </w:p>
    <w:p>
      <w:pPr>
        <w:pStyle w:val="BodyText"/>
        <w:spacing w:before="7"/>
        <w:rPr>
          <w:rFonts w:ascii="Cambria Math"/>
          <w:sz w:val="15"/>
        </w:rPr>
      </w:pPr>
      <w:r>
        <w:rPr/>
        <w:br w:type="column"/>
      </w:r>
      <w:r>
        <w:rPr>
          <w:rFonts w:ascii="Cambria Math"/>
          <w:sz w:val="15"/>
        </w:rPr>
      </w:r>
    </w:p>
    <w:p>
      <w:pPr>
        <w:pStyle w:val="BodyText"/>
        <w:spacing w:line="205" w:lineRule="exact"/>
        <w:ind w:left="2057"/>
      </w:pPr>
      <w:r>
        <w:rPr/>
        <w:t>(8)</w:t>
      </w:r>
    </w:p>
    <w:p>
      <w:pPr>
        <w:spacing w:after="0" w:line="205" w:lineRule="exact"/>
        <w:sectPr>
          <w:type w:val="continuous"/>
          <w:pgSz w:w="11900" w:h="16840"/>
          <w:pgMar w:top="1600" w:bottom="280" w:left="1680" w:right="1680"/>
          <w:cols w:num="3" w:equalWidth="0">
            <w:col w:w="4780" w:space="40"/>
            <w:col w:w="444" w:space="40"/>
            <w:col w:w="3236"/>
          </w:cols>
        </w:sectPr>
      </w:pPr>
    </w:p>
    <w:p>
      <w:pPr>
        <w:pStyle w:val="BodyText"/>
        <w:tabs>
          <w:tab w:pos="729" w:val="left" w:leader="none"/>
        </w:tabs>
        <w:spacing w:line="200" w:lineRule="exact"/>
        <w:ind w:right="208"/>
        <w:jc w:val="center"/>
        <w:rPr>
          <w:rFonts w:ascii="Cambria Math"/>
        </w:rPr>
      </w:pPr>
      <w:r>
        <w:rPr>
          <w:rFonts w:ascii="Cambria Math"/>
          <w:w w:val="105"/>
        </w:rPr>
        <w:t>0,</w:t>
        <w:tab/>
        <w:t>otherwise</w:t>
      </w:r>
    </w:p>
    <w:p>
      <w:pPr>
        <w:pStyle w:val="BodyText"/>
        <w:spacing w:line="278" w:lineRule="exact"/>
        <w:ind w:left="1041" w:right="421"/>
      </w:pPr>
      <w:r>
        <w:rPr/>
        <w:pict>
          <v:shape style="position:absolute;margin-left:301.319092pt;margin-top:7.09386pt;width:5.55pt;height:7pt;mso-position-horizontal-relative:page;mso-position-vertical-relative:paragraph;z-index:-14944" type="#_x0000_t202" filled="false" stroked="false">
            <v:textbox inset="0,0,0,0">
              <w:txbxContent>
                <w:p>
                  <w:pPr>
                    <w:spacing w:line="139" w:lineRule="exact" w:before="0"/>
                    <w:ind w:left="0" w:right="0" w:firstLine="0"/>
                    <w:jc w:val="left"/>
                    <w:rPr>
                      <w:rFonts w:ascii="Cambria Math" w:hAnsi="Cambria Math"/>
                      <w:sz w:val="14"/>
                    </w:rPr>
                  </w:pPr>
                  <w:r>
                    <w:rPr>
                      <w:rFonts w:ascii="Cambria Math" w:hAnsi="Cambria Math"/>
                      <w:w w:val="260"/>
                      <w:sz w:val="14"/>
                    </w:rPr>
                    <w:t>ƒ</w:t>
                  </w:r>
                </w:p>
              </w:txbxContent>
            </v:textbox>
            <w10:wrap type="none"/>
          </v:shape>
        </w:pict>
      </w:r>
      <w:r>
        <w:rPr>
          <w:spacing w:val="1"/>
          <w:w w:val="99"/>
        </w:rPr>
        <w:t>W</w:t>
      </w:r>
      <w:r>
        <w:rPr>
          <w:spacing w:val="-2"/>
          <w:w w:val="99"/>
        </w:rPr>
        <w:t>h</w:t>
      </w:r>
      <w:r>
        <w:rPr>
          <w:w w:val="99"/>
        </w:rPr>
        <w:t>ere</w:t>
      </w:r>
      <w:r>
        <w:rPr/>
        <w:t> </w:t>
      </w:r>
      <w:r>
        <w:rPr>
          <w:spacing w:val="-23"/>
        </w:rPr>
        <w:t> </w:t>
      </w:r>
      <w:r>
        <w:rPr>
          <w:w w:val="99"/>
        </w:rPr>
        <w:t>t</w:t>
      </w:r>
      <w:r>
        <w:rPr>
          <w:spacing w:val="-2"/>
          <w:w w:val="99"/>
        </w:rPr>
        <w:t>h</w:t>
      </w:r>
      <w:r>
        <w:rPr>
          <w:w w:val="99"/>
        </w:rPr>
        <w:t>e</w:t>
      </w:r>
      <w:r>
        <w:rPr/>
        <w:t> </w:t>
      </w:r>
      <w:r>
        <w:rPr>
          <w:spacing w:val="-21"/>
        </w:rPr>
        <w:t> </w:t>
      </w:r>
      <w:r>
        <w:rPr>
          <w:spacing w:val="-2"/>
          <w:w w:val="99"/>
        </w:rPr>
        <w:t>m</w:t>
      </w:r>
      <w:r>
        <w:rPr>
          <w:w w:val="99"/>
        </w:rPr>
        <w:t>e</w:t>
      </w:r>
      <w:r>
        <w:rPr>
          <w:spacing w:val="2"/>
          <w:w w:val="99"/>
        </w:rPr>
        <w:t>a</w:t>
      </w:r>
      <w:r>
        <w:rPr>
          <w:w w:val="99"/>
        </w:rPr>
        <w:t>n</w:t>
      </w:r>
      <w:r>
        <w:rPr/>
        <w:t> </w:t>
      </w:r>
      <w:r>
        <w:rPr>
          <w:spacing w:val="-20"/>
        </w:rPr>
        <w:t> </w:t>
      </w:r>
      <w:r>
        <w:rPr>
          <w:rFonts w:ascii="Cambria Math" w:hAnsi="Cambria Math"/>
          <w:spacing w:val="1"/>
          <w:w w:val="100"/>
        </w:rPr>
        <w:t>µ</w:t>
      </w:r>
      <w:r>
        <w:rPr>
          <w:rFonts w:ascii="Cambria Math" w:hAnsi="Cambria Math"/>
          <w:w w:val="260"/>
          <w:position w:val="-3"/>
          <w:sz w:val="14"/>
        </w:rPr>
        <w:t>ƒ</w:t>
      </w:r>
      <w:r>
        <w:rPr>
          <w:rFonts w:ascii="Cambria Math" w:hAnsi="Cambria Math"/>
          <w:position w:val="-3"/>
          <w:sz w:val="14"/>
        </w:rPr>
        <w:t>  </w:t>
      </w:r>
      <w:r>
        <w:rPr>
          <w:rFonts w:ascii="Cambria Math" w:hAnsi="Cambria Math"/>
          <w:spacing w:val="-2"/>
          <w:position w:val="-3"/>
          <w:sz w:val="14"/>
        </w:rPr>
        <w:t> </w:t>
      </w:r>
      <w:r>
        <w:rPr>
          <w:w w:val="99"/>
        </w:rPr>
        <w:t>a</w:t>
      </w:r>
      <w:r>
        <w:rPr>
          <w:spacing w:val="-2"/>
          <w:w w:val="99"/>
        </w:rPr>
        <w:t>n</w:t>
      </w:r>
      <w:r>
        <w:rPr>
          <w:w w:val="99"/>
        </w:rPr>
        <w:t>d</w:t>
      </w:r>
      <w:r>
        <w:rPr/>
        <w:t> </w:t>
      </w:r>
      <w:r>
        <w:rPr>
          <w:spacing w:val="-23"/>
        </w:rPr>
        <w:t> </w:t>
      </w:r>
      <w:r>
        <w:rPr>
          <w:w w:val="99"/>
        </w:rPr>
        <w:t>t</w:t>
      </w:r>
      <w:r>
        <w:rPr>
          <w:spacing w:val="-2"/>
          <w:w w:val="99"/>
        </w:rPr>
        <w:t>h</w:t>
      </w:r>
      <w:r>
        <w:rPr>
          <w:w w:val="99"/>
        </w:rPr>
        <w:t>e</w:t>
      </w:r>
      <w:r>
        <w:rPr/>
        <w:t> </w:t>
      </w:r>
      <w:r>
        <w:rPr>
          <w:spacing w:val="-21"/>
        </w:rPr>
        <w:t> </w:t>
      </w:r>
      <w:r>
        <w:rPr>
          <w:spacing w:val="-2"/>
          <w:w w:val="99"/>
        </w:rPr>
        <w:t>v</w:t>
      </w:r>
      <w:r>
        <w:rPr>
          <w:spacing w:val="2"/>
          <w:w w:val="99"/>
        </w:rPr>
        <w:t>a</w:t>
      </w:r>
      <w:r>
        <w:rPr>
          <w:w w:val="99"/>
        </w:rPr>
        <w:t>ria</w:t>
      </w:r>
      <w:r>
        <w:rPr>
          <w:spacing w:val="-2"/>
          <w:w w:val="99"/>
        </w:rPr>
        <w:t>n</w:t>
      </w:r>
      <w:r>
        <w:rPr>
          <w:w w:val="99"/>
        </w:rPr>
        <w:t>ce</w:t>
      </w:r>
      <w:r>
        <w:rPr/>
        <w:t> </w:t>
      </w:r>
      <w:r>
        <w:rPr>
          <w:spacing w:val="-19"/>
        </w:rPr>
        <w:t> </w:t>
      </w:r>
      <w:r>
        <w:rPr>
          <w:rFonts w:ascii="Cambria Math" w:hAnsi="Cambria Math"/>
          <w:spacing w:val="13"/>
          <w:w w:val="109"/>
        </w:rPr>
        <w:t>o</w:t>
      </w:r>
      <w:r>
        <w:rPr>
          <w:rFonts w:ascii="Cambria Math" w:hAnsi="Cambria Math"/>
          <w:w w:val="103"/>
          <w:position w:val="8"/>
          <w:sz w:val="14"/>
        </w:rPr>
        <w:t>2</w:t>
      </w:r>
      <w:r>
        <w:rPr>
          <w:rFonts w:ascii="Cambria Math" w:hAnsi="Cambria Math"/>
          <w:position w:val="8"/>
          <w:sz w:val="14"/>
        </w:rPr>
        <w:t>  </w:t>
      </w:r>
      <w:r>
        <w:rPr>
          <w:rFonts w:ascii="Cambria Math" w:hAnsi="Cambria Math"/>
          <w:spacing w:val="4"/>
          <w:position w:val="8"/>
          <w:sz w:val="14"/>
        </w:rPr>
        <w:t> </w:t>
      </w:r>
      <w:r>
        <w:rPr>
          <w:w w:val="99"/>
        </w:rPr>
        <w:t>are</w:t>
      </w:r>
      <w:r>
        <w:rPr/>
        <w:t> </w:t>
      </w:r>
      <w:r>
        <w:rPr>
          <w:spacing w:val="-23"/>
        </w:rPr>
        <w:t> </w:t>
      </w:r>
      <w:r>
        <w:rPr>
          <w:w w:val="99"/>
        </w:rPr>
        <w:t>co</w:t>
      </w:r>
      <w:r>
        <w:rPr>
          <w:spacing w:val="-4"/>
          <w:w w:val="99"/>
        </w:rPr>
        <w:t>m</w:t>
      </w:r>
      <w:r>
        <w:rPr>
          <w:spacing w:val="1"/>
          <w:w w:val="99"/>
        </w:rPr>
        <w:t>p</w:t>
      </w:r>
      <w:r>
        <w:rPr>
          <w:spacing w:val="-2"/>
          <w:w w:val="99"/>
        </w:rPr>
        <w:t>u</w:t>
      </w:r>
      <w:r>
        <w:rPr>
          <w:spacing w:val="-1"/>
          <w:w w:val="99"/>
        </w:rPr>
        <w:t>t</w:t>
      </w:r>
      <w:r>
        <w:rPr>
          <w:w w:val="99"/>
        </w:rPr>
        <w:t>ed</w:t>
      </w:r>
      <w:r>
        <w:rPr/>
        <w:t> </w:t>
      </w:r>
      <w:r>
        <w:rPr>
          <w:spacing w:val="-23"/>
        </w:rPr>
        <w:t> </w:t>
      </w:r>
      <w:r>
        <w:rPr>
          <w:spacing w:val="2"/>
          <w:w w:val="99"/>
        </w:rPr>
        <w:t>a</w:t>
      </w:r>
      <w:r>
        <w:rPr>
          <w:w w:val="99"/>
        </w:rPr>
        <w:t>s</w:t>
      </w:r>
      <w:r>
        <w:rPr/>
        <w:t> </w:t>
      </w:r>
      <w:r>
        <w:rPr>
          <w:spacing w:val="-22"/>
        </w:rPr>
        <w:t> </w:t>
      </w:r>
      <w:r>
        <w:rPr>
          <w:spacing w:val="-2"/>
          <w:w w:val="99"/>
        </w:rPr>
        <w:t>m</w:t>
      </w:r>
      <w:r>
        <w:rPr>
          <w:w w:val="99"/>
        </w:rPr>
        <w:t>e</w:t>
      </w:r>
      <w:r>
        <w:rPr>
          <w:w w:val="99"/>
        </w:rPr>
        <w:t>ntio</w:t>
      </w:r>
      <w:r>
        <w:rPr>
          <w:spacing w:val="-2"/>
          <w:w w:val="99"/>
        </w:rPr>
        <w:t>n</w:t>
      </w:r>
      <w:r>
        <w:rPr>
          <w:w w:val="99"/>
        </w:rPr>
        <w:t>e</w:t>
      </w:r>
      <w:r>
        <w:rPr>
          <w:w w:val="99"/>
        </w:rPr>
        <w:t>d</w:t>
      </w:r>
      <w:r>
        <w:rPr/>
        <w:t> </w:t>
      </w:r>
      <w:r>
        <w:rPr>
          <w:spacing w:val="-23"/>
        </w:rPr>
        <w:t> </w:t>
      </w:r>
      <w:r>
        <w:rPr>
          <w:w w:val="99"/>
        </w:rPr>
        <w:t>in</w:t>
      </w:r>
      <w:r>
        <w:rPr/>
        <w:t> </w:t>
      </w:r>
      <w:r>
        <w:rPr>
          <w:spacing w:val="-22"/>
        </w:rPr>
        <w:t> </w:t>
      </w:r>
      <w:r>
        <w:rPr>
          <w:w w:val="99"/>
        </w:rPr>
        <w:t>Section</w:t>
      </w:r>
    </w:p>
    <w:p>
      <w:pPr>
        <w:pStyle w:val="BodyText"/>
        <w:spacing w:line="249" w:lineRule="auto" w:before="11"/>
        <w:ind w:left="813" w:right="806"/>
        <w:jc w:val="both"/>
      </w:pPr>
      <w:r>
        <w:rPr/>
        <w:t>3.1. Once the color vector selection is finished, the selected vectors are normalized  and processed with equations (2) and (3). Fig. 3 (a) and (b) show the images obtained after preprocessing in the RGB and HSV spaces, respectively, of the same 20 Pesos banknote.</w:t>
      </w:r>
      <w:r>
        <w:rPr>
          <w:spacing w:val="-4"/>
        </w:rPr>
        <w:t> </w:t>
      </w:r>
      <w:r>
        <w:rPr/>
        <w:t>The</w:t>
      </w:r>
      <w:r>
        <w:rPr>
          <w:spacing w:val="-4"/>
        </w:rPr>
        <w:t> </w:t>
      </w:r>
      <w:r>
        <w:rPr/>
        <w:t>black</w:t>
      </w:r>
      <w:r>
        <w:rPr>
          <w:spacing w:val="-5"/>
        </w:rPr>
        <w:t> </w:t>
      </w:r>
      <w:r>
        <w:rPr/>
        <w:t>pixels</w:t>
      </w:r>
      <w:r>
        <w:rPr>
          <w:spacing w:val="-5"/>
        </w:rPr>
        <w:t> </w:t>
      </w:r>
      <w:r>
        <w:rPr/>
        <w:t>are</w:t>
      </w:r>
      <w:r>
        <w:rPr>
          <w:spacing w:val="-1"/>
        </w:rPr>
        <w:t> </w:t>
      </w:r>
      <w:r>
        <w:rPr/>
        <w:t>the</w:t>
      </w:r>
      <w:r>
        <w:rPr>
          <w:spacing w:val="-4"/>
        </w:rPr>
        <w:t> </w:t>
      </w:r>
      <w:r>
        <w:rPr/>
        <w:t>ones</w:t>
      </w:r>
      <w:r>
        <w:rPr>
          <w:spacing w:val="-2"/>
        </w:rPr>
        <w:t> </w:t>
      </w:r>
      <w:r>
        <w:rPr/>
        <w:t>whose</w:t>
      </w:r>
      <w:r>
        <w:rPr>
          <w:spacing w:val="-4"/>
        </w:rPr>
        <w:t> </w:t>
      </w:r>
      <w:r>
        <w:rPr/>
        <w:t>color</w:t>
      </w:r>
      <w:r>
        <w:rPr>
          <w:spacing w:val="-4"/>
        </w:rPr>
        <w:t> </w:t>
      </w:r>
      <w:r>
        <w:rPr/>
        <w:t>vectors</w:t>
      </w:r>
      <w:r>
        <w:rPr>
          <w:spacing w:val="-5"/>
        </w:rPr>
        <w:t> </w:t>
      </w:r>
      <w:r>
        <w:rPr/>
        <w:t>have</w:t>
      </w:r>
      <w:r>
        <w:rPr>
          <w:spacing w:val="-1"/>
        </w:rPr>
        <w:t> </w:t>
      </w:r>
      <w:r>
        <w:rPr/>
        <w:t>high</w:t>
      </w:r>
      <w:r>
        <w:rPr>
          <w:spacing w:val="-3"/>
        </w:rPr>
        <w:t> </w:t>
      </w:r>
      <w:r>
        <w:rPr/>
        <w:t>variance.</w:t>
      </w:r>
    </w:p>
    <w:p>
      <w:pPr>
        <w:pStyle w:val="BodyText"/>
        <w:spacing w:before="7"/>
      </w:pPr>
      <w:r>
        <w:rPr/>
        <w:drawing>
          <wp:anchor distT="0" distB="0" distL="0" distR="0" allowOverlap="1" layoutInCell="1" locked="0" behindDoc="0" simplePos="0" relativeHeight="1528">
            <wp:simplePos x="0" y="0"/>
            <wp:positionH relativeFrom="page">
              <wp:posOffset>2397239</wp:posOffset>
            </wp:positionH>
            <wp:positionV relativeFrom="paragraph">
              <wp:posOffset>175693</wp:posOffset>
            </wp:positionV>
            <wp:extent cx="2789623" cy="989076"/>
            <wp:effectExtent l="0" t="0" r="0" b="0"/>
            <wp:wrapTopAndBottom/>
            <wp:docPr id="5" name="image19.jpeg" descr=""/>
            <wp:cNvGraphicFramePr>
              <a:graphicFrameLocks noChangeAspect="1"/>
            </wp:cNvGraphicFramePr>
            <a:graphic>
              <a:graphicData uri="http://schemas.openxmlformats.org/drawingml/2006/picture">
                <pic:pic>
                  <pic:nvPicPr>
                    <pic:cNvPr id="6" name="image19.jpeg"/>
                    <pic:cNvPicPr/>
                  </pic:nvPicPr>
                  <pic:blipFill>
                    <a:blip r:embed="rId25" cstate="print"/>
                    <a:stretch>
                      <a:fillRect/>
                    </a:stretch>
                  </pic:blipFill>
                  <pic:spPr>
                    <a:xfrm>
                      <a:off x="0" y="0"/>
                      <a:ext cx="2789623" cy="989076"/>
                    </a:xfrm>
                    <a:prstGeom prst="rect">
                      <a:avLst/>
                    </a:prstGeom>
                  </pic:spPr>
                </pic:pic>
              </a:graphicData>
            </a:graphic>
          </wp:anchor>
        </w:drawing>
      </w:r>
    </w:p>
    <w:p>
      <w:pPr>
        <w:spacing w:line="254" w:lineRule="auto" w:before="131"/>
        <w:ind w:left="813" w:right="806" w:firstLine="0"/>
        <w:jc w:val="both"/>
        <w:rPr>
          <w:sz w:val="18"/>
        </w:rPr>
      </w:pPr>
      <w:r>
        <w:rPr>
          <w:b/>
          <w:sz w:val="18"/>
        </w:rPr>
        <w:t>Fig. 3. </w:t>
      </w:r>
      <w:r>
        <w:rPr>
          <w:sz w:val="18"/>
        </w:rPr>
        <w:t>Images (a) and (b) obtained after preprocessing in the RGB and HSV spaces, respective- ly, of the same 20 Pesos banknote</w:t>
      </w:r>
    </w:p>
    <w:p>
      <w:pPr>
        <w:pStyle w:val="BodyText"/>
        <w:rPr>
          <w:sz w:val="18"/>
        </w:rPr>
      </w:pPr>
    </w:p>
    <w:p>
      <w:pPr>
        <w:pStyle w:val="Heading1"/>
        <w:numPr>
          <w:ilvl w:val="0"/>
          <w:numId w:val="1"/>
        </w:numPr>
        <w:tabs>
          <w:tab w:pos="1376" w:val="left" w:leader="none"/>
        </w:tabs>
        <w:spacing w:line="240" w:lineRule="auto" w:before="108" w:after="0"/>
        <w:ind w:left="1375" w:right="0" w:hanging="562"/>
        <w:jc w:val="both"/>
      </w:pPr>
      <w:r>
        <w:rPr/>
        <w:t>Experiments and</w:t>
      </w:r>
      <w:r>
        <w:rPr>
          <w:spacing w:val="-9"/>
        </w:rPr>
        <w:t> </w:t>
      </w:r>
      <w:r>
        <w:rPr/>
        <w:t>Results</w:t>
      </w:r>
    </w:p>
    <w:p>
      <w:pPr>
        <w:pStyle w:val="BodyText"/>
        <w:spacing w:before="176"/>
        <w:ind w:left="813" w:right="806"/>
        <w:jc w:val="both"/>
      </w:pPr>
      <w:r>
        <w:rPr/>
        <w:t>The experimental stage consists on classifying a set of 1600 banknotes, 320 banknotes per denomination class. In this set 400 images are acquired from severely mistreat banknotes and/or with handwritten notes, 80 images per denomination class; the rest of the images are obtained from banknotes with the usual mistreat level. The training set contains 16 images, for each denomination class there are employed one image </w:t>
      </w:r>
      <w:r>
        <w:rPr>
          <w:spacing w:val="12"/>
        </w:rPr>
        <w:t> </w:t>
      </w:r>
      <w:r>
        <w:rPr/>
        <w:t>of</w:t>
      </w:r>
    </w:p>
    <w:p>
      <w:pPr>
        <w:spacing w:after="0"/>
        <w:jc w:val="both"/>
        <w:sectPr>
          <w:type w:val="continuous"/>
          <w:pgSz w:w="11900" w:h="16840"/>
          <w:pgMar w:top="1600" w:bottom="280" w:left="1680" w:right="1680"/>
        </w:sectPr>
      </w:pPr>
    </w:p>
    <w:p>
      <w:pPr>
        <w:pStyle w:val="BodyText"/>
        <w:spacing w:before="5"/>
        <w:rPr>
          <w:sz w:val="22"/>
        </w:rPr>
      </w:pPr>
    </w:p>
    <w:p>
      <w:pPr>
        <w:pStyle w:val="BodyText"/>
        <w:spacing w:before="74"/>
        <w:ind w:left="813" w:right="803"/>
        <w:jc w:val="both"/>
      </w:pPr>
      <w:r>
        <w:rPr/>
        <w:t>the front face and one image of the back face of the banknote. The training set is slightly imbalanced because there are two kinds of banknotes for the 100, 200 and  500 Pesos denominations; therefore, for these denominations there are employed 4 training images per class while for the 20 and 50 Pesos denominations there are em- ployed 2 training images per</w:t>
      </w:r>
      <w:r>
        <w:rPr>
          <w:spacing w:val="-17"/>
        </w:rPr>
        <w:t> </w:t>
      </w:r>
      <w:r>
        <w:rPr/>
        <w:t>class.</w:t>
      </w:r>
    </w:p>
    <w:p>
      <w:pPr>
        <w:pStyle w:val="BodyText"/>
        <w:ind w:left="813" w:right="805" w:firstLine="230"/>
        <w:jc w:val="both"/>
      </w:pPr>
      <w:r>
        <w:rPr/>
        <w:t>For classification, the Learning Vector Quantization (LVQ) networks are suitable for this purpose. A LVQ network is a supervised version of vector quantization, simi- lar to self-organizing maps; usually, it is applied for pattern recognition or multi-class classification [17]. The employed LVQ networks have 32 neurons, the learning rate value is 0.01; the networks are trained with the Kohonen rule [17].</w:t>
      </w:r>
    </w:p>
    <w:p>
      <w:pPr>
        <w:pStyle w:val="BodyText"/>
        <w:spacing w:line="225" w:lineRule="auto" w:before="13"/>
        <w:ind w:left="813" w:right="804" w:firstLine="230"/>
        <w:jc w:val="both"/>
      </w:pPr>
      <w:r>
        <w:rPr/>
        <w:t>Note that the banknotes are characterized with three different feature vectors:  </w:t>
      </w:r>
      <w:r>
        <w:rPr>
          <w:rFonts w:ascii="Cambria Math" w:hAnsi="Cambria Math"/>
        </w:rPr>
        <w:t>u</w:t>
      </w:r>
      <w:r>
        <w:rPr>
          <w:rFonts w:ascii="Cambria Math" w:hAnsi="Cambria Math"/>
          <w:position w:val="-3"/>
          <w:sz w:val="14"/>
        </w:rPr>
        <w:t>M  </w:t>
      </w:r>
      <w:r>
        <w:rPr/>
        <w:t>is obtained  without image  preprocessing; </w:t>
      </w:r>
      <w:r>
        <w:rPr>
          <w:rFonts w:ascii="Cambria Math" w:hAnsi="Cambria Math"/>
        </w:rPr>
        <w:t>u</w:t>
      </w:r>
      <w:r>
        <w:rPr>
          <w:rFonts w:ascii="Cambria Math" w:hAnsi="Cambria Math"/>
          <w:position w:val="-3"/>
          <w:sz w:val="14"/>
        </w:rPr>
        <w:t>RGB  </w:t>
      </w:r>
      <w:r>
        <w:rPr/>
        <w:t>and </w:t>
      </w:r>
      <w:r>
        <w:rPr>
          <w:rFonts w:ascii="Cambria Math" w:hAnsi="Cambria Math"/>
        </w:rPr>
        <w:t>u</w:t>
      </w:r>
      <w:r>
        <w:rPr>
          <w:rFonts w:ascii="Cambria Math" w:hAnsi="Cambria Math"/>
          <w:position w:val="-3"/>
          <w:sz w:val="14"/>
        </w:rPr>
        <w:t>KSV  </w:t>
      </w:r>
      <w:r>
        <w:rPr/>
        <w:t>are obtained by applying   the image preprocessing in the RGB and HSV spaces, respectively. Moreover, it is possible to build “new” characterizations of the banknotes by combining, concatenat- ing, these feature</w:t>
      </w:r>
      <w:r>
        <w:rPr>
          <w:spacing w:val="-14"/>
        </w:rPr>
        <w:t> </w:t>
      </w:r>
      <w:r>
        <w:rPr/>
        <w:t>vectors.</w:t>
      </w:r>
    </w:p>
    <w:p>
      <w:pPr>
        <w:pStyle w:val="BodyText"/>
        <w:spacing w:line="223" w:lineRule="auto" w:before="13"/>
        <w:ind w:left="813" w:right="805" w:firstLine="230"/>
        <w:jc w:val="both"/>
      </w:pPr>
      <w:r>
        <w:rPr/>
        <w:t>Table 2 shows the results obtained by modeling the banknotes’ colors with the fea- ture vectors and their combinations. The rows “W”, “RGB” and “HSV” show the results using the feature vectors </w:t>
      </w:r>
      <w:r>
        <w:rPr>
          <w:rFonts w:ascii="Cambria Math" w:hAnsi="Cambria Math"/>
          <w:spacing w:val="6"/>
        </w:rPr>
        <w:t>u</w:t>
      </w:r>
      <w:r>
        <w:rPr>
          <w:rFonts w:ascii="Cambria Math" w:hAnsi="Cambria Math"/>
          <w:spacing w:val="6"/>
          <w:position w:val="-3"/>
          <w:sz w:val="14"/>
        </w:rPr>
        <w:t>M</w:t>
      </w:r>
      <w:r>
        <w:rPr>
          <w:spacing w:val="6"/>
        </w:rPr>
        <w:t>, </w:t>
      </w:r>
      <w:r>
        <w:rPr>
          <w:rFonts w:ascii="Cambria Math" w:hAnsi="Cambria Math"/>
        </w:rPr>
        <w:t>u</w:t>
      </w:r>
      <w:r>
        <w:rPr>
          <w:rFonts w:ascii="Cambria Math" w:hAnsi="Cambria Math"/>
          <w:position w:val="-3"/>
          <w:sz w:val="14"/>
        </w:rPr>
        <w:t>RGB </w:t>
      </w:r>
      <w:r>
        <w:rPr/>
        <w:t>and </w:t>
      </w:r>
      <w:r>
        <w:rPr>
          <w:rFonts w:ascii="Cambria Math" w:hAnsi="Cambria Math"/>
        </w:rPr>
        <w:t>u</w:t>
      </w:r>
      <w:r>
        <w:rPr>
          <w:rFonts w:ascii="Cambria Math" w:hAnsi="Cambria Math"/>
          <w:position w:val="-3"/>
          <w:sz w:val="14"/>
        </w:rPr>
        <w:t>KSV </w:t>
      </w:r>
      <w:r>
        <w:rPr/>
        <w:t>, respectively. The rows  “W- RGB”, “W-HSV” and “RGB-HSV” shows the results by combining the vectors </w:t>
      </w:r>
      <w:r>
        <w:rPr>
          <w:rFonts w:ascii="Cambria Math" w:hAnsi="Cambria Math"/>
        </w:rPr>
        <w:t>u</w:t>
      </w:r>
      <w:r>
        <w:rPr>
          <w:rFonts w:ascii="Cambria Math" w:hAnsi="Cambria Math"/>
          <w:position w:val="-3"/>
          <w:sz w:val="14"/>
        </w:rPr>
        <w:t>M </w:t>
      </w:r>
      <w:r>
        <w:rPr/>
        <w:t>and </w:t>
      </w:r>
      <w:r>
        <w:rPr>
          <w:rFonts w:ascii="Cambria Math" w:hAnsi="Cambria Math"/>
        </w:rPr>
        <w:t>u</w:t>
      </w:r>
      <w:r>
        <w:rPr>
          <w:rFonts w:ascii="Cambria Math" w:hAnsi="Cambria Math"/>
          <w:position w:val="-3"/>
          <w:sz w:val="14"/>
        </w:rPr>
        <w:t>RGB </w:t>
      </w:r>
      <w:r>
        <w:rPr/>
        <w:t>, </w:t>
      </w:r>
      <w:r>
        <w:rPr>
          <w:rFonts w:ascii="Cambria Math" w:hAnsi="Cambria Math"/>
        </w:rPr>
        <w:t>u</w:t>
      </w:r>
      <w:r>
        <w:rPr>
          <w:rFonts w:ascii="Cambria Math" w:hAnsi="Cambria Math"/>
          <w:position w:val="-3"/>
          <w:sz w:val="14"/>
        </w:rPr>
        <w:t>M </w:t>
      </w:r>
      <w:r>
        <w:rPr/>
        <w:t>and </w:t>
      </w:r>
      <w:r>
        <w:rPr>
          <w:rFonts w:ascii="Cambria Math" w:hAnsi="Cambria Math"/>
          <w:spacing w:val="3"/>
        </w:rPr>
        <w:t>u</w:t>
      </w:r>
      <w:r>
        <w:rPr>
          <w:rFonts w:ascii="Cambria Math" w:hAnsi="Cambria Math"/>
          <w:spacing w:val="3"/>
          <w:position w:val="-3"/>
          <w:sz w:val="14"/>
        </w:rPr>
        <w:t>KSV</w:t>
      </w:r>
      <w:r>
        <w:rPr>
          <w:spacing w:val="3"/>
        </w:rPr>
        <w:t>, </w:t>
      </w:r>
      <w:r>
        <w:rPr>
          <w:rFonts w:ascii="Cambria Math" w:hAnsi="Cambria Math"/>
        </w:rPr>
        <w:t>u</w:t>
      </w:r>
      <w:r>
        <w:rPr>
          <w:rFonts w:ascii="Cambria Math" w:hAnsi="Cambria Math"/>
          <w:position w:val="-3"/>
          <w:sz w:val="14"/>
        </w:rPr>
        <w:t>RGB </w:t>
      </w:r>
      <w:r>
        <w:rPr/>
        <w:t>and </w:t>
      </w:r>
      <w:r>
        <w:rPr>
          <w:rFonts w:ascii="Cambria Math" w:hAnsi="Cambria Math"/>
          <w:spacing w:val="3"/>
        </w:rPr>
        <w:t>u</w:t>
      </w:r>
      <w:r>
        <w:rPr>
          <w:rFonts w:ascii="Cambria Math" w:hAnsi="Cambria Math"/>
          <w:spacing w:val="3"/>
          <w:position w:val="-3"/>
          <w:sz w:val="14"/>
        </w:rPr>
        <w:t>KSV</w:t>
      </w:r>
      <w:r>
        <w:rPr>
          <w:spacing w:val="3"/>
        </w:rPr>
        <w:t>, </w:t>
      </w:r>
      <w:r>
        <w:rPr/>
        <w:t>respectively. Finally, the  row  “W-RGB- HSV” shows the results by combining the three feature</w:t>
      </w:r>
      <w:r>
        <w:rPr>
          <w:spacing w:val="-27"/>
        </w:rPr>
        <w:t> </w:t>
      </w:r>
      <w:r>
        <w:rPr/>
        <w:t>vectors.</w:t>
      </w:r>
    </w:p>
    <w:p>
      <w:pPr>
        <w:pStyle w:val="BodyText"/>
        <w:spacing w:before="4"/>
        <w:rPr>
          <w:sz w:val="22"/>
        </w:rPr>
      </w:pPr>
    </w:p>
    <w:p>
      <w:pPr>
        <w:spacing w:before="0"/>
        <w:ind w:left="813" w:right="813" w:firstLine="0"/>
        <w:jc w:val="center"/>
        <w:rPr>
          <w:sz w:val="18"/>
        </w:rPr>
      </w:pPr>
      <w:r>
        <w:rPr/>
        <w:pict>
          <v:line style="position:absolute;mso-position-horizontal-relative:page;mso-position-vertical-relative:paragraph;z-index:1624;mso-wrap-distance-left:0;mso-wrap-distance-right:0" from="124.679001pt,17.401949pt" to="471.959pt,17.401949pt" stroked="true" strokeweight="1.44pt" strokecolor="#000000">
            <w10:wrap type="topAndBottom"/>
          </v:line>
        </w:pict>
      </w:r>
      <w:r>
        <w:rPr/>
        <w:pict>
          <v:shape style="position:absolute;margin-left:124.679001pt;margin-top:31.045361pt;width:347.3pt;height:93.8pt;mso-position-horizontal-relative:page;mso-position-vertical-relative:paragraph;z-index:164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26"/>
                    <w:gridCol w:w="875"/>
                    <w:gridCol w:w="861"/>
                    <w:gridCol w:w="851"/>
                    <w:gridCol w:w="886"/>
                    <w:gridCol w:w="956"/>
                    <w:gridCol w:w="991"/>
                  </w:tblGrid>
                  <w:tr>
                    <w:trPr>
                      <w:trHeight w:val="217" w:hRule="exact"/>
                    </w:trPr>
                    <w:tc>
                      <w:tcPr>
                        <w:tcW w:w="1526" w:type="dxa"/>
                        <w:tcBorders>
                          <w:bottom w:val="single" w:sz="4" w:space="0" w:color="000000"/>
                        </w:tcBorders>
                      </w:tcPr>
                      <w:p>
                        <w:pPr/>
                      </w:p>
                    </w:tc>
                    <w:tc>
                      <w:tcPr>
                        <w:tcW w:w="875" w:type="dxa"/>
                        <w:tcBorders>
                          <w:bottom w:val="single" w:sz="4" w:space="0" w:color="000000"/>
                        </w:tcBorders>
                      </w:tcPr>
                      <w:p>
                        <w:pPr>
                          <w:pStyle w:val="TableParagraph"/>
                          <w:spacing w:line="210" w:lineRule="exact"/>
                          <w:ind w:left="415"/>
                          <w:jc w:val="left"/>
                          <w:rPr>
                            <w:b/>
                            <w:sz w:val="20"/>
                          </w:rPr>
                        </w:pPr>
                        <w:r>
                          <w:rPr>
                            <w:b/>
                            <w:sz w:val="20"/>
                          </w:rPr>
                          <w:t>20</w:t>
                        </w:r>
                      </w:p>
                    </w:tc>
                    <w:tc>
                      <w:tcPr>
                        <w:tcW w:w="861" w:type="dxa"/>
                        <w:tcBorders>
                          <w:bottom w:val="single" w:sz="4" w:space="0" w:color="000000"/>
                        </w:tcBorders>
                      </w:tcPr>
                      <w:p>
                        <w:pPr>
                          <w:pStyle w:val="TableParagraph"/>
                          <w:spacing w:line="210" w:lineRule="exact"/>
                          <w:ind w:left="189" w:right="178"/>
                          <w:rPr>
                            <w:b/>
                            <w:sz w:val="20"/>
                          </w:rPr>
                        </w:pPr>
                        <w:r>
                          <w:rPr>
                            <w:b/>
                            <w:sz w:val="20"/>
                          </w:rPr>
                          <w:t>50</w:t>
                        </w:r>
                      </w:p>
                    </w:tc>
                    <w:tc>
                      <w:tcPr>
                        <w:tcW w:w="851" w:type="dxa"/>
                        <w:tcBorders>
                          <w:bottom w:val="single" w:sz="4" w:space="0" w:color="000000"/>
                        </w:tcBorders>
                      </w:tcPr>
                      <w:p>
                        <w:pPr>
                          <w:pStyle w:val="TableParagraph"/>
                          <w:spacing w:line="210" w:lineRule="exact"/>
                          <w:ind w:left="178" w:right="179"/>
                          <w:rPr>
                            <w:b/>
                            <w:sz w:val="20"/>
                          </w:rPr>
                        </w:pPr>
                        <w:r>
                          <w:rPr>
                            <w:b/>
                            <w:sz w:val="20"/>
                          </w:rPr>
                          <w:t>100</w:t>
                        </w:r>
                      </w:p>
                    </w:tc>
                    <w:tc>
                      <w:tcPr>
                        <w:tcW w:w="886" w:type="dxa"/>
                        <w:tcBorders>
                          <w:bottom w:val="single" w:sz="4" w:space="0" w:color="000000"/>
                        </w:tcBorders>
                      </w:tcPr>
                      <w:p>
                        <w:pPr>
                          <w:pStyle w:val="TableParagraph"/>
                          <w:spacing w:line="210" w:lineRule="exact"/>
                          <w:ind w:right="211"/>
                          <w:rPr>
                            <w:b/>
                            <w:sz w:val="20"/>
                          </w:rPr>
                        </w:pPr>
                        <w:r>
                          <w:rPr>
                            <w:b/>
                            <w:sz w:val="20"/>
                          </w:rPr>
                          <w:t>200</w:t>
                        </w:r>
                      </w:p>
                    </w:tc>
                    <w:tc>
                      <w:tcPr>
                        <w:tcW w:w="956" w:type="dxa"/>
                        <w:tcBorders>
                          <w:bottom w:val="single" w:sz="4" w:space="0" w:color="000000"/>
                        </w:tcBorders>
                      </w:tcPr>
                      <w:p>
                        <w:pPr>
                          <w:pStyle w:val="TableParagraph"/>
                          <w:spacing w:line="210" w:lineRule="exact"/>
                          <w:ind w:left="216" w:right="246"/>
                          <w:rPr>
                            <w:b/>
                            <w:sz w:val="20"/>
                          </w:rPr>
                        </w:pPr>
                        <w:r>
                          <w:rPr>
                            <w:b/>
                            <w:sz w:val="20"/>
                          </w:rPr>
                          <w:t>500</w:t>
                        </w:r>
                      </w:p>
                    </w:tc>
                    <w:tc>
                      <w:tcPr>
                        <w:tcW w:w="991" w:type="dxa"/>
                        <w:tcBorders>
                          <w:bottom w:val="single" w:sz="4" w:space="0" w:color="000000"/>
                        </w:tcBorders>
                      </w:tcPr>
                      <w:p>
                        <w:pPr>
                          <w:pStyle w:val="TableParagraph"/>
                          <w:spacing w:line="205" w:lineRule="exact"/>
                          <w:ind w:left="250" w:right="248"/>
                          <w:rPr>
                            <w:b/>
                            <w:sz w:val="20"/>
                          </w:rPr>
                        </w:pPr>
                        <w:r>
                          <w:rPr>
                            <w:b/>
                            <w:sz w:val="20"/>
                          </w:rPr>
                          <w:t>rate</w:t>
                        </w:r>
                      </w:p>
                    </w:tc>
                  </w:tr>
                  <w:tr>
                    <w:trPr>
                      <w:trHeight w:val="240" w:hRule="exact"/>
                    </w:trPr>
                    <w:tc>
                      <w:tcPr>
                        <w:tcW w:w="1526" w:type="dxa"/>
                        <w:tcBorders>
                          <w:top w:val="single" w:sz="4" w:space="0" w:color="000000"/>
                        </w:tcBorders>
                      </w:tcPr>
                      <w:p>
                        <w:pPr>
                          <w:pStyle w:val="TableParagraph"/>
                          <w:spacing w:line="223" w:lineRule="exact"/>
                          <w:ind w:left="108"/>
                          <w:jc w:val="left"/>
                          <w:rPr>
                            <w:i/>
                            <w:sz w:val="20"/>
                          </w:rPr>
                        </w:pPr>
                        <w:r>
                          <w:rPr>
                            <w:i/>
                            <w:w w:val="99"/>
                            <w:sz w:val="20"/>
                          </w:rPr>
                          <w:t>W</w:t>
                        </w:r>
                      </w:p>
                    </w:tc>
                    <w:tc>
                      <w:tcPr>
                        <w:tcW w:w="875" w:type="dxa"/>
                        <w:tcBorders>
                          <w:top w:val="single" w:sz="4" w:space="0" w:color="000000"/>
                        </w:tcBorders>
                      </w:tcPr>
                      <w:p>
                        <w:pPr>
                          <w:pStyle w:val="TableParagraph"/>
                          <w:spacing w:line="223" w:lineRule="exact"/>
                          <w:ind w:left="364"/>
                          <w:jc w:val="left"/>
                          <w:rPr>
                            <w:sz w:val="20"/>
                          </w:rPr>
                        </w:pPr>
                        <w:r>
                          <w:rPr>
                            <w:sz w:val="20"/>
                          </w:rPr>
                          <w:t>100</w:t>
                        </w:r>
                      </w:p>
                    </w:tc>
                    <w:tc>
                      <w:tcPr>
                        <w:tcW w:w="861" w:type="dxa"/>
                        <w:tcBorders>
                          <w:top w:val="single" w:sz="4" w:space="0" w:color="000000"/>
                        </w:tcBorders>
                      </w:tcPr>
                      <w:p>
                        <w:pPr>
                          <w:pStyle w:val="TableParagraph"/>
                          <w:spacing w:line="223" w:lineRule="exact"/>
                          <w:ind w:left="189" w:right="181"/>
                          <w:rPr>
                            <w:sz w:val="20"/>
                          </w:rPr>
                        </w:pPr>
                        <w:r>
                          <w:rPr>
                            <w:sz w:val="20"/>
                          </w:rPr>
                          <w:t>87.50</w:t>
                        </w:r>
                      </w:p>
                    </w:tc>
                    <w:tc>
                      <w:tcPr>
                        <w:tcW w:w="851" w:type="dxa"/>
                        <w:tcBorders>
                          <w:top w:val="single" w:sz="4" w:space="0" w:color="000000"/>
                        </w:tcBorders>
                      </w:tcPr>
                      <w:p>
                        <w:pPr>
                          <w:pStyle w:val="TableParagraph"/>
                          <w:spacing w:line="223" w:lineRule="exact"/>
                          <w:ind w:right="179"/>
                          <w:rPr>
                            <w:sz w:val="20"/>
                          </w:rPr>
                        </w:pPr>
                        <w:r>
                          <w:rPr>
                            <w:sz w:val="20"/>
                          </w:rPr>
                          <w:t>96.67</w:t>
                        </w:r>
                      </w:p>
                    </w:tc>
                    <w:tc>
                      <w:tcPr>
                        <w:tcW w:w="886" w:type="dxa"/>
                        <w:tcBorders>
                          <w:top w:val="single" w:sz="4" w:space="0" w:color="000000"/>
                        </w:tcBorders>
                      </w:tcPr>
                      <w:p>
                        <w:pPr>
                          <w:pStyle w:val="TableParagraph"/>
                          <w:spacing w:line="223" w:lineRule="exact"/>
                          <w:ind w:right="211"/>
                          <w:rPr>
                            <w:sz w:val="20"/>
                          </w:rPr>
                        </w:pPr>
                        <w:r>
                          <w:rPr>
                            <w:sz w:val="20"/>
                          </w:rPr>
                          <w:t>100</w:t>
                        </w:r>
                      </w:p>
                    </w:tc>
                    <w:tc>
                      <w:tcPr>
                        <w:tcW w:w="956" w:type="dxa"/>
                        <w:tcBorders>
                          <w:top w:val="single" w:sz="4" w:space="0" w:color="000000"/>
                        </w:tcBorders>
                      </w:tcPr>
                      <w:p>
                        <w:pPr>
                          <w:pStyle w:val="TableParagraph"/>
                          <w:spacing w:line="223" w:lineRule="exact"/>
                          <w:ind w:left="216" w:right="248"/>
                          <w:rPr>
                            <w:sz w:val="20"/>
                          </w:rPr>
                        </w:pPr>
                        <w:r>
                          <w:rPr>
                            <w:sz w:val="20"/>
                          </w:rPr>
                          <w:t>82.50</w:t>
                        </w:r>
                      </w:p>
                    </w:tc>
                    <w:tc>
                      <w:tcPr>
                        <w:tcW w:w="991" w:type="dxa"/>
                        <w:tcBorders>
                          <w:top w:val="single" w:sz="4" w:space="0" w:color="000000"/>
                        </w:tcBorders>
                      </w:tcPr>
                      <w:p>
                        <w:pPr>
                          <w:pStyle w:val="TableParagraph"/>
                          <w:spacing w:line="223" w:lineRule="exact"/>
                          <w:ind w:left="250" w:right="250"/>
                          <w:rPr>
                            <w:sz w:val="20"/>
                          </w:rPr>
                        </w:pPr>
                        <w:r>
                          <w:rPr>
                            <w:sz w:val="20"/>
                          </w:rPr>
                          <w:t>93.34</w:t>
                        </w:r>
                      </w:p>
                    </w:tc>
                  </w:tr>
                  <w:tr>
                    <w:trPr>
                      <w:trHeight w:val="230" w:hRule="exact"/>
                    </w:trPr>
                    <w:tc>
                      <w:tcPr>
                        <w:tcW w:w="1526" w:type="dxa"/>
                      </w:tcPr>
                      <w:p>
                        <w:pPr>
                          <w:pStyle w:val="TableParagraph"/>
                          <w:ind w:left="108"/>
                          <w:jc w:val="left"/>
                          <w:rPr>
                            <w:i/>
                            <w:sz w:val="20"/>
                          </w:rPr>
                        </w:pPr>
                        <w:r>
                          <w:rPr>
                            <w:i/>
                            <w:sz w:val="20"/>
                          </w:rPr>
                          <w:t>RGB</w:t>
                        </w:r>
                      </w:p>
                    </w:tc>
                    <w:tc>
                      <w:tcPr>
                        <w:tcW w:w="875" w:type="dxa"/>
                      </w:tcPr>
                      <w:p>
                        <w:pPr>
                          <w:pStyle w:val="TableParagraph"/>
                          <w:ind w:left="364"/>
                          <w:jc w:val="left"/>
                          <w:rPr>
                            <w:sz w:val="20"/>
                          </w:rPr>
                        </w:pPr>
                        <w:r>
                          <w:rPr>
                            <w:sz w:val="20"/>
                          </w:rPr>
                          <w:t>100</w:t>
                        </w:r>
                      </w:p>
                    </w:tc>
                    <w:tc>
                      <w:tcPr>
                        <w:tcW w:w="861" w:type="dxa"/>
                      </w:tcPr>
                      <w:p>
                        <w:pPr>
                          <w:pStyle w:val="TableParagraph"/>
                          <w:ind w:left="189" w:right="181"/>
                          <w:rPr>
                            <w:sz w:val="20"/>
                          </w:rPr>
                        </w:pPr>
                        <w:r>
                          <w:rPr>
                            <w:sz w:val="20"/>
                          </w:rPr>
                          <w:t>97.50</w:t>
                        </w:r>
                      </w:p>
                    </w:tc>
                    <w:tc>
                      <w:tcPr>
                        <w:tcW w:w="851" w:type="dxa"/>
                      </w:tcPr>
                      <w:p>
                        <w:pPr>
                          <w:pStyle w:val="TableParagraph"/>
                          <w:ind w:left="178" w:right="179"/>
                          <w:rPr>
                            <w:sz w:val="20"/>
                          </w:rPr>
                        </w:pPr>
                        <w:r>
                          <w:rPr>
                            <w:sz w:val="20"/>
                          </w:rPr>
                          <w:t>100</w:t>
                        </w:r>
                      </w:p>
                    </w:tc>
                    <w:tc>
                      <w:tcPr>
                        <w:tcW w:w="886" w:type="dxa"/>
                      </w:tcPr>
                      <w:p>
                        <w:pPr>
                          <w:pStyle w:val="TableParagraph"/>
                          <w:ind w:right="214"/>
                          <w:rPr>
                            <w:sz w:val="20"/>
                          </w:rPr>
                        </w:pPr>
                        <w:r>
                          <w:rPr>
                            <w:sz w:val="20"/>
                          </w:rPr>
                          <w:t>86.16</w:t>
                        </w:r>
                      </w:p>
                    </w:tc>
                    <w:tc>
                      <w:tcPr>
                        <w:tcW w:w="956" w:type="dxa"/>
                      </w:tcPr>
                      <w:p>
                        <w:pPr>
                          <w:pStyle w:val="TableParagraph"/>
                          <w:ind w:left="216" w:right="248"/>
                          <w:rPr>
                            <w:sz w:val="20"/>
                          </w:rPr>
                        </w:pPr>
                        <w:r>
                          <w:rPr>
                            <w:sz w:val="20"/>
                          </w:rPr>
                          <w:t>86.25</w:t>
                        </w:r>
                      </w:p>
                    </w:tc>
                    <w:tc>
                      <w:tcPr>
                        <w:tcW w:w="991" w:type="dxa"/>
                      </w:tcPr>
                      <w:p>
                        <w:pPr>
                          <w:pStyle w:val="TableParagraph"/>
                          <w:ind w:left="250" w:right="250"/>
                          <w:rPr>
                            <w:sz w:val="20"/>
                          </w:rPr>
                        </w:pPr>
                        <w:r>
                          <w:rPr>
                            <w:sz w:val="20"/>
                          </w:rPr>
                          <w:t>93.98</w:t>
                        </w:r>
                      </w:p>
                    </w:tc>
                  </w:tr>
                  <w:tr>
                    <w:trPr>
                      <w:trHeight w:val="230" w:hRule="exact"/>
                    </w:trPr>
                    <w:tc>
                      <w:tcPr>
                        <w:tcW w:w="1526" w:type="dxa"/>
                      </w:tcPr>
                      <w:p>
                        <w:pPr>
                          <w:pStyle w:val="TableParagraph"/>
                          <w:ind w:left="108"/>
                          <w:jc w:val="left"/>
                          <w:rPr>
                            <w:i/>
                            <w:sz w:val="20"/>
                          </w:rPr>
                        </w:pPr>
                        <w:r>
                          <w:rPr>
                            <w:i/>
                            <w:sz w:val="20"/>
                          </w:rPr>
                          <w:t>HSV</w:t>
                        </w:r>
                      </w:p>
                    </w:tc>
                    <w:tc>
                      <w:tcPr>
                        <w:tcW w:w="875" w:type="dxa"/>
                      </w:tcPr>
                      <w:p>
                        <w:pPr>
                          <w:pStyle w:val="TableParagraph"/>
                          <w:ind w:left="364"/>
                          <w:jc w:val="left"/>
                          <w:rPr>
                            <w:sz w:val="20"/>
                          </w:rPr>
                        </w:pPr>
                        <w:r>
                          <w:rPr>
                            <w:sz w:val="20"/>
                          </w:rPr>
                          <w:t>100</w:t>
                        </w:r>
                      </w:p>
                    </w:tc>
                    <w:tc>
                      <w:tcPr>
                        <w:tcW w:w="861" w:type="dxa"/>
                      </w:tcPr>
                      <w:p>
                        <w:pPr>
                          <w:pStyle w:val="TableParagraph"/>
                          <w:ind w:left="189" w:right="179"/>
                          <w:rPr>
                            <w:sz w:val="20"/>
                          </w:rPr>
                        </w:pPr>
                        <w:r>
                          <w:rPr>
                            <w:sz w:val="20"/>
                          </w:rPr>
                          <w:t>95</w:t>
                        </w:r>
                      </w:p>
                    </w:tc>
                    <w:tc>
                      <w:tcPr>
                        <w:tcW w:w="851" w:type="dxa"/>
                      </w:tcPr>
                      <w:p>
                        <w:pPr>
                          <w:pStyle w:val="TableParagraph"/>
                          <w:ind w:left="178" w:right="179"/>
                          <w:rPr>
                            <w:sz w:val="20"/>
                          </w:rPr>
                        </w:pPr>
                        <w:r>
                          <w:rPr>
                            <w:sz w:val="20"/>
                          </w:rPr>
                          <w:t>100</w:t>
                        </w:r>
                      </w:p>
                    </w:tc>
                    <w:tc>
                      <w:tcPr>
                        <w:tcW w:w="886" w:type="dxa"/>
                      </w:tcPr>
                      <w:p>
                        <w:pPr>
                          <w:pStyle w:val="TableParagraph"/>
                          <w:ind w:right="214"/>
                          <w:rPr>
                            <w:sz w:val="20"/>
                          </w:rPr>
                        </w:pPr>
                        <w:r>
                          <w:rPr>
                            <w:sz w:val="20"/>
                          </w:rPr>
                          <w:t>97.44</w:t>
                        </w:r>
                      </w:p>
                    </w:tc>
                    <w:tc>
                      <w:tcPr>
                        <w:tcW w:w="956" w:type="dxa"/>
                      </w:tcPr>
                      <w:p>
                        <w:pPr>
                          <w:pStyle w:val="TableParagraph"/>
                          <w:ind w:left="215" w:right="249"/>
                          <w:rPr>
                            <w:sz w:val="20"/>
                          </w:rPr>
                        </w:pPr>
                        <w:r>
                          <w:rPr>
                            <w:sz w:val="20"/>
                          </w:rPr>
                          <w:t>92.50</w:t>
                        </w:r>
                      </w:p>
                    </w:tc>
                    <w:tc>
                      <w:tcPr>
                        <w:tcW w:w="991" w:type="dxa"/>
                      </w:tcPr>
                      <w:p>
                        <w:pPr>
                          <w:pStyle w:val="TableParagraph"/>
                          <w:ind w:left="250" w:right="250"/>
                          <w:rPr>
                            <w:sz w:val="20"/>
                          </w:rPr>
                        </w:pPr>
                        <w:r>
                          <w:rPr>
                            <w:sz w:val="20"/>
                          </w:rPr>
                          <w:t>96.98</w:t>
                        </w:r>
                      </w:p>
                    </w:tc>
                  </w:tr>
                  <w:tr>
                    <w:trPr>
                      <w:trHeight w:val="229" w:hRule="exact"/>
                    </w:trPr>
                    <w:tc>
                      <w:tcPr>
                        <w:tcW w:w="1526" w:type="dxa"/>
                      </w:tcPr>
                      <w:p>
                        <w:pPr>
                          <w:pStyle w:val="TableParagraph"/>
                          <w:ind w:left="108"/>
                          <w:jc w:val="left"/>
                          <w:rPr>
                            <w:i/>
                            <w:sz w:val="20"/>
                          </w:rPr>
                        </w:pPr>
                        <w:r>
                          <w:rPr>
                            <w:i/>
                            <w:sz w:val="20"/>
                          </w:rPr>
                          <w:t>W-RGB</w:t>
                        </w:r>
                      </w:p>
                    </w:tc>
                    <w:tc>
                      <w:tcPr>
                        <w:tcW w:w="875" w:type="dxa"/>
                      </w:tcPr>
                      <w:p>
                        <w:pPr>
                          <w:pStyle w:val="TableParagraph"/>
                          <w:ind w:left="364"/>
                          <w:jc w:val="left"/>
                          <w:rPr>
                            <w:sz w:val="20"/>
                          </w:rPr>
                        </w:pPr>
                        <w:r>
                          <w:rPr>
                            <w:sz w:val="20"/>
                          </w:rPr>
                          <w:t>100</w:t>
                        </w:r>
                      </w:p>
                    </w:tc>
                    <w:tc>
                      <w:tcPr>
                        <w:tcW w:w="861" w:type="dxa"/>
                      </w:tcPr>
                      <w:p>
                        <w:pPr>
                          <w:pStyle w:val="TableParagraph"/>
                          <w:ind w:left="189" w:right="181"/>
                          <w:rPr>
                            <w:sz w:val="20"/>
                          </w:rPr>
                        </w:pPr>
                        <w:r>
                          <w:rPr>
                            <w:sz w:val="20"/>
                          </w:rPr>
                          <w:t>97.50</w:t>
                        </w:r>
                      </w:p>
                    </w:tc>
                    <w:tc>
                      <w:tcPr>
                        <w:tcW w:w="851" w:type="dxa"/>
                      </w:tcPr>
                      <w:p>
                        <w:pPr>
                          <w:pStyle w:val="TableParagraph"/>
                          <w:ind w:left="178" w:right="179"/>
                          <w:rPr>
                            <w:sz w:val="20"/>
                          </w:rPr>
                        </w:pPr>
                        <w:r>
                          <w:rPr>
                            <w:sz w:val="20"/>
                          </w:rPr>
                          <w:t>100</w:t>
                        </w:r>
                      </w:p>
                    </w:tc>
                    <w:tc>
                      <w:tcPr>
                        <w:tcW w:w="886" w:type="dxa"/>
                      </w:tcPr>
                      <w:p>
                        <w:pPr>
                          <w:pStyle w:val="TableParagraph"/>
                          <w:ind w:right="214"/>
                          <w:rPr>
                            <w:sz w:val="20"/>
                          </w:rPr>
                        </w:pPr>
                        <w:r>
                          <w:rPr>
                            <w:sz w:val="20"/>
                          </w:rPr>
                          <w:t>98.07</w:t>
                        </w:r>
                      </w:p>
                    </w:tc>
                    <w:tc>
                      <w:tcPr>
                        <w:tcW w:w="956" w:type="dxa"/>
                      </w:tcPr>
                      <w:p>
                        <w:pPr>
                          <w:pStyle w:val="TableParagraph"/>
                          <w:ind w:left="216" w:right="248"/>
                          <w:rPr>
                            <w:sz w:val="20"/>
                          </w:rPr>
                        </w:pPr>
                        <w:r>
                          <w:rPr>
                            <w:sz w:val="20"/>
                          </w:rPr>
                          <w:t>83.75</w:t>
                        </w:r>
                      </w:p>
                    </w:tc>
                    <w:tc>
                      <w:tcPr>
                        <w:tcW w:w="991" w:type="dxa"/>
                      </w:tcPr>
                      <w:p>
                        <w:pPr>
                          <w:pStyle w:val="TableParagraph"/>
                          <w:ind w:left="250" w:right="250"/>
                          <w:rPr>
                            <w:sz w:val="20"/>
                          </w:rPr>
                        </w:pPr>
                        <w:r>
                          <w:rPr>
                            <w:sz w:val="20"/>
                          </w:rPr>
                          <w:t>95.86</w:t>
                        </w:r>
                      </w:p>
                    </w:tc>
                  </w:tr>
                  <w:tr>
                    <w:trPr>
                      <w:trHeight w:val="229" w:hRule="exact"/>
                    </w:trPr>
                    <w:tc>
                      <w:tcPr>
                        <w:tcW w:w="1526" w:type="dxa"/>
                      </w:tcPr>
                      <w:p>
                        <w:pPr>
                          <w:pStyle w:val="TableParagraph"/>
                          <w:spacing w:line="218" w:lineRule="exact"/>
                          <w:ind w:left="108"/>
                          <w:jc w:val="left"/>
                          <w:rPr>
                            <w:i/>
                            <w:sz w:val="20"/>
                          </w:rPr>
                        </w:pPr>
                        <w:r>
                          <w:rPr>
                            <w:i/>
                            <w:sz w:val="20"/>
                          </w:rPr>
                          <w:t>W-HSV</w:t>
                        </w:r>
                      </w:p>
                    </w:tc>
                    <w:tc>
                      <w:tcPr>
                        <w:tcW w:w="875" w:type="dxa"/>
                      </w:tcPr>
                      <w:p>
                        <w:pPr>
                          <w:pStyle w:val="TableParagraph"/>
                          <w:spacing w:line="218" w:lineRule="exact"/>
                          <w:ind w:left="364"/>
                          <w:jc w:val="left"/>
                          <w:rPr>
                            <w:sz w:val="20"/>
                          </w:rPr>
                        </w:pPr>
                        <w:r>
                          <w:rPr>
                            <w:sz w:val="20"/>
                          </w:rPr>
                          <w:t>100</w:t>
                        </w:r>
                      </w:p>
                    </w:tc>
                    <w:tc>
                      <w:tcPr>
                        <w:tcW w:w="861" w:type="dxa"/>
                      </w:tcPr>
                      <w:p>
                        <w:pPr>
                          <w:pStyle w:val="TableParagraph"/>
                          <w:spacing w:line="218" w:lineRule="exact"/>
                          <w:ind w:left="189" w:right="181"/>
                          <w:rPr>
                            <w:sz w:val="20"/>
                          </w:rPr>
                        </w:pPr>
                        <w:r>
                          <w:rPr>
                            <w:sz w:val="20"/>
                          </w:rPr>
                          <w:t>97.50</w:t>
                        </w:r>
                      </w:p>
                    </w:tc>
                    <w:tc>
                      <w:tcPr>
                        <w:tcW w:w="851" w:type="dxa"/>
                      </w:tcPr>
                      <w:p>
                        <w:pPr>
                          <w:pStyle w:val="TableParagraph"/>
                          <w:spacing w:line="218" w:lineRule="exact"/>
                          <w:ind w:left="178" w:right="179"/>
                          <w:rPr>
                            <w:sz w:val="20"/>
                          </w:rPr>
                        </w:pPr>
                        <w:r>
                          <w:rPr>
                            <w:sz w:val="20"/>
                          </w:rPr>
                          <w:t>100</w:t>
                        </w:r>
                      </w:p>
                    </w:tc>
                    <w:tc>
                      <w:tcPr>
                        <w:tcW w:w="886" w:type="dxa"/>
                      </w:tcPr>
                      <w:p>
                        <w:pPr>
                          <w:pStyle w:val="TableParagraph"/>
                          <w:spacing w:line="218" w:lineRule="exact"/>
                          <w:ind w:right="214"/>
                          <w:rPr>
                            <w:sz w:val="20"/>
                          </w:rPr>
                        </w:pPr>
                        <w:r>
                          <w:rPr>
                            <w:sz w:val="20"/>
                          </w:rPr>
                          <w:t>98.07</w:t>
                        </w:r>
                      </w:p>
                    </w:tc>
                    <w:tc>
                      <w:tcPr>
                        <w:tcW w:w="956" w:type="dxa"/>
                      </w:tcPr>
                      <w:p>
                        <w:pPr>
                          <w:pStyle w:val="TableParagraph"/>
                          <w:spacing w:line="218" w:lineRule="exact"/>
                          <w:ind w:left="216" w:right="248"/>
                          <w:rPr>
                            <w:sz w:val="20"/>
                          </w:rPr>
                        </w:pPr>
                        <w:r>
                          <w:rPr>
                            <w:sz w:val="20"/>
                          </w:rPr>
                          <w:t>93.12</w:t>
                        </w:r>
                      </w:p>
                    </w:tc>
                    <w:tc>
                      <w:tcPr>
                        <w:tcW w:w="991" w:type="dxa"/>
                      </w:tcPr>
                      <w:p>
                        <w:pPr>
                          <w:pStyle w:val="TableParagraph"/>
                          <w:spacing w:line="218" w:lineRule="exact"/>
                          <w:ind w:left="250" w:right="250"/>
                          <w:rPr>
                            <w:sz w:val="20"/>
                          </w:rPr>
                        </w:pPr>
                        <w:r>
                          <w:rPr>
                            <w:sz w:val="20"/>
                          </w:rPr>
                          <w:t>97.73</w:t>
                        </w:r>
                      </w:p>
                    </w:tc>
                  </w:tr>
                  <w:tr>
                    <w:trPr>
                      <w:trHeight w:val="230" w:hRule="exact"/>
                    </w:trPr>
                    <w:tc>
                      <w:tcPr>
                        <w:tcW w:w="1526" w:type="dxa"/>
                      </w:tcPr>
                      <w:p>
                        <w:pPr>
                          <w:pStyle w:val="TableParagraph"/>
                          <w:ind w:left="108"/>
                          <w:jc w:val="left"/>
                          <w:rPr>
                            <w:i/>
                            <w:sz w:val="20"/>
                          </w:rPr>
                        </w:pPr>
                        <w:r>
                          <w:rPr>
                            <w:i/>
                            <w:sz w:val="20"/>
                          </w:rPr>
                          <w:t>RGB-HSV</w:t>
                        </w:r>
                      </w:p>
                    </w:tc>
                    <w:tc>
                      <w:tcPr>
                        <w:tcW w:w="875" w:type="dxa"/>
                      </w:tcPr>
                      <w:p>
                        <w:pPr>
                          <w:pStyle w:val="TableParagraph"/>
                          <w:ind w:left="364"/>
                          <w:jc w:val="left"/>
                          <w:rPr>
                            <w:sz w:val="20"/>
                          </w:rPr>
                        </w:pPr>
                        <w:r>
                          <w:rPr>
                            <w:sz w:val="20"/>
                          </w:rPr>
                          <w:t>100</w:t>
                        </w:r>
                      </w:p>
                    </w:tc>
                    <w:tc>
                      <w:tcPr>
                        <w:tcW w:w="861" w:type="dxa"/>
                      </w:tcPr>
                      <w:p>
                        <w:pPr>
                          <w:pStyle w:val="TableParagraph"/>
                          <w:ind w:left="189" w:right="181"/>
                          <w:rPr>
                            <w:sz w:val="20"/>
                          </w:rPr>
                        </w:pPr>
                        <w:r>
                          <w:rPr>
                            <w:sz w:val="20"/>
                          </w:rPr>
                          <w:t>97.50</w:t>
                        </w:r>
                      </w:p>
                    </w:tc>
                    <w:tc>
                      <w:tcPr>
                        <w:tcW w:w="851" w:type="dxa"/>
                      </w:tcPr>
                      <w:p>
                        <w:pPr>
                          <w:pStyle w:val="TableParagraph"/>
                          <w:ind w:left="178" w:right="179"/>
                          <w:rPr>
                            <w:sz w:val="20"/>
                          </w:rPr>
                        </w:pPr>
                        <w:r>
                          <w:rPr>
                            <w:sz w:val="20"/>
                          </w:rPr>
                          <w:t>100</w:t>
                        </w:r>
                      </w:p>
                    </w:tc>
                    <w:tc>
                      <w:tcPr>
                        <w:tcW w:w="886" w:type="dxa"/>
                      </w:tcPr>
                      <w:p>
                        <w:pPr>
                          <w:pStyle w:val="TableParagraph"/>
                          <w:ind w:right="214"/>
                          <w:rPr>
                            <w:sz w:val="20"/>
                          </w:rPr>
                        </w:pPr>
                        <w:r>
                          <w:rPr>
                            <w:sz w:val="20"/>
                          </w:rPr>
                          <w:t>97.87</w:t>
                        </w:r>
                      </w:p>
                    </w:tc>
                    <w:tc>
                      <w:tcPr>
                        <w:tcW w:w="956" w:type="dxa"/>
                      </w:tcPr>
                      <w:p>
                        <w:pPr>
                          <w:pStyle w:val="TableParagraph"/>
                          <w:ind w:left="216" w:right="248"/>
                          <w:rPr>
                            <w:sz w:val="20"/>
                          </w:rPr>
                        </w:pPr>
                        <w:r>
                          <w:rPr>
                            <w:sz w:val="20"/>
                          </w:rPr>
                          <w:t>93.12</w:t>
                        </w:r>
                      </w:p>
                    </w:tc>
                    <w:tc>
                      <w:tcPr>
                        <w:tcW w:w="991" w:type="dxa"/>
                      </w:tcPr>
                      <w:p>
                        <w:pPr>
                          <w:pStyle w:val="TableParagraph"/>
                          <w:ind w:left="250" w:right="250"/>
                          <w:rPr>
                            <w:sz w:val="20"/>
                          </w:rPr>
                        </w:pPr>
                        <w:r>
                          <w:rPr>
                            <w:sz w:val="20"/>
                          </w:rPr>
                          <w:t>97.70</w:t>
                        </w:r>
                      </w:p>
                    </w:tc>
                  </w:tr>
                  <w:tr>
                    <w:trPr>
                      <w:trHeight w:val="241" w:hRule="exact"/>
                    </w:trPr>
                    <w:tc>
                      <w:tcPr>
                        <w:tcW w:w="1526" w:type="dxa"/>
                        <w:tcBorders>
                          <w:bottom w:val="single" w:sz="12" w:space="0" w:color="000000"/>
                        </w:tcBorders>
                      </w:tcPr>
                      <w:p>
                        <w:pPr>
                          <w:pStyle w:val="TableParagraph"/>
                          <w:ind w:left="108"/>
                          <w:jc w:val="left"/>
                          <w:rPr>
                            <w:i/>
                            <w:sz w:val="20"/>
                          </w:rPr>
                        </w:pPr>
                        <w:r>
                          <w:rPr>
                            <w:i/>
                            <w:sz w:val="20"/>
                          </w:rPr>
                          <w:t>W-RGB-HSV</w:t>
                        </w:r>
                      </w:p>
                    </w:tc>
                    <w:tc>
                      <w:tcPr>
                        <w:tcW w:w="875" w:type="dxa"/>
                        <w:tcBorders>
                          <w:bottom w:val="single" w:sz="12" w:space="0" w:color="000000"/>
                        </w:tcBorders>
                      </w:tcPr>
                      <w:p>
                        <w:pPr>
                          <w:pStyle w:val="TableParagraph"/>
                          <w:ind w:left="364"/>
                          <w:jc w:val="left"/>
                          <w:rPr>
                            <w:sz w:val="20"/>
                          </w:rPr>
                        </w:pPr>
                        <w:r>
                          <w:rPr>
                            <w:sz w:val="20"/>
                          </w:rPr>
                          <w:t>100</w:t>
                        </w:r>
                      </w:p>
                    </w:tc>
                    <w:tc>
                      <w:tcPr>
                        <w:tcW w:w="861" w:type="dxa"/>
                        <w:tcBorders>
                          <w:bottom w:val="single" w:sz="12" w:space="0" w:color="000000"/>
                        </w:tcBorders>
                      </w:tcPr>
                      <w:p>
                        <w:pPr>
                          <w:pStyle w:val="TableParagraph"/>
                          <w:ind w:left="189" w:right="181"/>
                          <w:rPr>
                            <w:sz w:val="20"/>
                          </w:rPr>
                        </w:pPr>
                        <w:r>
                          <w:rPr>
                            <w:sz w:val="20"/>
                          </w:rPr>
                          <w:t>97.50</w:t>
                        </w:r>
                      </w:p>
                    </w:tc>
                    <w:tc>
                      <w:tcPr>
                        <w:tcW w:w="851" w:type="dxa"/>
                        <w:tcBorders>
                          <w:bottom w:val="single" w:sz="12" w:space="0" w:color="000000"/>
                        </w:tcBorders>
                      </w:tcPr>
                      <w:p>
                        <w:pPr>
                          <w:pStyle w:val="TableParagraph"/>
                          <w:ind w:left="178" w:right="179"/>
                          <w:rPr>
                            <w:sz w:val="20"/>
                          </w:rPr>
                        </w:pPr>
                        <w:r>
                          <w:rPr>
                            <w:sz w:val="20"/>
                          </w:rPr>
                          <w:t>100</w:t>
                        </w:r>
                      </w:p>
                    </w:tc>
                    <w:tc>
                      <w:tcPr>
                        <w:tcW w:w="886" w:type="dxa"/>
                        <w:tcBorders>
                          <w:bottom w:val="single" w:sz="12" w:space="0" w:color="000000"/>
                        </w:tcBorders>
                      </w:tcPr>
                      <w:p>
                        <w:pPr>
                          <w:pStyle w:val="TableParagraph"/>
                          <w:ind w:right="213"/>
                          <w:rPr>
                            <w:sz w:val="20"/>
                          </w:rPr>
                        </w:pPr>
                        <w:r>
                          <w:rPr>
                            <w:sz w:val="20"/>
                          </w:rPr>
                          <w:t>97.43</w:t>
                        </w:r>
                      </w:p>
                    </w:tc>
                    <w:tc>
                      <w:tcPr>
                        <w:tcW w:w="956" w:type="dxa"/>
                        <w:tcBorders>
                          <w:bottom w:val="single" w:sz="12" w:space="0" w:color="000000"/>
                        </w:tcBorders>
                      </w:tcPr>
                      <w:p>
                        <w:pPr>
                          <w:pStyle w:val="TableParagraph"/>
                          <w:ind w:left="216" w:right="246"/>
                          <w:rPr>
                            <w:sz w:val="20"/>
                          </w:rPr>
                        </w:pPr>
                        <w:r>
                          <w:rPr>
                            <w:sz w:val="20"/>
                          </w:rPr>
                          <w:t>90</w:t>
                        </w:r>
                      </w:p>
                    </w:tc>
                    <w:tc>
                      <w:tcPr>
                        <w:tcW w:w="991" w:type="dxa"/>
                        <w:tcBorders>
                          <w:bottom w:val="single" w:sz="12" w:space="0" w:color="000000"/>
                        </w:tcBorders>
                      </w:tcPr>
                      <w:p>
                        <w:pPr>
                          <w:pStyle w:val="TableParagraph"/>
                          <w:ind w:left="250" w:right="250"/>
                          <w:rPr>
                            <w:sz w:val="20"/>
                          </w:rPr>
                        </w:pPr>
                        <w:r>
                          <w:rPr>
                            <w:sz w:val="20"/>
                          </w:rPr>
                          <w:t>96.98</w:t>
                        </w:r>
                      </w:p>
                    </w:tc>
                  </w:tr>
                </w:tbl>
                <w:p>
                  <w:pPr>
                    <w:pStyle w:val="BodyText"/>
                  </w:pPr>
                </w:p>
              </w:txbxContent>
            </v:textbox>
            <w10:wrap type="none"/>
          </v:shape>
        </w:pict>
      </w:r>
      <w:r>
        <w:rPr>
          <w:b/>
          <w:sz w:val="18"/>
        </w:rPr>
        <w:t>Table 2. </w:t>
      </w:r>
      <w:r>
        <w:rPr>
          <w:sz w:val="18"/>
        </w:rPr>
        <w:t>Recognition rates (%) obtained by combining the feature vectors</w:t>
      </w:r>
    </w:p>
    <w:p>
      <w:pPr>
        <w:pStyle w:val="Heading2"/>
        <w:tabs>
          <w:tab w:pos="1566" w:val="left" w:leader="none"/>
          <w:tab w:pos="2876" w:val="left" w:leader="none"/>
          <w:tab w:pos="5847" w:val="left" w:leader="none"/>
        </w:tabs>
        <w:ind w:left="104" w:firstLine="0"/>
        <w:jc w:val="center"/>
      </w:pPr>
      <w:r>
        <w:rPr>
          <w:position w:val="-11"/>
        </w:rPr>
        <w:t>Feature</w:t>
      </w:r>
      <w:r>
        <w:rPr>
          <w:spacing w:val="-1"/>
          <w:position w:val="-11"/>
        </w:rPr>
        <w:t> </w:t>
      </w:r>
      <w:r>
        <w:rPr>
          <w:position w:val="-11"/>
        </w:rPr>
        <w:t>vector</w:t>
        <w:tab/>
      </w:r>
      <w:r>
        <w:rPr>
          <w:u w:val="single"/>
        </w:rPr>
        <w:t> </w:t>
        <w:tab/>
        <w:t>Denomination</w:t>
      </w:r>
      <w:r>
        <w:rPr>
          <w:spacing w:val="-1"/>
          <w:u w:val="single"/>
        </w:rPr>
        <w:t> </w:t>
      </w:r>
      <w:r>
        <w:rPr>
          <w:u w:val="single"/>
        </w:rPr>
        <w:t>class</w:t>
        <w:tab/>
      </w:r>
      <w:r>
        <w:rPr/>
        <w:t>Average</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5"/>
        <w:rPr>
          <w:b/>
          <w:sz w:val="27"/>
        </w:rPr>
      </w:pPr>
    </w:p>
    <w:p>
      <w:pPr>
        <w:pStyle w:val="BodyText"/>
        <w:spacing w:before="74"/>
        <w:ind w:left="813" w:right="807" w:firstLine="230"/>
        <w:jc w:val="both"/>
      </w:pPr>
      <w:r>
        <w:rPr/>
        <w:t>Regardless the feature vector combinations, the 20 Pesos denomination is the best classified. The recognition rate of the 100 Pesos denomination remains at 100% when at least a color selection approach is applied.</w:t>
      </w:r>
    </w:p>
    <w:p>
      <w:pPr>
        <w:pStyle w:val="BodyText"/>
        <w:spacing w:line="228" w:lineRule="auto" w:before="11"/>
        <w:ind w:left="813" w:right="803" w:firstLine="230"/>
        <w:jc w:val="both"/>
      </w:pPr>
      <w:r>
        <w:rPr/>
        <w:t>With the feature vector </w:t>
      </w:r>
      <w:r>
        <w:rPr>
          <w:rFonts w:ascii="Cambria Math"/>
        </w:rPr>
        <w:t>u</w:t>
      </w:r>
      <w:r>
        <w:rPr>
          <w:rFonts w:ascii="Cambria Math"/>
          <w:position w:val="-3"/>
          <w:sz w:val="14"/>
        </w:rPr>
        <w:t>M </w:t>
      </w:r>
      <w:r>
        <w:rPr/>
        <w:t>all the 200 Pesos banknotes are successfully classified and 96.67% of the 100 Pesos banknotes are correctly identified. While the recognition rates for the 50 and 500 Pesos denominations are low, 87.50% and 82.50%, respec- tively. Using the feature vector </w:t>
      </w:r>
      <w:r>
        <w:rPr>
          <w:rFonts w:ascii="Cambria Math"/>
        </w:rPr>
        <w:t>u</w:t>
      </w:r>
      <w:r>
        <w:rPr>
          <w:rFonts w:ascii="Cambria Math"/>
          <w:position w:val="-3"/>
          <w:sz w:val="14"/>
        </w:rPr>
        <w:t>RGB </w:t>
      </w:r>
      <w:r>
        <w:rPr/>
        <w:t>the recognition rates of the 50, 100 and 500  Pesos denominations are improved up to 97.50%, 100% and 86.25%, respectively. The recognition rate of the 200 Pesos denomination falls at</w:t>
      </w:r>
      <w:r>
        <w:rPr>
          <w:spacing w:val="-26"/>
        </w:rPr>
        <w:t> </w:t>
      </w:r>
      <w:r>
        <w:rPr/>
        <w:t>86.16%.</w:t>
      </w:r>
    </w:p>
    <w:p>
      <w:pPr>
        <w:pStyle w:val="BodyText"/>
        <w:spacing w:line="220" w:lineRule="auto" w:before="19"/>
        <w:ind w:left="813" w:right="804" w:firstLine="230"/>
        <w:jc w:val="both"/>
      </w:pPr>
      <w:r>
        <w:rPr/>
        <w:t>Moreover, with the feature vector </w:t>
      </w:r>
      <w:r>
        <w:rPr>
          <w:rFonts w:ascii="Cambria Math"/>
        </w:rPr>
        <w:t>u</w:t>
      </w:r>
      <w:r>
        <w:rPr>
          <w:rFonts w:ascii="Cambria Math"/>
          <w:position w:val="-3"/>
          <w:sz w:val="14"/>
        </w:rPr>
        <w:t>KSV </w:t>
      </w:r>
      <w:r>
        <w:rPr/>
        <w:t>all the 100 Pesos banknotes are properly identified. The recognition rates of the 200 and 500 Pesos banknotes are higher than the obtained using the feature vector </w:t>
      </w:r>
      <w:r>
        <w:rPr>
          <w:rFonts w:ascii="Cambria Math"/>
        </w:rPr>
        <w:t>u</w:t>
      </w:r>
      <w:r>
        <w:rPr>
          <w:rFonts w:ascii="Cambria Math"/>
          <w:position w:val="-3"/>
          <w:sz w:val="14"/>
        </w:rPr>
        <w:t>RGB </w:t>
      </w:r>
      <w:r>
        <w:rPr/>
        <w:t>, but the recognition rate of the 200 Pesos denomination is lower than using the feature vector </w:t>
      </w:r>
      <w:r>
        <w:rPr>
          <w:rFonts w:ascii="Cambria Math"/>
        </w:rPr>
        <w:t>u</w:t>
      </w:r>
      <w:r>
        <w:rPr>
          <w:rFonts w:ascii="Cambria Math"/>
          <w:position w:val="-3"/>
          <w:sz w:val="14"/>
        </w:rPr>
        <w:t>M</w:t>
      </w:r>
      <w:r>
        <w:rPr/>
        <w:t>. Although the recognition</w:t>
      </w:r>
    </w:p>
    <w:p>
      <w:pPr>
        <w:spacing w:after="0" w:line="220" w:lineRule="auto"/>
        <w:jc w:val="both"/>
        <w:sectPr>
          <w:pgSz w:w="11900" w:h="16840"/>
          <w:pgMar w:header="2409" w:footer="0" w:top="2600" w:bottom="280" w:left="1680" w:right="1680"/>
        </w:sectPr>
      </w:pPr>
    </w:p>
    <w:p>
      <w:pPr>
        <w:pStyle w:val="BodyText"/>
        <w:spacing w:before="4"/>
        <w:rPr>
          <w:sz w:val="22"/>
        </w:rPr>
      </w:pPr>
    </w:p>
    <w:p>
      <w:pPr>
        <w:pStyle w:val="BodyText"/>
        <w:spacing w:line="236" w:lineRule="exact" w:before="73"/>
        <w:ind w:left="813" w:right="806"/>
        <w:jc w:val="both"/>
      </w:pPr>
      <w:r>
        <w:rPr/>
        <w:t>rate of the 50 Pesos denomination is higher with respect the obtained using </w:t>
      </w:r>
      <w:r>
        <w:rPr>
          <w:rFonts w:ascii="Cambria Math"/>
        </w:rPr>
        <w:t>u</w:t>
      </w:r>
      <w:r>
        <w:rPr>
          <w:rFonts w:ascii="Cambria Math"/>
          <w:position w:val="-3"/>
          <w:sz w:val="14"/>
        </w:rPr>
        <w:t>M</w:t>
      </w:r>
      <w:r>
        <w:rPr/>
        <w:t>, it is lower that the obtained using </w:t>
      </w:r>
      <w:r>
        <w:rPr>
          <w:rFonts w:ascii="Cambria Math"/>
        </w:rPr>
        <w:t>u</w:t>
      </w:r>
      <w:r>
        <w:rPr>
          <w:rFonts w:ascii="Cambria Math"/>
          <w:position w:val="-3"/>
          <w:sz w:val="14"/>
        </w:rPr>
        <w:t>RGB </w:t>
      </w:r>
      <w:r>
        <w:rPr/>
        <w:t>.</w:t>
      </w:r>
    </w:p>
    <w:p>
      <w:pPr>
        <w:pStyle w:val="BodyText"/>
        <w:spacing w:line="225" w:lineRule="auto" w:before="7"/>
        <w:ind w:left="813" w:right="806" w:firstLine="230"/>
        <w:jc w:val="both"/>
      </w:pPr>
      <w:r>
        <w:rPr/>
        <w:t>With the combination W-RGB the recognition rates remain almost the same using the feature vector </w:t>
      </w:r>
      <w:r>
        <w:rPr>
          <w:rFonts w:ascii="Cambria Math"/>
        </w:rPr>
        <w:t>u</w:t>
      </w:r>
      <w:r>
        <w:rPr>
          <w:rFonts w:ascii="Cambria Math"/>
          <w:position w:val="-3"/>
          <w:sz w:val="14"/>
        </w:rPr>
        <w:t>RGB </w:t>
      </w:r>
      <w:r>
        <w:rPr/>
        <w:t>; except for the 200 and 500 Pesos banknotes where the rec- ognition rates are higher and slightly lower, respectively.</w:t>
      </w:r>
    </w:p>
    <w:p>
      <w:pPr>
        <w:pStyle w:val="BodyText"/>
        <w:spacing w:before="3"/>
        <w:ind w:left="813" w:right="806" w:firstLine="230"/>
        <w:jc w:val="both"/>
      </w:pPr>
      <w:r>
        <w:rPr/>
        <w:t>The recognition rates obtained with the combination W-HSV are slightly higher than employing the feature vector  </w:t>
      </w:r>
      <w:r>
        <w:rPr>
          <w:rFonts w:ascii="Cambria Math"/>
        </w:rPr>
        <w:t>u</w:t>
      </w:r>
      <w:r>
        <w:rPr>
          <w:rFonts w:ascii="Cambria Math"/>
          <w:position w:val="-3"/>
          <w:sz w:val="14"/>
        </w:rPr>
        <w:t>KSV</w:t>
      </w:r>
      <w:r>
        <w:rPr/>
        <w:t>; from 95% to 97.44% and 92.50% to 97.50%,</w:t>
      </w:r>
    </w:p>
    <w:p>
      <w:pPr>
        <w:pStyle w:val="BodyText"/>
        <w:spacing w:line="202" w:lineRule="exact"/>
        <w:ind w:left="813"/>
        <w:jc w:val="both"/>
      </w:pPr>
      <w:r>
        <w:rPr/>
        <w:t>98.07 and 93.12% for the 50, 200 and 500 Pesos denominations, respectively.</w:t>
      </w:r>
    </w:p>
    <w:p>
      <w:pPr>
        <w:pStyle w:val="BodyText"/>
        <w:ind w:left="813" w:right="804" w:firstLine="230"/>
        <w:jc w:val="both"/>
      </w:pPr>
      <w:r>
        <w:rPr/>
        <w:t>The combination RGB-HSV gives almost the same recognition rates to the ob- tained with the combination W-HSV; except for the 200 Pesos denomination, where its recognition rate falls from 98.07% to 97.87%.</w:t>
      </w:r>
    </w:p>
    <w:p>
      <w:pPr>
        <w:pStyle w:val="BodyText"/>
        <w:ind w:left="813" w:right="806" w:firstLine="230"/>
        <w:jc w:val="both"/>
      </w:pPr>
      <w:r>
        <w:rPr/>
        <w:t>With the combination of the three feature vectors, the recognition rates are very similar to the obtained with the combination RGB-HSV, where the recognition rate of the 500 Pesos denomination is notably lower, reaching 90%.</w:t>
      </w:r>
    </w:p>
    <w:p>
      <w:pPr>
        <w:pStyle w:val="BodyText"/>
      </w:pPr>
    </w:p>
    <w:p>
      <w:pPr>
        <w:pStyle w:val="Heading1"/>
        <w:numPr>
          <w:ilvl w:val="0"/>
          <w:numId w:val="1"/>
        </w:numPr>
        <w:tabs>
          <w:tab w:pos="1376" w:val="left" w:leader="none"/>
        </w:tabs>
        <w:spacing w:line="240" w:lineRule="auto" w:before="117" w:after="0"/>
        <w:ind w:left="1375" w:right="0" w:hanging="562"/>
        <w:jc w:val="both"/>
      </w:pPr>
      <w:r>
        <w:rPr/>
        <w:t>Discussion</w:t>
      </w:r>
    </w:p>
    <w:p>
      <w:pPr>
        <w:pStyle w:val="BodyText"/>
        <w:spacing w:before="195"/>
        <w:ind w:left="813" w:right="804"/>
        <w:jc w:val="both"/>
      </w:pPr>
      <w:r>
        <w:rPr/>
        <w:t>Without using color selection, most of the 50 Pesos banknotes misclassifications are recognized as 500 Pesos and viceversa. This happens because  both denominations have colors in common, although such colors may not be characteristic of these de- nominations, therefore the feature vectors of these denominations become similar.</w:t>
      </w:r>
    </w:p>
    <w:p>
      <w:pPr>
        <w:pStyle w:val="BodyText"/>
        <w:ind w:left="813" w:right="805" w:firstLine="228"/>
        <w:jc w:val="both"/>
      </w:pPr>
      <w:r>
        <w:rPr/>
        <w:t>With the image preprocessing in the RGB space the recognition of the 50 Pesos banknotes is improved, because the non-discriminative colors of this denomination are eliminated. However, for the 500 Pesos denomination the discriminative colors cannot be selected such that to avoid being misclassified as 50 Pesos. The recognition of the 200 Pesos denomination becomes less precise because several green tonalities are eliminated; in consequence, the yellow tonalities predominate. Thus, several 200 Pesos banknotes are misclassified as 100</w:t>
      </w:r>
      <w:r>
        <w:rPr>
          <w:spacing w:val="-13"/>
        </w:rPr>
        <w:t> </w:t>
      </w:r>
      <w:r>
        <w:rPr/>
        <w:t>Pesos.</w:t>
      </w:r>
    </w:p>
    <w:p>
      <w:pPr>
        <w:pStyle w:val="BodyText"/>
        <w:ind w:left="813" w:right="807" w:firstLine="228"/>
        <w:jc w:val="both"/>
      </w:pPr>
      <w:r>
        <w:rPr/>
        <w:t>The color selection in the HSV space improved the recognition rates. The most notable result is the recognition of the 500 Pesos denomination; the colors of the 500 Pesos denomination in common with the 50 Pesos denomination are eliminated in the image preprocessing, due to these colors are not characteristic of this denomination. But the recognition rate of the 50 Pesos denomination is lower than the obtained with the RGB color selection, because the feature vector’s orientation is similar to the brown hue; therefore, the 50 Pesos banknotes are misclassified as 500 Pesos.</w:t>
      </w:r>
    </w:p>
    <w:p>
      <w:pPr>
        <w:pStyle w:val="BodyText"/>
        <w:ind w:left="813" w:right="806" w:firstLine="228"/>
        <w:jc w:val="both"/>
      </w:pPr>
      <w:r>
        <w:rPr/>
        <w:t>In general, the recognition rates using any combination of feature vectors are high- er than employing the feature vectors separately. The combination of the feature vec- tors lets to build a feature vector containing the attributes of the feature vectors that give shape. The highest rates are obtained with the combinations where the color selection is performed in the HSV space. The color selection is more precise in the HSV space because the chromatic hue is an attribute that describes a pure color; while the colors in the RGB space is represented on the spectral components of the basis colors. Besides, despite the color vectors are normalized in the color selection in the RGB space, the influence of the intensity is not totally eliminated.</w:t>
      </w:r>
    </w:p>
    <w:p>
      <w:pPr>
        <w:pStyle w:val="BodyText"/>
        <w:spacing w:line="249" w:lineRule="auto" w:before="12"/>
        <w:ind w:left="813" w:right="804" w:firstLine="228"/>
        <w:jc w:val="both"/>
      </w:pPr>
      <w:r>
        <w:rPr/>
        <w:t>In</w:t>
      </w:r>
      <w:r>
        <w:rPr>
          <w:spacing w:val="-10"/>
        </w:rPr>
        <w:t> </w:t>
      </w:r>
      <w:r>
        <w:rPr/>
        <w:t>order</w:t>
      </w:r>
      <w:r>
        <w:rPr>
          <w:spacing w:val="-8"/>
        </w:rPr>
        <w:t> </w:t>
      </w:r>
      <w:r>
        <w:rPr/>
        <w:t>to</w:t>
      </w:r>
      <w:r>
        <w:rPr>
          <w:spacing w:val="-8"/>
        </w:rPr>
        <w:t> </w:t>
      </w:r>
      <w:r>
        <w:rPr/>
        <w:t>improve</w:t>
      </w:r>
      <w:r>
        <w:rPr>
          <w:spacing w:val="-9"/>
        </w:rPr>
        <w:t> </w:t>
      </w:r>
      <w:r>
        <w:rPr/>
        <w:t>the</w:t>
      </w:r>
      <w:r>
        <w:rPr>
          <w:spacing w:val="-9"/>
        </w:rPr>
        <w:t> </w:t>
      </w:r>
      <w:r>
        <w:rPr/>
        <w:t>recognition</w:t>
      </w:r>
      <w:r>
        <w:rPr>
          <w:spacing w:val="-10"/>
        </w:rPr>
        <w:t> </w:t>
      </w:r>
      <w:r>
        <w:rPr>
          <w:spacing w:val="-3"/>
        </w:rPr>
        <w:t>rate,</w:t>
      </w:r>
      <w:r>
        <w:rPr>
          <w:spacing w:val="-7"/>
        </w:rPr>
        <w:t> </w:t>
      </w:r>
      <w:r>
        <w:rPr/>
        <w:t>it</w:t>
      </w:r>
      <w:r>
        <w:rPr>
          <w:spacing w:val="-7"/>
        </w:rPr>
        <w:t> </w:t>
      </w:r>
      <w:r>
        <w:rPr/>
        <w:t>may</w:t>
      </w:r>
      <w:r>
        <w:rPr>
          <w:spacing w:val="-10"/>
        </w:rPr>
        <w:t> </w:t>
      </w:r>
      <w:r>
        <w:rPr/>
        <w:t>be</w:t>
      </w:r>
      <w:r>
        <w:rPr>
          <w:spacing w:val="-7"/>
        </w:rPr>
        <w:t> </w:t>
      </w:r>
      <w:r>
        <w:rPr/>
        <w:t>useful</w:t>
      </w:r>
      <w:r>
        <w:rPr>
          <w:spacing w:val="-9"/>
        </w:rPr>
        <w:t> </w:t>
      </w:r>
      <w:r>
        <w:rPr/>
        <w:t>to</w:t>
      </w:r>
      <w:r>
        <w:rPr>
          <w:spacing w:val="-8"/>
        </w:rPr>
        <w:t> </w:t>
      </w:r>
      <w:r>
        <w:rPr/>
        <w:t>employ</w:t>
      </w:r>
      <w:r>
        <w:rPr>
          <w:spacing w:val="-10"/>
        </w:rPr>
        <w:t> </w:t>
      </w:r>
      <w:r>
        <w:rPr/>
        <w:t>other</w:t>
      </w:r>
      <w:r>
        <w:rPr>
          <w:spacing w:val="-8"/>
        </w:rPr>
        <w:t> </w:t>
      </w:r>
      <w:r>
        <w:rPr/>
        <w:t>banknote’s feature;  </w:t>
      </w:r>
      <w:r>
        <w:rPr>
          <w:spacing w:val="-2"/>
        </w:rPr>
        <w:t>for  </w:t>
      </w:r>
      <w:r>
        <w:rPr>
          <w:spacing w:val="-3"/>
        </w:rPr>
        <w:t>instance,  </w:t>
      </w:r>
      <w:r>
        <w:rPr/>
        <w:t>the  texture  </w:t>
      </w:r>
      <w:r>
        <w:rPr>
          <w:spacing w:val="-3"/>
        </w:rPr>
        <w:t>feature,  </w:t>
      </w:r>
      <w:r>
        <w:rPr/>
        <w:t>although  this  </w:t>
      </w:r>
      <w:r>
        <w:rPr>
          <w:spacing w:val="-3"/>
        </w:rPr>
        <w:t>feature  has  </w:t>
      </w:r>
      <w:r>
        <w:rPr/>
        <w:t>the </w:t>
      </w:r>
      <w:r>
        <w:rPr>
          <w:spacing w:val="32"/>
        </w:rPr>
        <w:t> </w:t>
      </w:r>
      <w:r>
        <w:rPr/>
        <w:t>drawbacks</w:t>
      </w:r>
    </w:p>
    <w:p>
      <w:pPr>
        <w:spacing w:after="0" w:line="249" w:lineRule="auto"/>
        <w:jc w:val="both"/>
        <w:sectPr>
          <w:pgSz w:w="11900" w:h="16840"/>
          <w:pgMar w:header="2414" w:footer="0" w:top="2600" w:bottom="280" w:left="1680" w:right="1680"/>
        </w:sectPr>
      </w:pPr>
    </w:p>
    <w:p>
      <w:pPr>
        <w:pStyle w:val="BodyText"/>
        <w:spacing w:before="6"/>
        <w:rPr>
          <w:sz w:val="23"/>
        </w:rPr>
      </w:pPr>
    </w:p>
    <w:p>
      <w:pPr>
        <w:pStyle w:val="BodyText"/>
        <w:spacing w:line="249" w:lineRule="auto" w:before="74"/>
        <w:ind w:left="813" w:right="421"/>
      </w:pPr>
      <w:r>
        <w:rPr>
          <w:spacing w:val="-3"/>
        </w:rPr>
        <w:t>mentioned </w:t>
      </w:r>
      <w:r>
        <w:rPr/>
        <w:t>before. </w:t>
      </w:r>
      <w:r>
        <w:rPr>
          <w:spacing w:val="-3"/>
        </w:rPr>
        <w:t>Another possibility </w:t>
      </w:r>
      <w:r>
        <w:rPr/>
        <w:t>is to use a fuzzy logic-based </w:t>
      </w:r>
      <w:r>
        <w:rPr>
          <w:spacing w:val="-3"/>
        </w:rPr>
        <w:t>classifier, </w:t>
      </w:r>
      <w:r>
        <w:rPr>
          <w:spacing w:val="-2"/>
        </w:rPr>
        <w:t>due </w:t>
      </w:r>
      <w:r>
        <w:rPr/>
        <w:t>to the fuzzy </w:t>
      </w:r>
      <w:r>
        <w:rPr>
          <w:spacing w:val="-3"/>
        </w:rPr>
        <w:t>nature </w:t>
      </w:r>
      <w:r>
        <w:rPr/>
        <w:t>of the color </w:t>
      </w:r>
      <w:r>
        <w:rPr>
          <w:spacing w:val="-3"/>
        </w:rPr>
        <w:t>chromaticity.</w:t>
      </w:r>
    </w:p>
    <w:p>
      <w:pPr>
        <w:pStyle w:val="BodyText"/>
        <w:ind w:left="741" w:right="802" w:firstLine="232"/>
        <w:jc w:val="right"/>
      </w:pPr>
      <w:r>
        <w:rPr/>
        <w:t>The </w:t>
      </w:r>
      <w:r>
        <w:rPr>
          <w:spacing w:val="-3"/>
        </w:rPr>
        <w:t>average </w:t>
      </w:r>
      <w:r>
        <w:rPr/>
        <w:t>recognition rate of Mexican paper currency reported in [18] is 96%, us-</w:t>
      </w:r>
      <w:r>
        <w:rPr>
          <w:w w:val="99"/>
        </w:rPr>
        <w:t> </w:t>
      </w:r>
      <w:r>
        <w:rPr/>
        <w:t>ing only color </w:t>
      </w:r>
      <w:r>
        <w:rPr>
          <w:spacing w:val="-3"/>
        </w:rPr>
        <w:t>features, without </w:t>
      </w:r>
      <w:r>
        <w:rPr/>
        <w:t>color selection and by processing only images of</w:t>
      </w:r>
      <w:r>
        <w:rPr>
          <w:spacing w:val="-2"/>
          <w:w w:val="99"/>
        </w:rPr>
        <w:t> </w:t>
      </w:r>
      <w:r>
        <w:rPr>
          <w:spacing w:val="-3"/>
        </w:rPr>
        <w:t>banknotes </w:t>
      </w:r>
      <w:r>
        <w:rPr/>
        <w:t>with the usual mistreat level; </w:t>
      </w:r>
      <w:r>
        <w:rPr>
          <w:spacing w:val="-3"/>
        </w:rPr>
        <w:t>while we </w:t>
      </w:r>
      <w:r>
        <w:rPr/>
        <w:t>obtain 97.73% </w:t>
      </w:r>
      <w:r>
        <w:rPr>
          <w:spacing w:val="-3"/>
        </w:rPr>
        <w:t>without </w:t>
      </w:r>
      <w:r>
        <w:rPr/>
        <w:t>discarding </w:t>
      </w:r>
      <w:r>
        <w:rPr>
          <w:spacing w:val="-2"/>
        </w:rPr>
        <w:t>any</w:t>
      </w:r>
      <w:r>
        <w:rPr>
          <w:spacing w:val="-2"/>
          <w:w w:val="99"/>
        </w:rPr>
        <w:t> </w:t>
      </w:r>
      <w:r>
        <w:rPr>
          <w:spacing w:val="-3"/>
        </w:rPr>
        <w:t>image </w:t>
      </w:r>
      <w:r>
        <w:rPr/>
        <w:t>from the image database, which contains images of severely damaged </w:t>
      </w:r>
      <w:r>
        <w:rPr>
          <w:spacing w:val="-3"/>
        </w:rPr>
        <w:t>banknotes.</w:t>
      </w:r>
      <w:r>
        <w:rPr>
          <w:w w:val="99"/>
        </w:rPr>
        <w:t> </w:t>
      </w:r>
      <w:r>
        <w:rPr/>
        <w:t>Though none of the reviewed papers mention their processing times, it is useful to</w:t>
      </w:r>
      <w:r>
        <w:rPr>
          <w:w w:val="99"/>
        </w:rPr>
        <w:t> </w:t>
      </w:r>
      <w:r>
        <w:rPr/>
        <w:t>know that because we can decide on which kind of applications the proposed ap-</w:t>
      </w:r>
      <w:r>
        <w:rPr>
          <w:w w:val="99"/>
        </w:rPr>
        <w:t> </w:t>
      </w:r>
      <w:r>
        <w:rPr/>
        <w:t>proach is adequate to be employed. The processing time depends not only on the kind</w:t>
      </w:r>
      <w:r>
        <w:rPr>
          <w:w w:val="99"/>
        </w:rPr>
        <w:t> </w:t>
      </w:r>
      <w:r>
        <w:rPr/>
        <w:t>of mathematical operations, but also the resolution of the images and the hardware</w:t>
      </w:r>
      <w:r>
        <w:rPr>
          <w:w w:val="99"/>
        </w:rPr>
        <w:t> </w:t>
      </w:r>
      <w:r>
        <w:rPr/>
        <w:t>used. In this paper, the average resolution of the images of the 20, 500, 100, 200 and</w:t>
      </w:r>
      <w:r>
        <w:rPr>
          <w:w w:val="99"/>
        </w:rPr>
        <w:t> </w:t>
      </w:r>
      <w:r>
        <w:rPr/>
        <w:t>500 Pesos denominations are 524×951, 522×1002, 518×1140, 518×1665 and</w:t>
      </w:r>
      <w:r>
        <w:rPr>
          <w:w w:val="99"/>
        </w:rPr>
        <w:t> </w:t>
      </w:r>
      <w:r>
        <w:rPr/>
        <w:t>523×1201 pixels, respectively; the microprocessor employed is a Core i5-3310 at</w:t>
      </w:r>
      <w:r>
        <w:rPr>
          <w:w w:val="99"/>
        </w:rPr>
        <w:t> </w:t>
      </w:r>
      <w:r>
        <w:rPr/>
        <w:t>2.90GHz and 4GB RAM, the algorithms are implemented in Matlab R2009a. Table 3</w:t>
      </w:r>
      <w:r>
        <w:rPr>
          <w:w w:val="99"/>
        </w:rPr>
        <w:t> </w:t>
      </w:r>
      <w:r>
        <w:rPr/>
        <w:t>shows the average processing time of one image of any of the five denomination</w:t>
      </w:r>
    </w:p>
    <w:p>
      <w:pPr>
        <w:pStyle w:val="BodyText"/>
        <w:ind w:left="813" w:right="845"/>
      </w:pPr>
      <w:r>
        <w:rPr/>
        <w:t>classes; from the image preprocessing up to the classification.</w:t>
      </w:r>
    </w:p>
    <w:p>
      <w:pPr>
        <w:pStyle w:val="BodyText"/>
        <w:spacing w:before="1"/>
        <w:rPr>
          <w:sz w:val="22"/>
        </w:rPr>
      </w:pPr>
    </w:p>
    <w:p>
      <w:pPr>
        <w:spacing w:before="0"/>
        <w:ind w:left="2423" w:right="845" w:firstLine="0"/>
        <w:jc w:val="left"/>
        <w:rPr>
          <w:sz w:val="18"/>
        </w:rPr>
      </w:pPr>
      <w:r>
        <w:rPr>
          <w:b/>
          <w:sz w:val="18"/>
        </w:rPr>
        <w:t>Table 3. </w:t>
      </w:r>
      <w:r>
        <w:rPr>
          <w:sz w:val="18"/>
        </w:rPr>
        <w:t>Average processing time, in seconds units</w:t>
      </w:r>
    </w:p>
    <w:p>
      <w:pPr>
        <w:pStyle w:val="BodyText"/>
        <w:spacing w:before="3"/>
        <w:rPr>
          <w:sz w:val="12"/>
        </w:rPr>
      </w:pPr>
    </w:p>
    <w:tbl>
      <w:tblPr>
        <w:tblW w:w="0" w:type="auto"/>
        <w:jc w:val="left"/>
        <w:tblInd w:w="2231"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044"/>
        <w:gridCol w:w="2209"/>
      </w:tblGrid>
      <w:tr>
        <w:trPr>
          <w:trHeight w:val="250" w:hRule="exact"/>
        </w:trPr>
        <w:tc>
          <w:tcPr>
            <w:tcW w:w="2044" w:type="dxa"/>
            <w:tcBorders>
              <w:left w:val="nil"/>
              <w:bottom w:val="single" w:sz="4" w:space="0" w:color="000000"/>
              <w:right w:val="nil"/>
            </w:tcBorders>
          </w:tcPr>
          <w:p>
            <w:pPr>
              <w:pStyle w:val="TableParagraph"/>
              <w:spacing w:line="228" w:lineRule="exact"/>
              <w:ind w:left="359" w:right="394"/>
              <w:rPr>
                <w:b/>
                <w:sz w:val="20"/>
              </w:rPr>
            </w:pPr>
            <w:r>
              <w:rPr>
                <w:b/>
                <w:sz w:val="20"/>
              </w:rPr>
              <w:t>Feature vector</w:t>
            </w:r>
          </w:p>
        </w:tc>
        <w:tc>
          <w:tcPr>
            <w:tcW w:w="2209" w:type="dxa"/>
            <w:tcBorders>
              <w:left w:val="nil"/>
              <w:bottom w:val="single" w:sz="4" w:space="0" w:color="000000"/>
              <w:right w:val="nil"/>
            </w:tcBorders>
          </w:tcPr>
          <w:p>
            <w:pPr>
              <w:pStyle w:val="TableParagraph"/>
              <w:spacing w:line="228" w:lineRule="exact"/>
              <w:ind w:left="394" w:right="436"/>
              <w:rPr>
                <w:b/>
                <w:sz w:val="20"/>
              </w:rPr>
            </w:pPr>
            <w:r>
              <w:rPr>
                <w:b/>
                <w:sz w:val="20"/>
              </w:rPr>
              <w:t>Processing time</w:t>
            </w:r>
          </w:p>
        </w:tc>
      </w:tr>
      <w:tr>
        <w:trPr>
          <w:trHeight w:val="239" w:hRule="exact"/>
        </w:trPr>
        <w:tc>
          <w:tcPr>
            <w:tcW w:w="2044" w:type="dxa"/>
            <w:tcBorders>
              <w:top w:val="single" w:sz="4" w:space="0" w:color="000000"/>
              <w:left w:val="nil"/>
              <w:bottom w:val="nil"/>
              <w:right w:val="nil"/>
            </w:tcBorders>
          </w:tcPr>
          <w:p>
            <w:pPr>
              <w:pStyle w:val="TableParagraph"/>
              <w:spacing w:line="223" w:lineRule="exact"/>
              <w:ind w:left="0" w:right="39"/>
              <w:rPr>
                <w:sz w:val="20"/>
              </w:rPr>
            </w:pPr>
            <w:r>
              <w:rPr>
                <w:w w:val="99"/>
                <w:sz w:val="20"/>
              </w:rPr>
              <w:t>W</w:t>
            </w:r>
          </w:p>
        </w:tc>
        <w:tc>
          <w:tcPr>
            <w:tcW w:w="2209" w:type="dxa"/>
            <w:tcBorders>
              <w:top w:val="single" w:sz="4" w:space="0" w:color="000000"/>
              <w:left w:val="nil"/>
              <w:bottom w:val="nil"/>
              <w:right w:val="nil"/>
            </w:tcBorders>
          </w:tcPr>
          <w:p>
            <w:pPr>
              <w:pStyle w:val="TableParagraph"/>
              <w:spacing w:line="223" w:lineRule="exact"/>
              <w:ind w:left="394" w:right="430"/>
              <w:rPr>
                <w:sz w:val="20"/>
              </w:rPr>
            </w:pPr>
            <w:r>
              <w:rPr>
                <w:sz w:val="20"/>
              </w:rPr>
              <w:t>0.0656</w:t>
            </w:r>
          </w:p>
        </w:tc>
      </w:tr>
      <w:tr>
        <w:trPr>
          <w:trHeight w:val="230" w:hRule="exact"/>
        </w:trPr>
        <w:tc>
          <w:tcPr>
            <w:tcW w:w="2044" w:type="dxa"/>
            <w:tcBorders>
              <w:top w:val="nil"/>
              <w:left w:val="nil"/>
              <w:bottom w:val="nil"/>
              <w:right w:val="nil"/>
            </w:tcBorders>
          </w:tcPr>
          <w:p>
            <w:pPr>
              <w:pStyle w:val="TableParagraph"/>
              <w:ind w:left="355" w:right="394"/>
              <w:rPr>
                <w:sz w:val="20"/>
              </w:rPr>
            </w:pPr>
            <w:r>
              <w:rPr>
                <w:sz w:val="20"/>
              </w:rPr>
              <w:t>RGB</w:t>
            </w:r>
          </w:p>
        </w:tc>
        <w:tc>
          <w:tcPr>
            <w:tcW w:w="2209" w:type="dxa"/>
            <w:tcBorders>
              <w:top w:val="nil"/>
              <w:left w:val="nil"/>
              <w:bottom w:val="nil"/>
              <w:right w:val="nil"/>
            </w:tcBorders>
          </w:tcPr>
          <w:p>
            <w:pPr>
              <w:pStyle w:val="TableParagraph"/>
              <w:ind w:left="394" w:right="430"/>
              <w:rPr>
                <w:sz w:val="20"/>
              </w:rPr>
            </w:pPr>
            <w:r>
              <w:rPr>
                <w:sz w:val="20"/>
              </w:rPr>
              <w:t>1.6012</w:t>
            </w:r>
          </w:p>
        </w:tc>
      </w:tr>
      <w:tr>
        <w:trPr>
          <w:trHeight w:val="241" w:hRule="exact"/>
        </w:trPr>
        <w:tc>
          <w:tcPr>
            <w:tcW w:w="2044" w:type="dxa"/>
            <w:tcBorders>
              <w:top w:val="nil"/>
              <w:left w:val="nil"/>
              <w:right w:val="nil"/>
            </w:tcBorders>
          </w:tcPr>
          <w:p>
            <w:pPr>
              <w:pStyle w:val="TableParagraph"/>
              <w:ind w:left="354" w:right="394"/>
              <w:rPr>
                <w:sz w:val="20"/>
              </w:rPr>
            </w:pPr>
            <w:r>
              <w:rPr>
                <w:sz w:val="20"/>
              </w:rPr>
              <w:t>HSV</w:t>
            </w:r>
          </w:p>
        </w:tc>
        <w:tc>
          <w:tcPr>
            <w:tcW w:w="2209" w:type="dxa"/>
            <w:tcBorders>
              <w:top w:val="nil"/>
              <w:left w:val="nil"/>
              <w:right w:val="nil"/>
            </w:tcBorders>
          </w:tcPr>
          <w:p>
            <w:pPr>
              <w:pStyle w:val="TableParagraph"/>
              <w:ind w:left="394" w:right="430"/>
              <w:rPr>
                <w:sz w:val="20"/>
              </w:rPr>
            </w:pPr>
            <w:r>
              <w:rPr>
                <w:sz w:val="20"/>
              </w:rPr>
              <w:t>0.7485</w:t>
            </w:r>
          </w:p>
        </w:tc>
      </w:tr>
    </w:tbl>
    <w:p>
      <w:pPr>
        <w:pStyle w:val="BodyText"/>
        <w:spacing w:before="7"/>
        <w:rPr>
          <w:sz w:val="12"/>
        </w:rPr>
      </w:pPr>
    </w:p>
    <w:p>
      <w:pPr>
        <w:pStyle w:val="BodyText"/>
        <w:spacing w:before="74"/>
        <w:ind w:left="813" w:right="806" w:firstLine="232"/>
        <w:jc w:val="both"/>
      </w:pPr>
      <w:r>
        <w:rPr/>
        <w:t>It takes longer to classify a banknote when its image is preprocessed in the RGB space than on the HSV space, because the dimensions of the vectors in the RGB and HSV spaces are 3 and 2, respectively. Without color selection the processing is fast because there are performed essentially arithmetic sums. The processing time of the combinations can be computed by adding the processing times of the feature vectors that model the combinations. Given the processing times and recognition rates, this approach can be used in applications that do not require a very fast recognition; for instance, automatic vending machines. The processing time can be reduced by using either a more powerful processor or images at lower resolution.</w:t>
      </w:r>
    </w:p>
    <w:p>
      <w:pPr>
        <w:pStyle w:val="BodyText"/>
        <w:ind w:left="813" w:right="802" w:firstLine="232"/>
        <w:jc w:val="both"/>
      </w:pPr>
      <w:r>
        <w:rPr/>
        <w:t>In many other countries, as in Mexico, there are employed different colors to iden- tify their paper currency’s denominations; for instance, Euros and Pound Sterling. Our approach can also be used to classify the paper currency of countries that use colors to recognize their paper currency’s denominations. Note that our proposal does not rec- ognize counterfeits; it is beyond the scope of this paper due to counterfeit detection is country-dependable [19].</w:t>
      </w:r>
    </w:p>
    <w:p>
      <w:pPr>
        <w:pStyle w:val="BodyText"/>
        <w:spacing w:before="5"/>
        <w:rPr>
          <w:sz w:val="28"/>
        </w:rPr>
      </w:pPr>
    </w:p>
    <w:p>
      <w:pPr>
        <w:pStyle w:val="Heading1"/>
        <w:numPr>
          <w:ilvl w:val="0"/>
          <w:numId w:val="1"/>
        </w:numPr>
        <w:tabs>
          <w:tab w:pos="1376" w:val="left" w:leader="none"/>
        </w:tabs>
        <w:spacing w:line="240" w:lineRule="auto" w:before="1" w:after="0"/>
        <w:ind w:left="1375" w:right="0" w:hanging="562"/>
        <w:jc w:val="both"/>
      </w:pPr>
      <w:r>
        <w:rPr/>
        <w:t>Conclusions</w:t>
      </w:r>
    </w:p>
    <w:p>
      <w:pPr>
        <w:pStyle w:val="BodyText"/>
        <w:spacing w:before="174"/>
        <w:ind w:left="813" w:right="805"/>
        <w:jc w:val="both"/>
      </w:pPr>
      <w:r>
        <w:rPr/>
        <w:t>We have proposed a computer vision approach for the recognition on Mexican paper currency. The denomination classes are recognized by extracting and selecting dis- criminative color features of the paper currency. The banknote’s color is modeled by summing all the color vectors of the image’s pixels, and it is classified by knowing the</w:t>
      </w:r>
      <w:r>
        <w:rPr>
          <w:spacing w:val="17"/>
        </w:rPr>
        <w:t> </w:t>
      </w:r>
      <w:r>
        <w:rPr/>
        <w:t>location</w:t>
      </w:r>
      <w:r>
        <w:rPr>
          <w:spacing w:val="16"/>
        </w:rPr>
        <w:t> </w:t>
      </w:r>
      <w:r>
        <w:rPr/>
        <w:t>of</w:t>
      </w:r>
      <w:r>
        <w:rPr>
          <w:spacing w:val="16"/>
        </w:rPr>
        <w:t> </w:t>
      </w:r>
      <w:r>
        <w:rPr/>
        <w:t>the</w:t>
      </w:r>
      <w:r>
        <w:rPr>
          <w:spacing w:val="17"/>
        </w:rPr>
        <w:t> </w:t>
      </w:r>
      <w:r>
        <w:rPr/>
        <w:t>resulting</w:t>
      </w:r>
      <w:r>
        <w:rPr>
          <w:spacing w:val="18"/>
        </w:rPr>
        <w:t> </w:t>
      </w:r>
      <w:r>
        <w:rPr/>
        <w:t>vector</w:t>
      </w:r>
      <w:r>
        <w:rPr>
          <w:spacing w:val="19"/>
        </w:rPr>
        <w:t> </w:t>
      </w:r>
      <w:r>
        <w:rPr/>
        <w:t>within</w:t>
      </w:r>
      <w:r>
        <w:rPr>
          <w:spacing w:val="16"/>
        </w:rPr>
        <w:t> </w:t>
      </w:r>
      <w:r>
        <w:rPr/>
        <w:t>the</w:t>
      </w:r>
      <w:r>
        <w:rPr>
          <w:spacing w:val="19"/>
        </w:rPr>
        <w:t> </w:t>
      </w:r>
      <w:r>
        <w:rPr/>
        <w:t>RGB</w:t>
      </w:r>
      <w:r>
        <w:rPr>
          <w:spacing w:val="19"/>
        </w:rPr>
        <w:t> </w:t>
      </w:r>
      <w:r>
        <w:rPr/>
        <w:t>space.</w:t>
      </w:r>
      <w:r>
        <w:rPr>
          <w:spacing w:val="19"/>
        </w:rPr>
        <w:t> </w:t>
      </w:r>
      <w:r>
        <w:rPr/>
        <w:t>The</w:t>
      </w:r>
      <w:r>
        <w:rPr>
          <w:spacing w:val="17"/>
        </w:rPr>
        <w:t> </w:t>
      </w:r>
      <w:r>
        <w:rPr/>
        <w:t>recognition</w:t>
      </w:r>
      <w:r>
        <w:rPr>
          <w:spacing w:val="16"/>
        </w:rPr>
        <w:t> </w:t>
      </w:r>
      <w:r>
        <w:rPr/>
        <w:t>becomes</w:t>
      </w:r>
    </w:p>
    <w:p>
      <w:pPr>
        <w:spacing w:after="0"/>
        <w:jc w:val="both"/>
        <w:sectPr>
          <w:pgSz w:w="11900" w:h="16840"/>
          <w:pgMar w:header="2409" w:footer="0" w:top="2600" w:bottom="280" w:left="1680" w:right="1680"/>
        </w:sectPr>
      </w:pPr>
    </w:p>
    <w:p>
      <w:pPr>
        <w:pStyle w:val="BodyText"/>
        <w:spacing w:before="1"/>
        <w:rPr>
          <w:sz w:val="22"/>
        </w:rPr>
      </w:pPr>
    </w:p>
    <w:p>
      <w:pPr>
        <w:pStyle w:val="BodyText"/>
        <w:spacing w:before="73"/>
        <w:ind w:left="813" w:right="807"/>
        <w:jc w:val="both"/>
      </w:pPr>
      <w:r>
        <w:rPr/>
        <w:t>more accurate by using the combination W-HSV; although the combination of the feature vectors RGB-HSV gives almost the same recognition rate, the processing time is larger. Severely damaged banknotes, which are difficult to find in real life, can be accurately classified.</w:t>
      </w:r>
    </w:p>
    <w:p>
      <w:pPr>
        <w:pStyle w:val="BodyText"/>
        <w:spacing w:before="10"/>
        <w:rPr>
          <w:sz w:val="21"/>
        </w:rPr>
      </w:pPr>
    </w:p>
    <w:p>
      <w:pPr>
        <w:pStyle w:val="BodyText"/>
        <w:spacing w:line="249" w:lineRule="auto" w:before="1"/>
        <w:ind w:left="813" w:right="845"/>
      </w:pPr>
      <w:r>
        <w:rPr>
          <w:b/>
        </w:rPr>
        <w:t>Acknowledgments. </w:t>
      </w:r>
      <w:r>
        <w:rPr/>
        <w:t>This work was sponsored by Secretaría de Educación Pública: convenio PROMEP/103.5/13/6535.</w:t>
      </w:r>
    </w:p>
    <w:p>
      <w:pPr>
        <w:pStyle w:val="BodyText"/>
      </w:pPr>
    </w:p>
    <w:p>
      <w:pPr>
        <w:pStyle w:val="Heading1"/>
        <w:spacing w:before="149"/>
        <w:ind w:left="813" w:right="845" w:firstLine="0"/>
        <w:jc w:val="left"/>
      </w:pPr>
      <w:r>
        <w:rPr/>
        <w:t>References</w:t>
      </w:r>
    </w:p>
    <w:p>
      <w:pPr>
        <w:pStyle w:val="BodyText"/>
        <w:spacing w:before="6"/>
        <w:rPr>
          <w:b/>
          <w:sz w:val="21"/>
        </w:rPr>
      </w:pPr>
    </w:p>
    <w:p>
      <w:pPr>
        <w:pStyle w:val="ListParagraph"/>
        <w:numPr>
          <w:ilvl w:val="0"/>
          <w:numId w:val="2"/>
        </w:numPr>
        <w:tabs>
          <w:tab w:pos="1155" w:val="left" w:leader="none"/>
        </w:tabs>
        <w:spacing w:line="254" w:lineRule="auto" w:before="0" w:after="0"/>
        <w:ind w:left="1154" w:right="805" w:hanging="250"/>
        <w:jc w:val="both"/>
        <w:rPr>
          <w:sz w:val="18"/>
        </w:rPr>
      </w:pPr>
      <w:r>
        <w:rPr>
          <w:sz w:val="18"/>
        </w:rPr>
        <w:t>Bank for International Settlements: Monetary and Economic Department, “Triennial cen- tral bank survey for foreign exchange and derivatives market activity in December 2010: Preliminary global results”</w:t>
      </w:r>
      <w:r>
        <w:rPr>
          <w:spacing w:val="-13"/>
          <w:sz w:val="18"/>
        </w:rPr>
        <w:t> </w:t>
      </w:r>
      <w:r>
        <w:rPr>
          <w:sz w:val="18"/>
        </w:rPr>
        <w:t>(2010)</w:t>
      </w:r>
    </w:p>
    <w:p>
      <w:pPr>
        <w:pStyle w:val="ListParagraph"/>
        <w:numPr>
          <w:ilvl w:val="0"/>
          <w:numId w:val="2"/>
        </w:numPr>
        <w:tabs>
          <w:tab w:pos="1155" w:val="left" w:leader="none"/>
        </w:tabs>
        <w:spacing w:line="220" w:lineRule="exact" w:before="0" w:after="0"/>
        <w:ind w:left="1154" w:right="0" w:hanging="250"/>
        <w:jc w:val="left"/>
        <w:rPr>
          <w:rFonts w:ascii="Courier New"/>
          <w:sz w:val="18"/>
        </w:rPr>
      </w:pPr>
      <w:r>
        <w:rPr>
          <w:sz w:val="18"/>
        </w:rPr>
        <w:t>Tecnocont,</w:t>
      </w:r>
      <w:r>
        <w:rPr>
          <w:spacing w:val="-8"/>
          <w:sz w:val="18"/>
        </w:rPr>
        <w:t> </w:t>
      </w:r>
      <w:hyperlink r:id="rId26">
        <w:r>
          <w:rPr>
            <w:rFonts w:ascii="Courier New"/>
            <w:sz w:val="18"/>
          </w:rPr>
          <w:t>http://www.tecnocont.es</w:t>
        </w:r>
      </w:hyperlink>
    </w:p>
    <w:p>
      <w:pPr>
        <w:pStyle w:val="ListParagraph"/>
        <w:numPr>
          <w:ilvl w:val="0"/>
          <w:numId w:val="2"/>
        </w:numPr>
        <w:tabs>
          <w:tab w:pos="1155" w:val="left" w:leader="none"/>
        </w:tabs>
        <w:spacing w:line="215" w:lineRule="exact" w:before="0" w:after="0"/>
        <w:ind w:left="1154" w:right="0" w:hanging="250"/>
        <w:jc w:val="left"/>
        <w:rPr>
          <w:rFonts w:ascii="Courier New"/>
          <w:sz w:val="18"/>
        </w:rPr>
      </w:pPr>
      <w:r>
        <w:rPr>
          <w:sz w:val="18"/>
        </w:rPr>
        <w:t>Galantz,</w:t>
      </w:r>
      <w:r>
        <w:rPr>
          <w:spacing w:val="-3"/>
          <w:sz w:val="18"/>
        </w:rPr>
        <w:t> </w:t>
      </w:r>
      <w:hyperlink r:id="rId27">
        <w:r>
          <w:rPr>
            <w:rFonts w:ascii="Courier New"/>
            <w:sz w:val="18"/>
          </w:rPr>
          <w:t>http://www.galantz.com.ar</w:t>
        </w:r>
      </w:hyperlink>
    </w:p>
    <w:p>
      <w:pPr>
        <w:pStyle w:val="ListParagraph"/>
        <w:numPr>
          <w:ilvl w:val="0"/>
          <w:numId w:val="2"/>
        </w:numPr>
        <w:tabs>
          <w:tab w:pos="1155" w:val="left" w:leader="none"/>
        </w:tabs>
        <w:spacing w:line="240" w:lineRule="auto" w:before="0" w:after="0"/>
        <w:ind w:left="1154" w:right="805" w:hanging="242"/>
        <w:jc w:val="both"/>
        <w:rPr>
          <w:sz w:val="18"/>
        </w:rPr>
      </w:pPr>
      <w:r>
        <w:rPr>
          <w:spacing w:val="-4"/>
          <w:sz w:val="18"/>
        </w:rPr>
        <w:t>Jae-Kang, </w:t>
      </w:r>
      <w:r>
        <w:rPr>
          <w:spacing w:val="-2"/>
          <w:sz w:val="18"/>
        </w:rPr>
        <w:t>L., </w:t>
      </w:r>
      <w:r>
        <w:rPr>
          <w:spacing w:val="-4"/>
          <w:sz w:val="18"/>
        </w:rPr>
        <w:t>Il-Hwan, </w:t>
      </w:r>
      <w:r>
        <w:rPr>
          <w:spacing w:val="-3"/>
          <w:sz w:val="18"/>
        </w:rPr>
        <w:t>L.: New </w:t>
      </w:r>
      <w:r>
        <w:rPr>
          <w:spacing w:val="-4"/>
          <w:sz w:val="18"/>
        </w:rPr>
        <w:t>recognition algorithm </w:t>
      </w:r>
      <w:r>
        <w:rPr>
          <w:spacing w:val="-3"/>
          <w:sz w:val="18"/>
        </w:rPr>
        <w:t>for </w:t>
      </w:r>
      <w:r>
        <w:rPr>
          <w:spacing w:val="-4"/>
          <w:sz w:val="18"/>
        </w:rPr>
        <w:t>various </w:t>
      </w:r>
      <w:r>
        <w:rPr>
          <w:spacing w:val="-3"/>
          <w:sz w:val="18"/>
        </w:rPr>
        <w:t>kinds </w:t>
      </w:r>
      <w:r>
        <w:rPr>
          <w:sz w:val="18"/>
        </w:rPr>
        <w:t>of </w:t>
      </w:r>
      <w:r>
        <w:rPr>
          <w:spacing w:val="-3"/>
          <w:sz w:val="18"/>
        </w:rPr>
        <w:t>Euro </w:t>
      </w:r>
      <w:r>
        <w:rPr>
          <w:spacing w:val="-4"/>
          <w:sz w:val="18"/>
        </w:rPr>
        <w:t>banknotes. </w:t>
      </w:r>
      <w:r>
        <w:rPr>
          <w:spacing w:val="-3"/>
          <w:sz w:val="18"/>
        </w:rPr>
        <w:t>In: Conf. </w:t>
      </w:r>
      <w:r>
        <w:rPr>
          <w:sz w:val="18"/>
        </w:rPr>
        <w:t>of </w:t>
      </w:r>
      <w:r>
        <w:rPr>
          <w:spacing w:val="-2"/>
          <w:sz w:val="18"/>
        </w:rPr>
        <w:t>the </w:t>
      </w:r>
      <w:r>
        <w:rPr>
          <w:spacing w:val="-3"/>
          <w:sz w:val="18"/>
        </w:rPr>
        <w:t>IEEE </w:t>
      </w:r>
      <w:r>
        <w:rPr>
          <w:spacing w:val="-4"/>
          <w:sz w:val="18"/>
        </w:rPr>
        <w:t>Industrial Electronics </w:t>
      </w:r>
      <w:r>
        <w:rPr>
          <w:spacing w:val="-3"/>
          <w:sz w:val="18"/>
        </w:rPr>
        <w:t>Society </w:t>
      </w:r>
      <w:r>
        <w:rPr>
          <w:spacing w:val="-4"/>
          <w:sz w:val="18"/>
        </w:rPr>
        <w:t>(IECON), </w:t>
      </w:r>
      <w:r>
        <w:rPr>
          <w:spacing w:val="-2"/>
          <w:sz w:val="18"/>
        </w:rPr>
        <w:t>pp. </w:t>
      </w:r>
      <w:r>
        <w:rPr>
          <w:spacing w:val="-4"/>
          <w:sz w:val="18"/>
        </w:rPr>
        <w:t>2266–2270</w:t>
      </w:r>
      <w:r>
        <w:rPr>
          <w:spacing w:val="-9"/>
          <w:sz w:val="18"/>
        </w:rPr>
        <w:t> </w:t>
      </w:r>
      <w:r>
        <w:rPr>
          <w:spacing w:val="-3"/>
          <w:sz w:val="18"/>
        </w:rPr>
        <w:t>(2003)</w:t>
      </w:r>
    </w:p>
    <w:p>
      <w:pPr>
        <w:pStyle w:val="ListParagraph"/>
        <w:numPr>
          <w:ilvl w:val="0"/>
          <w:numId w:val="2"/>
        </w:numPr>
        <w:tabs>
          <w:tab w:pos="1155" w:val="left" w:leader="none"/>
        </w:tabs>
        <w:spacing w:line="240" w:lineRule="auto" w:before="0" w:after="0"/>
        <w:ind w:left="1154" w:right="803" w:hanging="250"/>
        <w:jc w:val="both"/>
        <w:rPr>
          <w:sz w:val="18"/>
        </w:rPr>
      </w:pPr>
      <w:r>
        <w:rPr>
          <w:sz w:val="18"/>
        </w:rPr>
        <w:t>Lee, J.K., Jeon, S.G., Kim, I.H.: Distinctive Point Extraction and Recognition Algorithm for</w:t>
      </w:r>
      <w:r>
        <w:rPr>
          <w:spacing w:val="-4"/>
          <w:sz w:val="18"/>
        </w:rPr>
        <w:t> </w:t>
      </w:r>
      <w:r>
        <w:rPr>
          <w:sz w:val="18"/>
        </w:rPr>
        <w:t>Various</w:t>
      </w:r>
      <w:r>
        <w:rPr>
          <w:spacing w:val="-4"/>
          <w:sz w:val="18"/>
        </w:rPr>
        <w:t> </w:t>
      </w:r>
      <w:r>
        <w:rPr>
          <w:sz w:val="18"/>
        </w:rPr>
        <w:t>Kinds</w:t>
      </w:r>
      <w:r>
        <w:rPr>
          <w:spacing w:val="-4"/>
          <w:sz w:val="18"/>
        </w:rPr>
        <w:t> </w:t>
      </w:r>
      <w:r>
        <w:rPr>
          <w:sz w:val="18"/>
        </w:rPr>
        <w:t>of</w:t>
      </w:r>
      <w:r>
        <w:rPr>
          <w:spacing w:val="-6"/>
          <w:sz w:val="18"/>
        </w:rPr>
        <w:t> </w:t>
      </w:r>
      <w:r>
        <w:rPr>
          <w:sz w:val="18"/>
        </w:rPr>
        <w:t>Euro</w:t>
      </w:r>
      <w:r>
        <w:rPr>
          <w:spacing w:val="-3"/>
          <w:sz w:val="18"/>
        </w:rPr>
        <w:t> </w:t>
      </w:r>
      <w:r>
        <w:rPr>
          <w:sz w:val="18"/>
        </w:rPr>
        <w:t>Banknotes.</w:t>
      </w:r>
      <w:r>
        <w:rPr>
          <w:spacing w:val="-3"/>
          <w:sz w:val="18"/>
        </w:rPr>
        <w:t> </w:t>
      </w:r>
      <w:r>
        <w:rPr>
          <w:sz w:val="18"/>
        </w:rPr>
        <w:t>Int.</w:t>
      </w:r>
      <w:r>
        <w:rPr>
          <w:spacing w:val="-3"/>
          <w:sz w:val="18"/>
        </w:rPr>
        <w:t> </w:t>
      </w:r>
      <w:r>
        <w:rPr>
          <w:sz w:val="18"/>
        </w:rPr>
        <w:t>J.</w:t>
      </w:r>
      <w:r>
        <w:rPr>
          <w:spacing w:val="-3"/>
          <w:sz w:val="18"/>
        </w:rPr>
        <w:t> </w:t>
      </w:r>
      <w:r>
        <w:rPr>
          <w:sz w:val="18"/>
        </w:rPr>
        <w:t>Control</w:t>
      </w:r>
      <w:r>
        <w:rPr>
          <w:spacing w:val="-3"/>
          <w:sz w:val="18"/>
        </w:rPr>
        <w:t> </w:t>
      </w:r>
      <w:r>
        <w:rPr>
          <w:sz w:val="18"/>
        </w:rPr>
        <w:t>Autom.</w:t>
      </w:r>
      <w:r>
        <w:rPr>
          <w:spacing w:val="-3"/>
          <w:sz w:val="18"/>
        </w:rPr>
        <w:t> </w:t>
      </w:r>
      <w:r>
        <w:rPr>
          <w:sz w:val="18"/>
        </w:rPr>
        <w:t>Syst.</w:t>
      </w:r>
      <w:r>
        <w:rPr>
          <w:spacing w:val="-3"/>
          <w:sz w:val="18"/>
        </w:rPr>
        <w:t> </w:t>
      </w:r>
      <w:r>
        <w:rPr>
          <w:sz w:val="18"/>
        </w:rPr>
        <w:t>2(2),</w:t>
      </w:r>
      <w:r>
        <w:rPr>
          <w:spacing w:val="-6"/>
          <w:sz w:val="18"/>
        </w:rPr>
        <w:t> </w:t>
      </w:r>
      <w:r>
        <w:rPr>
          <w:sz w:val="18"/>
        </w:rPr>
        <w:t>201–206</w:t>
      </w:r>
      <w:r>
        <w:rPr>
          <w:spacing w:val="-3"/>
          <w:sz w:val="18"/>
        </w:rPr>
        <w:t> </w:t>
      </w:r>
      <w:r>
        <w:rPr>
          <w:sz w:val="18"/>
        </w:rPr>
        <w:t>(2004)</w:t>
      </w:r>
    </w:p>
    <w:p>
      <w:pPr>
        <w:pStyle w:val="ListParagraph"/>
        <w:numPr>
          <w:ilvl w:val="0"/>
          <w:numId w:val="2"/>
        </w:numPr>
        <w:tabs>
          <w:tab w:pos="1155" w:val="left" w:leader="none"/>
        </w:tabs>
        <w:spacing w:line="240" w:lineRule="auto" w:before="0" w:after="0"/>
        <w:ind w:left="1154" w:right="803" w:hanging="250"/>
        <w:jc w:val="both"/>
        <w:rPr>
          <w:sz w:val="18"/>
        </w:rPr>
      </w:pPr>
      <w:r>
        <w:rPr>
          <w:sz w:val="18"/>
        </w:rPr>
        <w:t>Hasanuzzaman, F., Yang, X., Tian, Y.: Robust and effective component-based banknote recognition for the blind. IEEE Trans. Syst. Man Cybern. Part C: Appl. Rev. 42(6), 1021– 1030 (2012)</w:t>
      </w:r>
    </w:p>
    <w:p>
      <w:pPr>
        <w:pStyle w:val="ListParagraph"/>
        <w:numPr>
          <w:ilvl w:val="0"/>
          <w:numId w:val="2"/>
        </w:numPr>
        <w:tabs>
          <w:tab w:pos="1155" w:val="left" w:leader="none"/>
        </w:tabs>
        <w:spacing w:line="240" w:lineRule="auto" w:before="2" w:after="0"/>
        <w:ind w:left="1154" w:right="803" w:hanging="250"/>
        <w:jc w:val="both"/>
        <w:rPr>
          <w:sz w:val="18"/>
        </w:rPr>
      </w:pPr>
      <w:r>
        <w:rPr>
          <w:sz w:val="18"/>
        </w:rPr>
        <w:t>Kagehiro, T., Nagayoshi, H., Sako, H.: A Hierarchical Classification Method for US Bank Notes. Trans. Inf. Syst. E89D(7), 2061–2067</w:t>
      </w:r>
      <w:r>
        <w:rPr>
          <w:spacing w:val="-23"/>
          <w:sz w:val="18"/>
        </w:rPr>
        <w:t> </w:t>
      </w:r>
      <w:r>
        <w:rPr>
          <w:sz w:val="18"/>
        </w:rPr>
        <w:t>(2006)</w:t>
      </w:r>
    </w:p>
    <w:p>
      <w:pPr>
        <w:pStyle w:val="ListParagraph"/>
        <w:numPr>
          <w:ilvl w:val="0"/>
          <w:numId w:val="2"/>
        </w:numPr>
        <w:tabs>
          <w:tab w:pos="1155" w:val="left" w:leader="none"/>
        </w:tabs>
        <w:spacing w:line="254" w:lineRule="auto" w:before="11" w:after="0"/>
        <w:ind w:left="1154" w:right="802" w:hanging="250"/>
        <w:jc w:val="both"/>
        <w:rPr>
          <w:sz w:val="18"/>
        </w:rPr>
      </w:pPr>
      <w:r>
        <w:rPr>
          <w:sz w:val="18"/>
        </w:rPr>
        <w:t>Sajal, R., Kamruzzaman, M., Jewel, F.: A machine vision based automatic system for real time recognition and sorting of Bangladesh bank notes. In: Int. Conf. Computer and In- formation Technology (ICCIT), pp. 560–567</w:t>
      </w:r>
      <w:r>
        <w:rPr>
          <w:spacing w:val="-23"/>
          <w:sz w:val="18"/>
        </w:rPr>
        <w:t> </w:t>
      </w:r>
      <w:r>
        <w:rPr>
          <w:sz w:val="18"/>
        </w:rPr>
        <w:t>(2008)</w:t>
      </w:r>
    </w:p>
    <w:p>
      <w:pPr>
        <w:pStyle w:val="ListParagraph"/>
        <w:numPr>
          <w:ilvl w:val="0"/>
          <w:numId w:val="2"/>
        </w:numPr>
        <w:tabs>
          <w:tab w:pos="1155" w:val="left" w:leader="none"/>
        </w:tabs>
        <w:spacing w:line="254" w:lineRule="auto" w:before="2" w:after="0"/>
        <w:ind w:left="1154" w:right="802" w:hanging="250"/>
        <w:jc w:val="both"/>
        <w:rPr>
          <w:sz w:val="18"/>
        </w:rPr>
      </w:pPr>
      <w:r>
        <w:rPr>
          <w:sz w:val="18"/>
        </w:rPr>
        <w:t>Poorrahangaryan, F., Mohammadpour, T., Kianisarkaleh, A.: A Persian banknote recogni- tion using wavelet and neural network. In: Int. Conf. Computer Science and Electronics Engineering (ICCSEE), vol. 3, pp. 679–684</w:t>
      </w:r>
      <w:r>
        <w:rPr>
          <w:spacing w:val="-22"/>
          <w:sz w:val="18"/>
        </w:rPr>
        <w:t> </w:t>
      </w:r>
      <w:r>
        <w:rPr>
          <w:sz w:val="18"/>
        </w:rPr>
        <w:t>(2012)</w:t>
      </w:r>
    </w:p>
    <w:p>
      <w:pPr>
        <w:pStyle w:val="ListParagraph"/>
        <w:numPr>
          <w:ilvl w:val="0"/>
          <w:numId w:val="2"/>
        </w:numPr>
        <w:tabs>
          <w:tab w:pos="1155" w:val="left" w:leader="none"/>
        </w:tabs>
        <w:spacing w:line="256" w:lineRule="auto" w:before="2" w:after="0"/>
        <w:ind w:left="1154" w:right="806" w:hanging="338"/>
        <w:jc w:val="both"/>
        <w:rPr>
          <w:sz w:val="18"/>
        </w:rPr>
      </w:pPr>
      <w:r>
        <w:rPr>
          <w:sz w:val="18"/>
        </w:rPr>
        <w:t>Guo, J., Zhao, Y., Cai, A.: A reliable method for paper currency recognition based on  LBP.</w:t>
      </w:r>
      <w:r>
        <w:rPr>
          <w:spacing w:val="-3"/>
          <w:sz w:val="18"/>
        </w:rPr>
        <w:t> </w:t>
      </w:r>
      <w:r>
        <w:rPr>
          <w:sz w:val="18"/>
        </w:rPr>
        <w:t>In:</w:t>
      </w:r>
      <w:r>
        <w:rPr>
          <w:spacing w:val="-3"/>
          <w:sz w:val="18"/>
        </w:rPr>
        <w:t> </w:t>
      </w:r>
      <w:r>
        <w:rPr>
          <w:sz w:val="18"/>
        </w:rPr>
        <w:t>IEEE</w:t>
      </w:r>
      <w:r>
        <w:rPr>
          <w:spacing w:val="-5"/>
          <w:sz w:val="18"/>
        </w:rPr>
        <w:t> </w:t>
      </w:r>
      <w:r>
        <w:rPr>
          <w:sz w:val="18"/>
        </w:rPr>
        <w:t>Int.</w:t>
      </w:r>
      <w:r>
        <w:rPr>
          <w:spacing w:val="-3"/>
          <w:sz w:val="18"/>
        </w:rPr>
        <w:t> </w:t>
      </w:r>
      <w:r>
        <w:rPr>
          <w:sz w:val="18"/>
        </w:rPr>
        <w:t>Conf.</w:t>
      </w:r>
      <w:r>
        <w:rPr>
          <w:spacing w:val="-3"/>
          <w:sz w:val="18"/>
        </w:rPr>
        <w:t> </w:t>
      </w:r>
      <w:r>
        <w:rPr>
          <w:sz w:val="18"/>
        </w:rPr>
        <w:t>Network</w:t>
      </w:r>
      <w:r>
        <w:rPr>
          <w:spacing w:val="-4"/>
          <w:sz w:val="18"/>
        </w:rPr>
        <w:t> </w:t>
      </w:r>
      <w:r>
        <w:rPr>
          <w:sz w:val="18"/>
        </w:rPr>
        <w:t>Infrastructure</w:t>
      </w:r>
      <w:r>
        <w:rPr>
          <w:spacing w:val="-4"/>
          <w:sz w:val="18"/>
        </w:rPr>
        <w:t> </w:t>
      </w:r>
      <w:r>
        <w:rPr>
          <w:sz w:val="18"/>
        </w:rPr>
        <w:t>and</w:t>
      </w:r>
      <w:r>
        <w:rPr>
          <w:spacing w:val="-3"/>
          <w:sz w:val="18"/>
        </w:rPr>
        <w:t> </w:t>
      </w:r>
      <w:r>
        <w:rPr>
          <w:sz w:val="18"/>
        </w:rPr>
        <w:t>Digital</w:t>
      </w:r>
      <w:r>
        <w:rPr>
          <w:spacing w:val="-3"/>
          <w:sz w:val="18"/>
        </w:rPr>
        <w:t> </w:t>
      </w:r>
      <w:r>
        <w:rPr>
          <w:sz w:val="18"/>
        </w:rPr>
        <w:t>Content,</w:t>
      </w:r>
      <w:r>
        <w:rPr>
          <w:spacing w:val="-5"/>
          <w:sz w:val="18"/>
        </w:rPr>
        <w:t> </w:t>
      </w:r>
      <w:r>
        <w:rPr>
          <w:sz w:val="18"/>
        </w:rPr>
        <w:t>pp.</w:t>
      </w:r>
      <w:r>
        <w:rPr>
          <w:spacing w:val="-5"/>
          <w:sz w:val="18"/>
        </w:rPr>
        <w:t> </w:t>
      </w:r>
      <w:r>
        <w:rPr>
          <w:sz w:val="18"/>
        </w:rPr>
        <w:t>359–363</w:t>
      </w:r>
      <w:r>
        <w:rPr>
          <w:spacing w:val="-3"/>
          <w:sz w:val="18"/>
        </w:rPr>
        <w:t> </w:t>
      </w:r>
      <w:r>
        <w:rPr>
          <w:sz w:val="18"/>
        </w:rPr>
        <w:t>(2010)</w:t>
      </w:r>
    </w:p>
    <w:p>
      <w:pPr>
        <w:pStyle w:val="ListParagraph"/>
        <w:numPr>
          <w:ilvl w:val="0"/>
          <w:numId w:val="2"/>
        </w:numPr>
        <w:tabs>
          <w:tab w:pos="1155" w:val="left" w:leader="none"/>
        </w:tabs>
        <w:spacing w:line="192" w:lineRule="exact" w:before="0" w:after="0"/>
        <w:ind w:left="1154" w:right="0" w:hanging="338"/>
        <w:jc w:val="left"/>
        <w:rPr>
          <w:sz w:val="18"/>
        </w:rPr>
      </w:pPr>
      <w:r>
        <w:rPr>
          <w:sz w:val="18"/>
        </w:rPr>
        <w:t>Hassanpour,  H.,  Farahabadi, P.M.:  Using  Hidden  Markov  Models  for  Paper</w:t>
      </w:r>
      <w:r>
        <w:rPr>
          <w:spacing w:val="15"/>
          <w:sz w:val="18"/>
        </w:rPr>
        <w:t> </w:t>
      </w:r>
      <w:r>
        <w:rPr>
          <w:sz w:val="18"/>
        </w:rPr>
        <w:t>Currency</w:t>
      </w:r>
    </w:p>
    <w:p>
      <w:pPr>
        <w:spacing w:line="207" w:lineRule="exact" w:before="2"/>
        <w:ind w:left="1154" w:right="845" w:firstLine="0"/>
        <w:jc w:val="left"/>
        <w:rPr>
          <w:sz w:val="18"/>
        </w:rPr>
      </w:pPr>
      <w:r>
        <w:rPr>
          <w:sz w:val="18"/>
        </w:rPr>
        <w:t>Recognition. Expert Syst. Appl. 36(6), 10105–10111 (2009)</w:t>
      </w:r>
    </w:p>
    <w:p>
      <w:pPr>
        <w:pStyle w:val="ListParagraph"/>
        <w:numPr>
          <w:ilvl w:val="0"/>
          <w:numId w:val="2"/>
        </w:numPr>
        <w:tabs>
          <w:tab w:pos="1155" w:val="left" w:leader="none"/>
        </w:tabs>
        <w:spacing w:line="240" w:lineRule="auto" w:before="0" w:after="0"/>
        <w:ind w:left="1154" w:right="805" w:hanging="338"/>
        <w:jc w:val="both"/>
        <w:rPr>
          <w:sz w:val="18"/>
        </w:rPr>
      </w:pPr>
      <w:r>
        <w:rPr>
          <w:sz w:val="18"/>
        </w:rPr>
        <w:t>Takeda, F., Sakoobunthu, L., Satou, H.: Thai banknote recognition using neural network and continues learning by DSP unit. In: Palade, V., Howlett, R.J., Jain, L. (eds.) KES  2003. LNCS (LNAI), vol. 2773, pp. 1169–1177. Springer, Heidelberg</w:t>
      </w:r>
      <w:r>
        <w:rPr>
          <w:spacing w:val="-31"/>
          <w:sz w:val="18"/>
        </w:rPr>
        <w:t> </w:t>
      </w:r>
      <w:r>
        <w:rPr>
          <w:sz w:val="18"/>
        </w:rPr>
        <w:t>(2003)</w:t>
      </w:r>
    </w:p>
    <w:p>
      <w:pPr>
        <w:pStyle w:val="ListParagraph"/>
        <w:numPr>
          <w:ilvl w:val="0"/>
          <w:numId w:val="2"/>
        </w:numPr>
        <w:tabs>
          <w:tab w:pos="1155" w:val="left" w:leader="none"/>
        </w:tabs>
        <w:spacing w:line="254" w:lineRule="auto" w:before="14" w:after="0"/>
        <w:ind w:left="1154" w:right="807" w:hanging="338"/>
        <w:jc w:val="both"/>
        <w:rPr>
          <w:sz w:val="18"/>
        </w:rPr>
      </w:pPr>
      <w:r>
        <w:rPr>
          <w:sz w:val="18"/>
        </w:rPr>
        <w:t>Paschos, G.: Perceptually Uniform Color Spaces for Color Texture Analysis: An Empirical Evaluation. IEEE Trans. Image Process 10(6), 932–937</w:t>
      </w:r>
      <w:r>
        <w:rPr>
          <w:spacing w:val="-22"/>
          <w:sz w:val="18"/>
        </w:rPr>
        <w:t> </w:t>
      </w:r>
      <w:r>
        <w:rPr>
          <w:sz w:val="18"/>
        </w:rPr>
        <w:t>(2001)</w:t>
      </w:r>
    </w:p>
    <w:p>
      <w:pPr>
        <w:pStyle w:val="ListParagraph"/>
        <w:numPr>
          <w:ilvl w:val="0"/>
          <w:numId w:val="2"/>
        </w:numPr>
        <w:tabs>
          <w:tab w:pos="1155" w:val="left" w:leader="none"/>
        </w:tabs>
        <w:spacing w:line="240" w:lineRule="auto" w:before="2" w:after="0"/>
        <w:ind w:left="1154" w:right="0" w:hanging="338"/>
        <w:jc w:val="left"/>
        <w:rPr>
          <w:sz w:val="18"/>
        </w:rPr>
      </w:pPr>
      <w:r>
        <w:rPr>
          <w:sz w:val="18"/>
        </w:rPr>
        <w:t>Gonzalez,</w:t>
      </w:r>
      <w:r>
        <w:rPr>
          <w:spacing w:val="-3"/>
          <w:sz w:val="18"/>
        </w:rPr>
        <w:t> </w:t>
      </w:r>
      <w:r>
        <w:rPr>
          <w:sz w:val="18"/>
        </w:rPr>
        <w:t>R.C.,</w:t>
      </w:r>
      <w:r>
        <w:rPr>
          <w:spacing w:val="-3"/>
          <w:sz w:val="18"/>
        </w:rPr>
        <w:t> </w:t>
      </w:r>
      <w:r>
        <w:rPr>
          <w:sz w:val="18"/>
        </w:rPr>
        <w:t>Woods,</w:t>
      </w:r>
      <w:r>
        <w:rPr>
          <w:spacing w:val="-3"/>
          <w:sz w:val="18"/>
        </w:rPr>
        <w:t> </w:t>
      </w:r>
      <w:r>
        <w:rPr>
          <w:sz w:val="18"/>
        </w:rPr>
        <w:t>R.E.:</w:t>
      </w:r>
      <w:r>
        <w:rPr>
          <w:spacing w:val="-3"/>
          <w:sz w:val="18"/>
        </w:rPr>
        <w:t> </w:t>
      </w:r>
      <w:r>
        <w:rPr>
          <w:sz w:val="18"/>
        </w:rPr>
        <w:t>Digital</w:t>
      </w:r>
      <w:r>
        <w:rPr>
          <w:spacing w:val="-3"/>
          <w:sz w:val="18"/>
        </w:rPr>
        <w:t> </w:t>
      </w:r>
      <w:r>
        <w:rPr>
          <w:sz w:val="18"/>
        </w:rPr>
        <w:t>Image</w:t>
      </w:r>
      <w:r>
        <w:rPr>
          <w:spacing w:val="-5"/>
          <w:sz w:val="18"/>
        </w:rPr>
        <w:t> </w:t>
      </w:r>
      <w:r>
        <w:rPr>
          <w:sz w:val="18"/>
        </w:rPr>
        <w:t>Processing,</w:t>
      </w:r>
      <w:r>
        <w:rPr>
          <w:spacing w:val="-3"/>
          <w:sz w:val="18"/>
        </w:rPr>
        <w:t> </w:t>
      </w:r>
      <w:r>
        <w:rPr>
          <w:sz w:val="18"/>
        </w:rPr>
        <w:t>2nd</w:t>
      </w:r>
      <w:r>
        <w:rPr>
          <w:spacing w:val="-3"/>
          <w:sz w:val="18"/>
        </w:rPr>
        <w:t> </w:t>
      </w:r>
      <w:r>
        <w:rPr>
          <w:sz w:val="18"/>
        </w:rPr>
        <w:t>edn.</w:t>
      </w:r>
      <w:r>
        <w:rPr>
          <w:spacing w:val="-5"/>
          <w:sz w:val="18"/>
        </w:rPr>
        <w:t> </w:t>
      </w:r>
      <w:r>
        <w:rPr>
          <w:sz w:val="18"/>
        </w:rPr>
        <w:t>Prentice</w:t>
      </w:r>
      <w:r>
        <w:rPr>
          <w:spacing w:val="-5"/>
          <w:sz w:val="18"/>
        </w:rPr>
        <w:t> </w:t>
      </w:r>
      <w:r>
        <w:rPr>
          <w:sz w:val="18"/>
        </w:rPr>
        <w:t>Hall</w:t>
      </w:r>
      <w:r>
        <w:rPr>
          <w:spacing w:val="-3"/>
          <w:sz w:val="18"/>
        </w:rPr>
        <w:t> </w:t>
      </w:r>
      <w:r>
        <w:rPr>
          <w:sz w:val="18"/>
        </w:rPr>
        <w:t>(2002)</w:t>
      </w:r>
    </w:p>
    <w:p>
      <w:pPr>
        <w:pStyle w:val="ListParagraph"/>
        <w:numPr>
          <w:ilvl w:val="0"/>
          <w:numId w:val="2"/>
        </w:numPr>
        <w:tabs>
          <w:tab w:pos="1155" w:val="left" w:leader="none"/>
        </w:tabs>
        <w:spacing w:line="254" w:lineRule="auto" w:before="14" w:after="0"/>
        <w:ind w:left="1154" w:right="805" w:hanging="338"/>
        <w:jc w:val="both"/>
        <w:rPr>
          <w:sz w:val="18"/>
        </w:rPr>
      </w:pPr>
      <w:r>
        <w:rPr>
          <w:sz w:val="18"/>
        </w:rPr>
        <w:t>Wang, F., Man, L., Wang, B., Xiao, Y., Pan, W., Lu, X.: Fuzzy-based Algorithm for Color Recognition</w:t>
      </w:r>
      <w:r>
        <w:rPr>
          <w:spacing w:val="-4"/>
          <w:sz w:val="18"/>
        </w:rPr>
        <w:t> </w:t>
      </w:r>
      <w:r>
        <w:rPr>
          <w:sz w:val="18"/>
        </w:rPr>
        <w:t>of</w:t>
      </w:r>
      <w:r>
        <w:rPr>
          <w:spacing w:val="-5"/>
          <w:sz w:val="18"/>
        </w:rPr>
        <w:t> </w:t>
      </w:r>
      <w:r>
        <w:rPr>
          <w:sz w:val="18"/>
        </w:rPr>
        <w:t>License</w:t>
      </w:r>
      <w:r>
        <w:rPr>
          <w:spacing w:val="-4"/>
          <w:sz w:val="18"/>
        </w:rPr>
        <w:t> </w:t>
      </w:r>
      <w:r>
        <w:rPr>
          <w:sz w:val="18"/>
        </w:rPr>
        <w:t>Plates.</w:t>
      </w:r>
      <w:r>
        <w:rPr>
          <w:spacing w:val="-5"/>
          <w:sz w:val="18"/>
        </w:rPr>
        <w:t> </w:t>
      </w:r>
      <w:r>
        <w:rPr>
          <w:sz w:val="18"/>
        </w:rPr>
        <w:t>Pattern</w:t>
      </w:r>
      <w:r>
        <w:rPr>
          <w:spacing w:val="-3"/>
          <w:sz w:val="18"/>
        </w:rPr>
        <w:t> </w:t>
      </w:r>
      <w:r>
        <w:rPr>
          <w:sz w:val="18"/>
        </w:rPr>
        <w:t>Recognit.</w:t>
      </w:r>
      <w:r>
        <w:rPr>
          <w:spacing w:val="-3"/>
          <w:sz w:val="18"/>
        </w:rPr>
        <w:t> </w:t>
      </w:r>
      <w:r>
        <w:rPr>
          <w:sz w:val="18"/>
        </w:rPr>
        <w:t>Lett.</w:t>
      </w:r>
      <w:r>
        <w:rPr>
          <w:spacing w:val="-5"/>
          <w:sz w:val="18"/>
        </w:rPr>
        <w:t> </w:t>
      </w:r>
      <w:r>
        <w:rPr>
          <w:sz w:val="18"/>
        </w:rPr>
        <w:t>29(7),</w:t>
      </w:r>
      <w:r>
        <w:rPr>
          <w:spacing w:val="-5"/>
          <w:sz w:val="18"/>
        </w:rPr>
        <w:t> </w:t>
      </w:r>
      <w:r>
        <w:rPr>
          <w:sz w:val="18"/>
        </w:rPr>
        <w:t>1007–1020</w:t>
      </w:r>
      <w:r>
        <w:rPr>
          <w:spacing w:val="-3"/>
          <w:sz w:val="18"/>
        </w:rPr>
        <w:t> </w:t>
      </w:r>
      <w:r>
        <w:rPr>
          <w:sz w:val="18"/>
        </w:rPr>
        <w:t>(2008)</w:t>
      </w:r>
    </w:p>
    <w:p>
      <w:pPr>
        <w:pStyle w:val="ListParagraph"/>
        <w:numPr>
          <w:ilvl w:val="0"/>
          <w:numId w:val="2"/>
        </w:numPr>
        <w:tabs>
          <w:tab w:pos="1155" w:val="left" w:leader="none"/>
        </w:tabs>
        <w:spacing w:line="256" w:lineRule="auto" w:before="2" w:after="0"/>
        <w:ind w:left="1154" w:right="808" w:hanging="338"/>
        <w:jc w:val="both"/>
        <w:rPr>
          <w:sz w:val="18"/>
        </w:rPr>
      </w:pPr>
      <w:r>
        <w:rPr>
          <w:sz w:val="18"/>
        </w:rPr>
        <w:t>Bronshtein, I., Semendyayev, K., Musiol, G., Muehlig, H.: Handbook of Mathematics. Springer, Heidelberg</w:t>
      </w:r>
      <w:r>
        <w:rPr>
          <w:spacing w:val="-11"/>
          <w:sz w:val="18"/>
        </w:rPr>
        <w:t> </w:t>
      </w:r>
      <w:r>
        <w:rPr>
          <w:sz w:val="18"/>
        </w:rPr>
        <w:t>(2007)</w:t>
      </w:r>
    </w:p>
    <w:p>
      <w:pPr>
        <w:pStyle w:val="ListParagraph"/>
        <w:numPr>
          <w:ilvl w:val="0"/>
          <w:numId w:val="2"/>
        </w:numPr>
        <w:tabs>
          <w:tab w:pos="1155" w:val="left" w:leader="none"/>
        </w:tabs>
        <w:spacing w:line="204" w:lineRule="exact" w:before="0" w:after="0"/>
        <w:ind w:left="1154" w:right="0" w:hanging="338"/>
        <w:jc w:val="left"/>
        <w:rPr>
          <w:sz w:val="18"/>
        </w:rPr>
      </w:pPr>
      <w:r>
        <w:rPr>
          <w:sz w:val="18"/>
        </w:rPr>
        <w:t>Hagan, H.: Neural Network Design. PWS Publishing Company</w:t>
      </w:r>
      <w:r>
        <w:rPr>
          <w:spacing w:val="-27"/>
          <w:sz w:val="18"/>
        </w:rPr>
        <w:t> </w:t>
      </w:r>
      <w:r>
        <w:rPr>
          <w:sz w:val="18"/>
        </w:rPr>
        <w:t>(1996)</w:t>
      </w:r>
    </w:p>
    <w:p>
      <w:pPr>
        <w:pStyle w:val="ListParagraph"/>
        <w:numPr>
          <w:ilvl w:val="0"/>
          <w:numId w:val="2"/>
        </w:numPr>
        <w:tabs>
          <w:tab w:pos="1155" w:val="left" w:leader="none"/>
        </w:tabs>
        <w:spacing w:line="256" w:lineRule="auto" w:before="14" w:after="0"/>
        <w:ind w:left="1154" w:right="805" w:hanging="338"/>
        <w:jc w:val="both"/>
        <w:rPr>
          <w:sz w:val="18"/>
        </w:rPr>
      </w:pPr>
      <w:r>
        <w:rPr>
          <w:sz w:val="18"/>
        </w:rPr>
        <w:t>García-Lamont, F., Cervantes, J., López, A.: Recognition of Mexican banknotes via their color</w:t>
      </w:r>
      <w:r>
        <w:rPr>
          <w:spacing w:val="-5"/>
          <w:sz w:val="18"/>
        </w:rPr>
        <w:t> </w:t>
      </w:r>
      <w:r>
        <w:rPr>
          <w:sz w:val="18"/>
        </w:rPr>
        <w:t>and</w:t>
      </w:r>
      <w:r>
        <w:rPr>
          <w:spacing w:val="-4"/>
          <w:sz w:val="18"/>
        </w:rPr>
        <w:t> </w:t>
      </w:r>
      <w:r>
        <w:rPr>
          <w:sz w:val="18"/>
        </w:rPr>
        <w:t>texture</w:t>
      </w:r>
      <w:r>
        <w:rPr>
          <w:spacing w:val="-6"/>
          <w:sz w:val="18"/>
        </w:rPr>
        <w:t> </w:t>
      </w:r>
      <w:r>
        <w:rPr>
          <w:sz w:val="18"/>
        </w:rPr>
        <w:t>features.</w:t>
      </w:r>
      <w:r>
        <w:rPr>
          <w:spacing w:val="-4"/>
          <w:sz w:val="18"/>
        </w:rPr>
        <w:t> </w:t>
      </w:r>
      <w:r>
        <w:rPr>
          <w:sz w:val="18"/>
        </w:rPr>
        <w:t>Expert</w:t>
      </w:r>
      <w:r>
        <w:rPr>
          <w:spacing w:val="-7"/>
          <w:sz w:val="18"/>
        </w:rPr>
        <w:t> </w:t>
      </w:r>
      <w:r>
        <w:rPr>
          <w:sz w:val="18"/>
        </w:rPr>
        <w:t>Syst.</w:t>
      </w:r>
      <w:r>
        <w:rPr>
          <w:spacing w:val="-2"/>
          <w:sz w:val="18"/>
        </w:rPr>
        <w:t> </w:t>
      </w:r>
      <w:r>
        <w:rPr>
          <w:sz w:val="18"/>
        </w:rPr>
        <w:t>Appl.</w:t>
      </w:r>
      <w:r>
        <w:rPr>
          <w:spacing w:val="-4"/>
          <w:sz w:val="18"/>
        </w:rPr>
        <w:t> </w:t>
      </w:r>
      <w:r>
        <w:rPr>
          <w:sz w:val="18"/>
        </w:rPr>
        <w:t>39(10),</w:t>
      </w:r>
      <w:r>
        <w:rPr>
          <w:spacing w:val="-6"/>
          <w:sz w:val="18"/>
        </w:rPr>
        <w:t> </w:t>
      </w:r>
      <w:r>
        <w:rPr>
          <w:sz w:val="18"/>
        </w:rPr>
        <w:t>9651–9660</w:t>
      </w:r>
      <w:r>
        <w:rPr>
          <w:spacing w:val="-4"/>
          <w:sz w:val="18"/>
        </w:rPr>
        <w:t> </w:t>
      </w:r>
      <w:r>
        <w:rPr>
          <w:sz w:val="18"/>
        </w:rPr>
        <w:t>(2012)</w:t>
      </w:r>
    </w:p>
    <w:p>
      <w:pPr>
        <w:pStyle w:val="ListParagraph"/>
        <w:numPr>
          <w:ilvl w:val="0"/>
          <w:numId w:val="2"/>
        </w:numPr>
        <w:tabs>
          <w:tab w:pos="1155" w:val="left" w:leader="none"/>
        </w:tabs>
        <w:spacing w:line="192" w:lineRule="exact" w:before="0" w:after="0"/>
        <w:ind w:left="1154" w:right="0" w:hanging="338"/>
        <w:jc w:val="left"/>
        <w:rPr>
          <w:sz w:val="18"/>
        </w:rPr>
      </w:pPr>
      <w:r>
        <w:rPr>
          <w:sz w:val="18"/>
        </w:rPr>
        <w:t>Lee, K.H., Park, T.H.: Image segmentation of UV for automatic paper-money  </w:t>
      </w:r>
      <w:r>
        <w:rPr>
          <w:spacing w:val="23"/>
          <w:sz w:val="18"/>
        </w:rPr>
        <w:t> </w:t>
      </w:r>
      <w:r>
        <w:rPr>
          <w:sz w:val="18"/>
        </w:rPr>
        <w:t>inspection.</w:t>
      </w:r>
    </w:p>
    <w:p>
      <w:pPr>
        <w:spacing w:before="2"/>
        <w:ind w:left="1154" w:right="845" w:firstLine="0"/>
        <w:jc w:val="left"/>
        <w:rPr>
          <w:sz w:val="18"/>
        </w:rPr>
      </w:pPr>
      <w:r>
        <w:rPr>
          <w:sz w:val="18"/>
        </w:rPr>
        <w:t>In: Int. Conf. Control, Automation, Robotics and Vision, pp. 1175–1180 (2010)</w:t>
      </w:r>
    </w:p>
    <w:sectPr>
      <w:pgSz w:w="11900" w:h="16840"/>
      <w:pgMar w:header="2414" w:footer="0" w:top="2600" w:bottom="280" w:left="1680" w:right="16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ourier New">
    <w:altName w:val="Courier New"/>
    <w:charset w:val="0"/>
    <w:family w:val="modern"/>
    <w:pitch w:val="fixed"/>
  </w:font>
  <w:font w:name="Cambria Math">
    <w:altName w:val="Cambria Math"/>
    <w:charset w:val="0"/>
    <w:family w:val="roman"/>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type id="_x0000_t202" o:spt="202" coordsize="21600,21600" path="m,l,21600r21600,l21600,xe">
          <v:stroke joinstyle="miter"/>
          <v:path gradientshapeok="t" o:connecttype="rect"/>
        </v:shapetype>
        <v:shape style="position:absolute;margin-left:122.6791pt;margin-top:120.677437pt;width:17.650pt;height:11pt;mso-position-horizontal-relative:page;mso-position-vertical-relative:page;z-index:-15520" type="#_x0000_t202" filled="false" stroked="false">
          <v:textbox inset="0,0,0,0">
            <w:txbxContent>
              <w:p>
                <w:pPr>
                  <w:spacing w:line="204" w:lineRule="exact" w:before="0"/>
                  <w:ind w:left="40" w:right="0" w:firstLine="0"/>
                  <w:jc w:val="left"/>
                  <w:rPr>
                    <w:sz w:val="18"/>
                  </w:rPr>
                </w:pPr>
                <w:r>
                  <w:rPr/>
                  <w:fldChar w:fldCharType="begin"/>
                </w:r>
                <w:r>
                  <w:rPr>
                    <w:sz w:val="18"/>
                  </w:rPr>
                  <w:instrText> PAGE </w:instrText>
                </w:r>
                <w:r>
                  <w:rPr/>
                  <w:fldChar w:fldCharType="separate"/>
                </w:r>
                <w:r>
                  <w:rPr/>
                  <w:t>404</w:t>
                </w:r>
                <w:r>
                  <w:rPr/>
                  <w:fldChar w:fldCharType="end"/>
                </w:r>
              </w:p>
            </w:txbxContent>
          </v:textbox>
          <w10:wrap type="none"/>
        </v:shape>
      </w:pict>
    </w:r>
    <w:r>
      <w:rPr/>
      <w:pict>
        <v:shape style="position:absolute;margin-left:159.045502pt;margin-top:120.677437pt;width:86.25pt;height:11pt;mso-position-horizontal-relative:page;mso-position-vertical-relative:page;z-index:-15496" type="#_x0000_t202" filled="false" stroked="false">
          <v:textbox inset="0,0,0,0">
            <w:txbxContent>
              <w:p>
                <w:pPr>
                  <w:spacing w:line="204" w:lineRule="exact" w:before="0"/>
                  <w:ind w:left="20" w:right="0" w:firstLine="0"/>
                  <w:jc w:val="left"/>
                  <w:rPr>
                    <w:sz w:val="18"/>
                  </w:rPr>
                </w:pPr>
                <w:r>
                  <w:rPr>
                    <w:sz w:val="18"/>
                  </w:rPr>
                  <w:t>F. García-Lamont et al.</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30.358795pt;margin-top:120.437447pt;width:207.4pt;height:11pt;mso-position-horizontal-relative:page;mso-position-vertical-relative:page;z-index:-15472" type="#_x0000_t202" filled="false" stroked="false">
          <v:textbox inset="0,0,0,0">
            <w:txbxContent>
              <w:p>
                <w:pPr>
                  <w:spacing w:line="204" w:lineRule="exact" w:before="0"/>
                  <w:ind w:left="20" w:right="0" w:firstLine="0"/>
                  <w:jc w:val="left"/>
                  <w:rPr>
                    <w:sz w:val="18"/>
                  </w:rPr>
                </w:pPr>
                <w:r>
                  <w:rPr>
                    <w:sz w:val="18"/>
                  </w:rPr>
                  <w:t>Classification of Mexican Paper Currency Denomination</w:t>
                </w:r>
              </w:p>
            </w:txbxContent>
          </v:textbox>
          <w10:wrap type="none"/>
        </v:shape>
      </w:pict>
    </w:r>
    <w:r>
      <w:rPr/>
      <w:pict>
        <v:shape style="position:absolute;margin-left:455.026611pt;margin-top:120.437447pt;width:17.7pt;height:11pt;mso-position-horizontal-relative:page;mso-position-vertical-relative:page;z-index:-15448" type="#_x0000_t202" filled="false" stroked="false">
          <v:textbox inset="0,0,0,0">
            <w:txbxContent>
              <w:p>
                <w:pPr>
                  <w:spacing w:line="204" w:lineRule="exact" w:before="0"/>
                  <w:ind w:left="40" w:right="0" w:firstLine="0"/>
                  <w:jc w:val="left"/>
                  <w:rPr>
                    <w:sz w:val="18"/>
                  </w:rPr>
                </w:pPr>
                <w:r>
                  <w:rPr/>
                  <w:fldChar w:fldCharType="begin"/>
                </w:r>
                <w:r>
                  <w:rPr>
                    <w:sz w:val="18"/>
                  </w:rPr>
                  <w:instrText> PAGE </w:instrText>
                </w:r>
                <w:r>
                  <w:rPr/>
                  <w:fldChar w:fldCharType="separate"/>
                </w:r>
                <w:r>
                  <w:rPr/>
                  <w:t>405</w:t>
                </w:r>
                <w:r>
                  <w:rPr/>
                  <w:fldChar w:fldCharType="end"/>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decimal"/>
      <w:lvlText w:val="%1."/>
      <w:lvlJc w:val="left"/>
      <w:pPr>
        <w:ind w:left="1154" w:hanging="250"/>
        <w:jc w:val="right"/>
      </w:pPr>
      <w:rPr>
        <w:rFonts w:hint="default" w:ascii="Times New Roman" w:hAnsi="Times New Roman" w:eastAsia="Times New Roman" w:cs="Times New Roman"/>
        <w:spacing w:val="-22"/>
        <w:w w:val="99"/>
        <w:sz w:val="18"/>
        <w:szCs w:val="18"/>
      </w:rPr>
    </w:lvl>
    <w:lvl w:ilvl="1">
      <w:start w:val="1"/>
      <w:numFmt w:val="bullet"/>
      <w:lvlText w:val="•"/>
      <w:lvlJc w:val="left"/>
      <w:pPr>
        <w:ind w:left="1898" w:hanging="250"/>
      </w:pPr>
      <w:rPr>
        <w:rFonts w:hint="default"/>
      </w:rPr>
    </w:lvl>
    <w:lvl w:ilvl="2">
      <w:start w:val="1"/>
      <w:numFmt w:val="bullet"/>
      <w:lvlText w:val="•"/>
      <w:lvlJc w:val="left"/>
      <w:pPr>
        <w:ind w:left="2636" w:hanging="250"/>
      </w:pPr>
      <w:rPr>
        <w:rFonts w:hint="default"/>
      </w:rPr>
    </w:lvl>
    <w:lvl w:ilvl="3">
      <w:start w:val="1"/>
      <w:numFmt w:val="bullet"/>
      <w:lvlText w:val="•"/>
      <w:lvlJc w:val="left"/>
      <w:pPr>
        <w:ind w:left="3374" w:hanging="250"/>
      </w:pPr>
      <w:rPr>
        <w:rFonts w:hint="default"/>
      </w:rPr>
    </w:lvl>
    <w:lvl w:ilvl="4">
      <w:start w:val="1"/>
      <w:numFmt w:val="bullet"/>
      <w:lvlText w:val="•"/>
      <w:lvlJc w:val="left"/>
      <w:pPr>
        <w:ind w:left="4112" w:hanging="250"/>
      </w:pPr>
      <w:rPr>
        <w:rFonts w:hint="default"/>
      </w:rPr>
    </w:lvl>
    <w:lvl w:ilvl="5">
      <w:start w:val="1"/>
      <w:numFmt w:val="bullet"/>
      <w:lvlText w:val="•"/>
      <w:lvlJc w:val="left"/>
      <w:pPr>
        <w:ind w:left="4850" w:hanging="250"/>
      </w:pPr>
      <w:rPr>
        <w:rFonts w:hint="default"/>
      </w:rPr>
    </w:lvl>
    <w:lvl w:ilvl="6">
      <w:start w:val="1"/>
      <w:numFmt w:val="bullet"/>
      <w:lvlText w:val="•"/>
      <w:lvlJc w:val="left"/>
      <w:pPr>
        <w:ind w:left="5588" w:hanging="250"/>
      </w:pPr>
      <w:rPr>
        <w:rFonts w:hint="default"/>
      </w:rPr>
    </w:lvl>
    <w:lvl w:ilvl="7">
      <w:start w:val="1"/>
      <w:numFmt w:val="bullet"/>
      <w:lvlText w:val="•"/>
      <w:lvlJc w:val="left"/>
      <w:pPr>
        <w:ind w:left="6326" w:hanging="250"/>
      </w:pPr>
      <w:rPr>
        <w:rFonts w:hint="default"/>
      </w:rPr>
    </w:lvl>
    <w:lvl w:ilvl="8">
      <w:start w:val="1"/>
      <w:numFmt w:val="bullet"/>
      <w:lvlText w:val="•"/>
      <w:lvlJc w:val="left"/>
      <w:pPr>
        <w:ind w:left="7064" w:hanging="250"/>
      </w:pPr>
      <w:rPr>
        <w:rFonts w:hint="default"/>
      </w:rPr>
    </w:lvl>
  </w:abstractNum>
  <w:abstractNum w:abstractNumId="0">
    <w:multiLevelType w:val="hybridMultilevel"/>
    <w:lvl w:ilvl="0">
      <w:start w:val="1"/>
      <w:numFmt w:val="decimal"/>
      <w:lvlText w:val="%1"/>
      <w:lvlJc w:val="left"/>
      <w:pPr>
        <w:ind w:left="1380" w:hanging="567"/>
        <w:jc w:val="left"/>
      </w:pPr>
      <w:rPr>
        <w:rFonts w:hint="default" w:ascii="Times New Roman" w:hAnsi="Times New Roman" w:eastAsia="Times New Roman" w:cs="Times New Roman"/>
        <w:b/>
        <w:bCs/>
        <w:spacing w:val="-1"/>
        <w:w w:val="99"/>
        <w:sz w:val="24"/>
        <w:szCs w:val="24"/>
      </w:rPr>
    </w:lvl>
    <w:lvl w:ilvl="1">
      <w:start w:val="1"/>
      <w:numFmt w:val="decimal"/>
      <w:lvlText w:val="%1.%2"/>
      <w:lvlJc w:val="left"/>
      <w:pPr>
        <w:ind w:left="1380" w:hanging="567"/>
        <w:jc w:val="left"/>
      </w:pPr>
      <w:rPr>
        <w:rFonts w:hint="default" w:ascii="Times New Roman" w:hAnsi="Times New Roman" w:eastAsia="Times New Roman" w:cs="Times New Roman"/>
        <w:b/>
        <w:bCs/>
        <w:w w:val="99"/>
        <w:sz w:val="20"/>
        <w:szCs w:val="20"/>
      </w:rPr>
    </w:lvl>
    <w:lvl w:ilvl="2">
      <w:start w:val="1"/>
      <w:numFmt w:val="bullet"/>
      <w:lvlText w:val="•"/>
      <w:lvlJc w:val="left"/>
      <w:pPr>
        <w:ind w:left="2812" w:hanging="567"/>
      </w:pPr>
      <w:rPr>
        <w:rFonts w:hint="default"/>
      </w:rPr>
    </w:lvl>
    <w:lvl w:ilvl="3">
      <w:start w:val="1"/>
      <w:numFmt w:val="bullet"/>
      <w:lvlText w:val="•"/>
      <w:lvlJc w:val="left"/>
      <w:pPr>
        <w:ind w:left="3528" w:hanging="567"/>
      </w:pPr>
      <w:rPr>
        <w:rFonts w:hint="default"/>
      </w:rPr>
    </w:lvl>
    <w:lvl w:ilvl="4">
      <w:start w:val="1"/>
      <w:numFmt w:val="bullet"/>
      <w:lvlText w:val="•"/>
      <w:lvlJc w:val="left"/>
      <w:pPr>
        <w:ind w:left="4244" w:hanging="567"/>
      </w:pPr>
      <w:rPr>
        <w:rFonts w:hint="default"/>
      </w:rPr>
    </w:lvl>
    <w:lvl w:ilvl="5">
      <w:start w:val="1"/>
      <w:numFmt w:val="bullet"/>
      <w:lvlText w:val="•"/>
      <w:lvlJc w:val="left"/>
      <w:pPr>
        <w:ind w:left="4960" w:hanging="567"/>
      </w:pPr>
      <w:rPr>
        <w:rFonts w:hint="default"/>
      </w:rPr>
    </w:lvl>
    <w:lvl w:ilvl="6">
      <w:start w:val="1"/>
      <w:numFmt w:val="bullet"/>
      <w:lvlText w:val="•"/>
      <w:lvlJc w:val="left"/>
      <w:pPr>
        <w:ind w:left="5676" w:hanging="567"/>
      </w:pPr>
      <w:rPr>
        <w:rFonts w:hint="default"/>
      </w:rPr>
    </w:lvl>
    <w:lvl w:ilvl="7">
      <w:start w:val="1"/>
      <w:numFmt w:val="bullet"/>
      <w:lvlText w:val="•"/>
      <w:lvlJc w:val="left"/>
      <w:pPr>
        <w:ind w:left="6392" w:hanging="567"/>
      </w:pPr>
      <w:rPr>
        <w:rFonts w:hint="default"/>
      </w:rPr>
    </w:lvl>
    <w:lvl w:ilvl="8">
      <w:start w:val="1"/>
      <w:numFmt w:val="bullet"/>
      <w:lvlText w:val="•"/>
      <w:lvlJc w:val="left"/>
      <w:pPr>
        <w:ind w:left="7108" w:hanging="567"/>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0"/>
      <w:szCs w:val="20"/>
    </w:rPr>
  </w:style>
  <w:style w:styleId="Heading1" w:type="paragraph">
    <w:name w:val="Heading 1"/>
    <w:basedOn w:val="Normal"/>
    <w:uiPriority w:val="1"/>
    <w:qFormat/>
    <w:pPr>
      <w:spacing w:before="1"/>
      <w:ind w:left="1375" w:hanging="567"/>
      <w:jc w:val="both"/>
      <w:outlineLvl w:val="1"/>
    </w:pPr>
    <w:rPr>
      <w:rFonts w:ascii="Times New Roman" w:hAnsi="Times New Roman" w:eastAsia="Times New Roman" w:cs="Times New Roman"/>
      <w:b/>
      <w:bCs/>
      <w:sz w:val="24"/>
      <w:szCs w:val="24"/>
    </w:rPr>
  </w:style>
  <w:style w:styleId="Heading2" w:type="paragraph">
    <w:name w:val="Heading 2"/>
    <w:basedOn w:val="Normal"/>
    <w:uiPriority w:val="1"/>
    <w:qFormat/>
    <w:pPr>
      <w:ind w:left="1380" w:hanging="567"/>
      <w:jc w:val="both"/>
      <w:outlineLvl w:val="2"/>
    </w:pPr>
    <w:rPr>
      <w:rFonts w:ascii="Times New Roman" w:hAnsi="Times New Roman" w:eastAsia="Times New Roman" w:cs="Times New Roman"/>
      <w:b/>
      <w:bCs/>
      <w:sz w:val="20"/>
      <w:szCs w:val="20"/>
    </w:rPr>
  </w:style>
  <w:style w:styleId="ListParagraph" w:type="paragraph">
    <w:name w:val="List Paragraph"/>
    <w:basedOn w:val="Normal"/>
    <w:uiPriority w:val="1"/>
    <w:qFormat/>
    <w:pPr>
      <w:ind w:left="1154" w:hanging="338"/>
      <w:jc w:val="both"/>
    </w:pPr>
    <w:rPr>
      <w:rFonts w:ascii="Times New Roman" w:hAnsi="Times New Roman" w:eastAsia="Times New Roman" w:cs="Times New Roman"/>
    </w:rPr>
  </w:style>
  <w:style w:styleId="TableParagraph" w:type="paragraph">
    <w:name w:val="Table Paragraph"/>
    <w:basedOn w:val="Normal"/>
    <w:uiPriority w:val="1"/>
    <w:qFormat/>
    <w:pPr>
      <w:spacing w:line="219" w:lineRule="exact"/>
      <w:ind w:left="180"/>
      <w:jc w:val="center"/>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image" Target="media/image1.jpeg"/><Relationship Id="rId8" Type="http://schemas.openxmlformats.org/officeDocument/2006/relationships/image" Target="media/image2.jpeg"/><Relationship Id="rId9" Type="http://schemas.openxmlformats.org/officeDocument/2006/relationships/image" Target="media/image3.jpeg"/><Relationship Id="rId10" Type="http://schemas.openxmlformats.org/officeDocument/2006/relationships/image" Target="media/image4.jpeg"/><Relationship Id="rId11" Type="http://schemas.openxmlformats.org/officeDocument/2006/relationships/image" Target="media/image5.jpeg"/><Relationship Id="rId12" Type="http://schemas.openxmlformats.org/officeDocument/2006/relationships/image" Target="media/image6.jpeg"/><Relationship Id="rId13" Type="http://schemas.openxmlformats.org/officeDocument/2006/relationships/image" Target="media/image7.jpeg"/><Relationship Id="rId14" Type="http://schemas.openxmlformats.org/officeDocument/2006/relationships/image" Target="media/image8.jpeg"/><Relationship Id="rId15" Type="http://schemas.openxmlformats.org/officeDocument/2006/relationships/image" Target="media/image9.jpeg"/><Relationship Id="rId16" Type="http://schemas.openxmlformats.org/officeDocument/2006/relationships/image" Target="media/image10.jpeg"/><Relationship Id="rId17" Type="http://schemas.openxmlformats.org/officeDocument/2006/relationships/image" Target="media/image11.jpeg"/><Relationship Id="rId18" Type="http://schemas.openxmlformats.org/officeDocument/2006/relationships/image" Target="media/image12.jpeg"/><Relationship Id="rId19" Type="http://schemas.openxmlformats.org/officeDocument/2006/relationships/image" Target="media/image13.jpeg"/><Relationship Id="rId20" Type="http://schemas.openxmlformats.org/officeDocument/2006/relationships/image" Target="media/image14.jpeg"/><Relationship Id="rId21" Type="http://schemas.openxmlformats.org/officeDocument/2006/relationships/image" Target="media/image15.jpeg"/><Relationship Id="rId22" Type="http://schemas.openxmlformats.org/officeDocument/2006/relationships/image" Target="media/image16.jpeg"/><Relationship Id="rId23" Type="http://schemas.openxmlformats.org/officeDocument/2006/relationships/image" Target="media/image17.jpeg"/><Relationship Id="rId24" Type="http://schemas.openxmlformats.org/officeDocument/2006/relationships/image" Target="media/image18.jpeg"/><Relationship Id="rId25" Type="http://schemas.openxmlformats.org/officeDocument/2006/relationships/image" Target="media/image19.jpeg"/><Relationship Id="rId26" Type="http://schemas.openxmlformats.org/officeDocument/2006/relationships/hyperlink" Target="http://www.tecnocont.es/" TargetMode="External"/><Relationship Id="rId27" Type="http://schemas.openxmlformats.org/officeDocument/2006/relationships/hyperlink" Target="http://www.galantz.com.ar/" TargetMode="External"/><Relationship Id="rId2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- 82660403</dc:title>
  <dcterms:created xsi:type="dcterms:W3CDTF">2017-05-24T20:38:59Z</dcterms:created>
  <dcterms:modified xsi:type="dcterms:W3CDTF">2017-05-24T20:38:59Z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2013-10-22T00:00:00Z</vt:filetime>
  </property>
  <property fmtid="{D5CDD505-2E9C-101B-9397-08002B2CF9AE}" pid="3" name="Creator">
    <vt:lpwstr>PScript5.dll Version 5.2.2</vt:lpwstr>
  </property>
  <property fmtid="{D5CDD505-2E9C-101B-9397-08002B2CF9AE}" pid="4" name="LastSaved">
    <vt:filetime>2017-05-24T00:00:00Z</vt:filetime>
  </property>
</Properties>
</file>